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Enlight Renewable Energy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NIS 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676767908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676767908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Harel Insurance Investments &amp; Financial Services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ISRAEL</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14,512,845.00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15,172,107.00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15,172,107.00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720"/>
          </w:cols>
          <w:pgMar w:left="320" w:top="166" w:right="69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 With regard to the date of event that requires filing, see the explanatory note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Item 4. With regard to Rows (6), (8) and (9), please see Item 4. Row (11) is based on 120,007,417 Ordinary Shares issued and outstanding as of August 4, 2025 (as reported by the Issuer in Exhibit 99.1 to its Annual Report on Form 6-K filed with the Securities and Exchange Commission on August 7,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Enlight Renewable Energy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13 Amal Street, Afek Industrial Park, Rosh Ha'ayin, Israel, 4809249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Harel Insurance Investments &amp; Financial Services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3 Aba Hillel Street, Ramat Gan 52118, Israel</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Israel</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Ordinary Shares, NIS 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676767908</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ectPr>
          <w:pgSz w:w="11900" w:h="16838" w:orient="portrait"/>
          <w:cols w:equalWidth="0" w:num="1">
            <w:col w:w="10880"/>
          </w:cols>
          <w:pgMar w:left="320" w:top="166" w:right="6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320"/>
        <w:spacing w:after="0" w:line="249" w:lineRule="auto"/>
        <w:rPr>
          <w:sz w:val="20"/>
          <w:szCs w:val="20"/>
          <w:color w:val="auto"/>
        </w:rPr>
      </w:pPr>
      <w:r>
        <w:rPr>
          <w:rFonts w:ascii="Times New Roman" w:cs="Times New Roman" w:eastAsia="Times New Roman" w:hAnsi="Times New Roman"/>
          <w:sz w:val="21"/>
          <w:szCs w:val="21"/>
          <w:color w:val="auto"/>
        </w:rPr>
        <w:t>Of the 15,172,107 Ordinary Shares reported in this Statement as beneficially owned by the Reporting Person, (i) 12,319,646 Ordinary Shares are held for members of the public through, among others, provident funds and/or mutual funds and/or pension funds and/or insurance policies and/or exchange traded funds, which are managed by</w:t>
      </w:r>
    </w:p>
    <w:p>
      <w:pPr>
        <w:spacing w:after="0" w:line="1" w:lineRule="exact"/>
        <w:rPr>
          <w:sz w:val="20"/>
          <w:szCs w:val="20"/>
          <w:color w:val="auto"/>
        </w:rPr>
      </w:pPr>
    </w:p>
    <w:p>
      <w:pPr>
        <w:ind w:left="920" w:hanging="912"/>
        <w:spacing w:after="0" w:line="204"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subsidiaries of the Reporting Person, each of which subsidiaries operates under independent management and makes independent voting and investment decisions, (ii) 659,262 Ordinary Shares are held by third-party client accounts managed by a subsidiary of the Reporting Person as portfolio managers, which subsidiary operates under independent management and makes independent investment decisions and has no voting power in the securities held in such client accounts, and (iii) 2,193,199 Ordinary Shares are beneficially held for its own account. Consequently, this Statement shall not be construed as an admission by the Reporting Person that it is the beneficial owner of more than 2,193,199 Ordinary Shares covered by this Statement.</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Row (11) of the cover page of the Reporting Person above.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20"/>
          </w:cols>
          <w:pgMar w:left="360" w:top="126"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(6) of the cover page of the Reporting Person above and note in Item 4 above.</w:t>
      </w:r>
    </w:p>
    <w:p>
      <w:pPr>
        <w:spacing w:after="0" w:line="287" w:lineRule="exact"/>
        <w:rPr>
          <w:sz w:val="20"/>
          <w:szCs w:val="20"/>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(8) of the cover page of the Reporting Person above and note in Item 4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00"/>
          </w:cols>
          <w:pgMar w:left="360" w:top="126" w:right="419" w:bottom="0" w:gutter="0" w:footer="0" w:header="0"/>
          <w:type w:val="continuous"/>
        </w:sectPr>
      </w:pPr>
    </w:p>
    <w:p>
      <w:pPr>
        <w:ind w:left="940" w:right="20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w:t>
      </w:r>
    </w:p>
    <w:p>
      <w:pPr>
        <w:sectPr>
          <w:pgSz w:w="11900" w:h="16838" w:orient="portrait"/>
          <w:cols w:equalWidth="0" w:num="1">
            <w:col w:w="11120"/>
          </w:cols>
          <w:pgMar w:left="360" w:top="126" w:right="419" w:bottom="0" w:gutter="0" w:footer="0" w:header="0"/>
          <w:type w:val="continuous"/>
        </w:sectPr>
      </w:pPr>
    </w:p>
    <w:bookmarkStart w:id="3" w:name="page4"/>
    <w:bookmarkEnd w:id="3"/>
    <w:p>
      <w:pPr>
        <w:ind w:left="720" w:right="160"/>
        <w:spacing w:after="0" w:line="259" w:lineRule="auto"/>
        <w:rPr>
          <w:sz w:val="20"/>
          <w:szCs w:val="20"/>
          <w:color w:val="auto"/>
        </w:rPr>
      </w:pPr>
      <w:r>
        <w:rPr>
          <w:rFonts w:ascii="Times New Roman" w:cs="Times New Roman" w:eastAsia="Times New Roman" w:hAnsi="Times New Roman"/>
          <w:sz w:val="22"/>
          <w:szCs w:val="22"/>
          <w:color w:val="auto"/>
        </w:rPr>
        <w:t>the securities and were not acquired and are not held in 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Harel Insurance Investments &amp; Financial Services Ltd</w:t>
      </w:r>
    </w:p>
    <w:p>
      <w:pPr>
        <w:spacing w:after="0" w:line="152" w:lineRule="exact"/>
        <w:rPr>
          <w:sz w:val="20"/>
          <w:szCs w:val="20"/>
          <w:color w:val="auto"/>
        </w:rPr>
      </w:pPr>
    </w:p>
    <w:p>
      <w:pPr>
        <w:ind w:left="3660"/>
        <w:spacing w:after="0"/>
        <w:tabs>
          <w:tab w:leader="none" w:pos="4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Alon Kaufman</w:t>
      </w:r>
    </w:p>
    <w:p>
      <w:pPr>
        <w:spacing w:after="0" w:line="4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Name/Title: Alon Kaufman/Vice President</w:t>
      </w:r>
    </w:p>
    <w:p>
      <w:pPr>
        <w:spacing w:after="0" w:line="44" w:lineRule="exact"/>
        <w:rPr>
          <w:sz w:val="20"/>
          <w:szCs w:val="20"/>
          <w:color w:val="auto"/>
        </w:rPr>
      </w:pPr>
    </w:p>
    <w:p>
      <w:pPr>
        <w:ind w:left="3660"/>
        <w:spacing w:after="0"/>
        <w:tabs>
          <w:tab w:leader="none" w:pos="47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4"/>
    </w:lvl>
  </w:abstractNum>
  <w:abstractNum w:abstractNumId="4">
    <w:nsid w:val="41B71EFB"/>
    <w:multiLevelType w:val="hybridMultilevel"/>
    <w:lvl w:ilvl="0">
      <w:lvlJc w:val="left"/>
      <w:lvlText w:val="(%1)"/>
      <w:numFmt w:val="lowerLetter"/>
      <w:start w:val="1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2026-02-09T05:12:35Z</dcterms:created>
  <dcterms:modified xsi:type="dcterms:W3CDTF">2026-02-09T05:12:35Z</dcterms:modified>
</cp:coreProperties>
</file>