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Ordinary Shares</w:t>
      </w:r>
    </w:p>
    <w:p>
      <w:pPr>
        <w:spacing w:after="0" w:line="2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Tel Aviv, Israel, August 19, 2025, Enlight Renewable Energy Ltd. (NASDAQ: ENLT, TASE: ENLT)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today, that it has received and accepted, following the approval of its Board of Directors, commitments from several Israeli institutional investors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to buy 11,396,012 ordinary shares, NIS 0.1 par value per share,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at an offering price of NIS 87.75 per share, for an aggregate gross consideration of approximately NIS 1,000,000,000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of the Private Placement is subject to the satisfaction of customary closing conditions, including receipt of an approval from the Tel Aviv Stock Exchange Ltd.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 for trade on the TASE of the Ordinary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use the net proceeds from the Private Placement to support its growth plan, primarily for projects to be constructed during 2026.</w:t>
      </w:r>
    </w:p>
    <w:p>
      <w:pPr>
        <w:spacing w:after="0" w:line="2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sale and/or transfer of the Ordinary Shares are subject to the limitations on resale of securities set forth in the Israeli Securities Law of 1968 and the regulations promulgated thereunder applicable to private placements.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Private Placement was made to Israeli institutional investors only and not to U.S. Persons, pursuant to an exemption provided by Regulation S, promulgated under the U.S. Securities Act of 1933, as amended, or the Securities Act. The Ordinary Shares will not be registered under the Securities Act, and will not be offered or sold in the United States without registration or applicable exemption from the registration requirements according to the Securities Act. Nothing in this report constitutes an offer to sell or the solicitation of an offer to buy the Company’s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report on Form 6-K other than statements of historical fact, including, without limitation, statements regarding the Company’s expectations relating to projects, plans, projections, predicted or anticipated future results, and the completion of the Private Placement,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 and our other documents filed with or furnished to the SEC.</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Form 6-K.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ectPr>
          <w:pgSz w:w="11900" w:h="16838" w:orient="portrait"/>
          <w:cols w:equalWidth="0" w:num="1">
            <w:col w:w="11240"/>
          </w:cols>
          <w:pgMar w:left="320" w:top="117" w:right="339" w:bottom="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143510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56"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19, 2025</w:t>
      </w:r>
      <w:r>
        <w:rPr>
          <w:sz w:val="20"/>
          <w:szCs w:val="20"/>
          <w:color w:val="auto"/>
        </w:rPr>
        <w:tab/>
      </w:r>
      <w:r>
        <w:rPr>
          <w:rFonts w:ascii="Times New Roman" w:cs="Times New Roman" w:eastAsia="Times New Roman" w:hAnsi="Times New Roman"/>
          <w:sz w:val="18"/>
          <w:szCs w:val="18"/>
          <w:color w:val="auto"/>
        </w:rPr>
        <w:t>By: /s/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2025-08-19T10:12:31Z</dcterms:created>
  <dcterms:modified xsi:type="dcterms:W3CDTF">2025-08-19T10:12:31Z</dcterms:modified>
</cp:coreProperties>
</file>