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November 20, 2024, Enlight Renewable Energy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an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at the Company's offices at 13 Amal St., Afek Industrial Park, Rosh Ha’ayin 4809249, Israel.</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At the Meeting, the Company’s shareholders voted upon and approved, by the applicable required majority in accordance with the Israeli Companies Law, 5759-1999 and the Company’s articles of association, each of the proposals set forth in the Company’s notice and proxy statement related to the Meeting, which was attached as Exhibit 99.1 to the Company’s report of foreign private issuer on Form 6-K furnished to the Securities and Exchange Commission on October 8,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The information contained in this Report on Form 6-K is hereby incorporated by reference into the Company’s Registration Statement on Form S-8 (File No. 333-271297).</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460" w:val="left"/>
          <w:tab w:leader="none" w:pos="6080" w:val="left"/>
        </w:tabs>
        <w:rPr>
          <w:sz w:val="20"/>
          <w:szCs w:val="20"/>
          <w:color w:val="auto"/>
        </w:rPr>
      </w:pPr>
      <w:r>
        <w:rPr>
          <w:rFonts w:ascii="Times New Roman" w:cs="Times New Roman" w:eastAsia="Times New Roman" w:hAnsi="Times New Roman"/>
          <w:sz w:val="18"/>
          <w:szCs w:val="18"/>
          <w:color w:val="auto"/>
        </w:rPr>
        <w:t>Date: November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Nir Yehuda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5805" cy="1714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Nir Yehuda</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2024-11-21T05:09:14Z</dcterms:created>
  <dcterms:modified xsi:type="dcterms:W3CDTF">2024-11-21T05:09:14Z</dcterms:modified>
</cp:coreProperties>
</file>