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40" w:right="1440" w:bottom="1440" w:gutter="0" w:footer="0" w:header="0"/>
        </w:sectPr>
      </w:pPr>
    </w:p>
    <w:bookmarkStart w:id="1" w:name="page2"/>
    <w:bookmarkEnd w:id="1"/>
    <w:p>
      <w:pPr>
        <w:ind w:left="1820"/>
        <w:spacing w:after="0"/>
        <w:rPr>
          <w:sz w:val="20"/>
          <w:szCs w:val="20"/>
          <w:color w:val="auto"/>
        </w:rPr>
      </w:pPr>
      <w:r>
        <w:rPr>
          <w:rFonts w:ascii="Times New Roman" w:cs="Times New Roman" w:eastAsia="Times New Roman" w:hAnsi="Times New Roman"/>
          <w:sz w:val="20"/>
          <w:szCs w:val="20"/>
          <w:b w:val="1"/>
          <w:bCs w:val="1"/>
          <w:i w:val="1"/>
          <w:iCs w:val="1"/>
          <w:color w:val="auto"/>
        </w:rPr>
        <w:t>Enlight Renewable Energy Ltd. Announces the Results of the Public Tenders in Israel for the</w:t>
      </w:r>
    </w:p>
    <w:p>
      <w:pPr>
        <w:spacing w:after="0" w:line="3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b w:val="1"/>
          <w:bCs w:val="1"/>
          <w:i w:val="1"/>
          <w:iCs w:val="1"/>
          <w:color w:val="auto"/>
        </w:rPr>
        <w:t>Purchase of the Company’s Series G and Series H Notes and the Completion of the Offering</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Tel Aviv, Israel, February 26, 2025, Enlight Renewable Energy Ltd. (NASDAQ: ENLT, TASE: ENLT)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further to its announcement from February 10, 2025 of a potential notes offerings in Israel and from February 25, 2025 of the results of the tenders for Classified Investors, that the public tenders for the Series G and series H notes was held on February 26, 2025.</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Based on the results of Series G tender, the Company is expected to issue 468,784,000 par value Series G notes (at the maximum amount of Series G notes that could be issued and sold in the Offering based on the offering report) in the aggregate face value of NIS 455,189,264 (approximately $128,054,594). The price that was set in the tenders was NIS 0.971 per note, each was sold at a discount rate of 2.9%.</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Based on the results of Series H tender, the Company is expected to issue 414,847,000 par value Series H notes in the aggregate face value of NIS 414,847,000 (approximately $116,705,442). The price that was set in the tender was NIS 1 per note, with no discount rate. Since the shelf offering report limited the maximum amount of Series H notes that could be issued and sold in the Offering to par value NIS 414,847,000, the Company issued and sold that NIS 414,847,000 par value amount of Series G notes to the purchasing investors in a pro rata manner, based upon the amounts they had ordered, with each investor receiving 97.26% of the amount of debentures it had ordered.</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offerings for investments in its large-scale portfolio in the United States, Europe and MENA, and for other general corporate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on February 25, 2025, “Midroog” confirmed A2.il rating (stable) for Series G and Series H notes in a total amount of up to NIS 900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rating is not a recommendation to buy, sell or hold securities and investors should take their own decision.</w:t>
      </w:r>
    </w:p>
    <w:p>
      <w:pPr>
        <w:spacing w:after="0" w:line="2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offerings are not being made to U.S. persons and have been made in an “overseas directed offering” in Israel pursuant to the exemption from registration under Regulation S under the U.S. Securities Act of 1933, as amended (the “Securities Act”). This announcement does not constitute a solicitation or an offer to buy any securities.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Series G and Series H debentures, including the ordinary shares deliverable upon conversion of the Series H debentures, will not be registered under the Securities Act, and will not be offered or sold in the United States without registration or applicable exemption from the registration requirements according to the Securities Act. Nothing in this report constitutes an offer to sell or the solicitation of an offer to buy the Company’s securities.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the offerings and completion thereof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offerings of the new Series G and Series H debentures, including our intention to accept prior undertakings from Classified Investors and the expectations regarding the use of proceeds; our ability to consummate the offerings due to regulatory approvals and other factors such as market conditions;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as may be updated in our other documents filed with or furnished to the SEC.</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Form 6-K.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this Form 6-K is being furnished and shall not be deemed “filed” for any purpose.</w:t>
      </w:r>
    </w:p>
    <w:p>
      <w:pPr>
        <w:sectPr>
          <w:pgSz w:w="11900" w:h="16838" w:orient="portrait"/>
          <w:cols w:equalWidth="0" w:num="1">
            <w:col w:w="11240"/>
          </w:cols>
          <w:pgMar w:left="320" w:top="347"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tc>
      </w:tr>
      <w:tr>
        <w:trPr>
          <w:trHeight w:val="40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756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Lisa Haimovitz</w:t>
            </w:r>
          </w:p>
        </w:tc>
      </w:tr>
      <w:tr>
        <w:trPr>
          <w:trHeight w:val="245"/>
        </w:trPr>
        <w:tc>
          <w:tcPr>
            <w:tcW w:w="36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Lisa Haimovitz</w:t>
            </w:r>
          </w:p>
        </w:tc>
        <w:tc>
          <w:tcPr>
            <w:tcW w:w="3940" w:type="dxa"/>
            <w:vAlign w:val="bottom"/>
          </w:tcPr>
          <w:p>
            <w:pPr>
              <w:spacing w:after="0"/>
              <w:rPr>
                <w:sz w:val="21"/>
                <w:szCs w:val="21"/>
                <w:color w:val="auto"/>
              </w:rPr>
            </w:pPr>
          </w:p>
        </w:tc>
      </w:tr>
      <w:tr>
        <w:trPr>
          <w:trHeight w:val="234"/>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VP General Counsel</w:t>
            </w:r>
          </w:p>
        </w:tc>
      </w:tr>
      <w:tr>
        <w:trPr>
          <w:trHeight w:val="459"/>
        </w:trPr>
        <w:tc>
          <w:tcPr>
            <w:tcW w:w="368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95"/>
        </w:trPr>
        <w:tc>
          <w:tcPr>
            <w:tcW w:w="36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r>
      <w:tr>
        <w:trPr>
          <w:trHeight w:val="163"/>
        </w:trPr>
        <w:tc>
          <w:tcPr>
            <w:tcW w:w="36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2025-02-26T15:05:54Z</dcterms:created>
  <dcterms:modified xsi:type="dcterms:W3CDTF">2025-02-26T15:05:54Z</dcterms:modified>
</cp:coreProperties>
</file>