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February 2025</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Commission File Number: 001-41613</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Enlight Renewable Energy Ltd.</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2"/>
          <w:szCs w:val="12"/>
          <w:b w:val="1"/>
          <w:bCs w:val="1"/>
          <w:color w:val="auto"/>
        </w:rPr>
        <w:t>13 Amal St., Afek Industrial Park</w:t>
      </w:r>
    </w:p>
    <w:p>
      <w:pPr>
        <w:spacing w:after="0" w:line="2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2"/>
          <w:szCs w:val="12"/>
          <w:b w:val="1"/>
          <w:bCs w:val="1"/>
          <w:color w:val="auto"/>
        </w:rPr>
        <w:t>Rosh Ha’ayin, Israel</w:t>
      </w:r>
    </w:p>
    <w:p>
      <w:pPr>
        <w:spacing w:after="0" w:line="1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+ 972 (3) 900-8700</w:t>
      </w:r>
    </w:p>
    <w:p>
      <w:pPr>
        <w:spacing w:after="0" w:line="1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1" w:lineRule="exact"/>
        <w:rPr>
          <w:sz w:val="24"/>
          <w:szCs w:val="24"/>
          <w:color w:val="auto"/>
        </w:rPr>
      </w:pPr>
    </w:p>
    <w:p>
      <w:pPr>
        <w:ind w:left="4900"/>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205740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54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EXPLANATORY NOTE</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On February 19, 2024, Enlight Renewable Energy Ltd.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titled: “Enlight Renewable Energy Reports Fourth Quarter and Full Year 2024 Financial Results” and will conduct a conference call using a presentation titled: “Enlight Earnings Presentation Fourth Quarter 2024.” Details of the conference call are provided in the press release. A copy of the press release, as well as supplemental appendices containing further information regarding the Company’s financial results for the fourth quarter and full year ending December 31, 2024, and other operational updates, is furnished as Exhibit 99.1 herewith and a copy of the presentation is furnished as Exhibit 99.2 herewith.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color w:val="auto"/>
        </w:rPr>
        <w:t>Other than as indicated below, the information in this Form 6-K (including in Exhibits 99.1 and 99.2)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w:t>
      </w:r>
    </w:p>
    <w:p>
      <w:pPr>
        <w:spacing w:after="0" w:line="10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color w:val="auto"/>
        </w:rPr>
        <w:t>The IFRS financial information contained in the (i) consolidated statements of financial position, (ii) consolidated statements of income and (iii) consolidated statements of cash flows included in the press release attached as Exhibit 99.1 to this Report on Form 6-K is hereby incorporated by reference into the Company’s Registration Statement on Form S-8 (File No. 333-271297).</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INDEX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furnished as part of this Form 6-K:</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u w:val="single" w:color="auto"/>
          <w:color w:val="auto"/>
        </w:rPr>
        <w:t>Exhibit</w:t>
        <w:tab/>
        <w:t>Description</w:t>
      </w:r>
    </w:p>
    <w:p>
      <w:pPr>
        <w:spacing w:after="0" w:line="1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u w:val="single" w:color="auto"/>
          <w:color w:val="0000EE"/>
        </w:rPr>
        <w:t>Press Release of Enlight Renewable Energy Ltd., dated February 19, 2024, titled: “Enlight Renewable Energy Reports Fourth Quarter and Full Year 2024 Financial Results”.</w:t>
      </w:r>
    </w:p>
    <w:p>
      <w:pPr>
        <w:spacing w:after="0" w:line="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1"/>
          <w:szCs w:val="11"/>
          <w:u w:val="single" w:color="auto"/>
          <w:color w:val="0000EE"/>
        </w:rPr>
        <w:t>Enlight Earnings Presentation Fourth Quarter 2024.</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8040" w:type="dxa"/>
            <w:vAlign w:val="bottom"/>
            <w:gridSpan w:val="4"/>
          </w:tcPr>
          <w:p>
            <w:pPr>
              <w:ind w:left="2080"/>
              <w:spacing w:after="0"/>
              <w:rPr>
                <w:sz w:val="20"/>
                <w:szCs w:val="20"/>
                <w:color w:val="auto"/>
              </w:rPr>
            </w:pPr>
            <w:r>
              <w:rPr>
                <w:rFonts w:ascii="Times New Roman" w:cs="Times New Roman" w:eastAsia="Times New Roman" w:hAnsi="Times New Roman"/>
                <w:sz w:val="12"/>
                <w:szCs w:val="12"/>
                <w:b w:val="1"/>
                <w:bCs w:val="1"/>
                <w:color w:val="auto"/>
              </w:rPr>
              <w:t>Enlight Renewable Energy Ltd.</w:t>
            </w: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19, 2025</w:t>
            </w:r>
          </w:p>
        </w:tc>
        <w:tc>
          <w:tcPr>
            <w:tcW w:w="230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By:</w:t>
            </w:r>
          </w:p>
        </w:tc>
        <w:tc>
          <w:tcPr>
            <w:tcW w:w="280" w:type="dxa"/>
            <w:vAlign w:val="bottom"/>
          </w:tcPr>
          <w:p>
            <w:pPr>
              <w:spacing w:after="0"/>
              <w:rPr>
                <w:sz w:val="23"/>
                <w:szCs w:val="23"/>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Lisa Haimovitz</w:t>
            </w:r>
          </w:p>
        </w:tc>
      </w:tr>
      <w:tr>
        <w:trPr>
          <w:trHeight w:val="158"/>
        </w:trPr>
        <w:tc>
          <w:tcPr>
            <w:tcW w:w="3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Lisa Haimovitz</w:t>
            </w:r>
          </w:p>
        </w:tc>
        <w:tc>
          <w:tcPr>
            <w:tcW w:w="4580" w:type="dxa"/>
            <w:vAlign w:val="bottom"/>
          </w:tcPr>
          <w:p>
            <w:pPr>
              <w:spacing w:after="0"/>
              <w:rPr>
                <w:sz w:val="13"/>
                <w:szCs w:val="13"/>
                <w:color w:val="auto"/>
              </w:rPr>
            </w:pPr>
          </w:p>
        </w:tc>
      </w:tr>
      <w:tr>
        <w:trPr>
          <w:trHeight w:val="155"/>
        </w:trPr>
        <w:tc>
          <w:tcPr>
            <w:tcW w:w="3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VP GC</w:t>
            </w:r>
          </w:p>
        </w:tc>
      </w:tr>
      <w:tr>
        <w:trPr>
          <w:trHeight w:val="297"/>
        </w:trPr>
        <w:tc>
          <w:tcPr>
            <w:tcW w:w="3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63"/>
        </w:trPr>
        <w:tc>
          <w:tcPr>
            <w:tcW w:w="32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r>
      <w:tr>
        <w:trPr>
          <w:trHeight w:val="95"/>
        </w:trPr>
        <w:tc>
          <w:tcPr>
            <w:tcW w:w="326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60095" cy="302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0095"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ENLIGHT RENEWABLE ENERGY REPORTS</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FOURTH QUARTER AND FULL YEAR 2024 FINANCIAL RESULTS</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All of the amounts disclosed in this press release are in U.S. dollars unless otherwise noted</w:t>
      </w:r>
    </w:p>
    <w:p>
      <w:pPr>
        <w:spacing w:after="0" w:line="161"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TEL AVIV, ISRAEL, February 19, 2025 – Enlight Renewable Energy Ltd. (NASDAQ: ENLT, TASE: ENLT) today reported financial results for the fourth quarter and full year ending December 31, 2024. The Company’s earnings conference call and webcast will be held today at 8:00 AM ET. Registration links to both the call and the webcast can be found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85025" cy="252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5025" cy="252730"/>
                    </a:xfrm>
                    <a:prstGeom prst="rect">
                      <a:avLst/>
                    </a:prstGeom>
                    <a:noFill/>
                  </pic:spPr>
                </pic:pic>
              </a:graphicData>
            </a:graphic>
          </wp:anchor>
        </w:drawing>
      </w:r>
    </w:p>
    <w:p>
      <w:pPr>
        <w:spacing w:after="0" w:line="213"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2"/>
          <w:szCs w:val="12"/>
          <w:b w:val="1"/>
          <w:bCs w:val="1"/>
          <w:color w:val="auto"/>
        </w:rPr>
        <w:t>The entire suite of the Company’s 4Q24 financial results can be found on our IR website at https://enlightenergy.co.il/data/financial-reports/</w:t>
      </w:r>
    </w:p>
    <w:p>
      <w:pPr>
        <w:spacing w:after="0" w:line="2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Highlights</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2024</w:t>
      </w:r>
    </w:p>
    <w:p>
      <w:pPr>
        <w:spacing w:after="0" w:line="170"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and income of $399m, up 53% year over year</w:t>
      </w:r>
    </w:p>
    <w:p>
      <w:pPr>
        <w:spacing w:after="0" w:line="142"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of $289m, up 49% year over year</w:t>
      </w:r>
    </w:p>
    <w:p>
      <w:pPr>
        <w:spacing w:after="0" w:line="8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$67m, down 32% year over year</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operations of $193, up 29% year over year</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3 months ending December 31, 2024</w:t>
      </w:r>
    </w:p>
    <w:p>
      <w:pPr>
        <w:spacing w:after="0" w:line="170"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and income of $104m, up 35% year over year</w:t>
      </w:r>
    </w:p>
    <w:p>
      <w:pPr>
        <w:spacing w:after="0" w:line="142"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of $65m, up 31% year over year</w:t>
      </w:r>
    </w:p>
    <w:p>
      <w:pPr>
        <w:spacing w:after="0" w:line="8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$8m, down 48% year over year</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operations of $36m, up 49%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0972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65" w:lineRule="exact"/>
        <w:rPr>
          <w:sz w:val="20"/>
          <w:szCs w:val="20"/>
          <w:color w:val="auto"/>
        </w:rPr>
      </w:pPr>
    </w:p>
    <w:p>
      <w:pPr>
        <w:ind w:left="8" w:right="260" w:hanging="8"/>
        <w:spacing w:after="0" w:line="187" w:lineRule="auto"/>
        <w:tabs>
          <w:tab w:leader="none" w:pos="86" w:val="left"/>
        </w:tabs>
        <w:numPr>
          <w:ilvl w:val="0"/>
          <w:numId w:val="3"/>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The Company is unable to provide a reconciliation of Adjusted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23" w:right="299" w:bottom="1440" w:gutter="0" w:footer="0" w:header="0"/>
        </w:sectPr>
      </w:pPr>
    </w:p>
    <w:bookmarkStart w:id="4" w:name="page5"/>
    <w:bookmarkEnd w:id="4"/>
    <w:tbl>
      <w:tblPr>
        <w:tblLayout w:type="fixed"/>
        <w:tblInd w:w="18" w:type="dxa"/>
        <w:tblCellMar>
          <w:top w:w="0" w:type="dxa"/>
          <w:left w:w="0" w:type="dxa"/>
          <w:bottom w:w="0" w:type="dxa"/>
          <w:right w:w="0" w:type="dxa"/>
        </w:tblCellMar>
      </w:tblPr>
      <w:tr>
        <w:trPr>
          <w:trHeight w:val="212"/>
        </w:trPr>
        <w:tc>
          <w:tcPr>
            <w:tcW w:w="2340" w:type="dxa"/>
            <w:vAlign w:val="bottom"/>
            <w:tcBorders>
              <w:top w:val="single" w:sz="8" w:color="auto"/>
              <w:left w:val="single" w:sz="8" w:color="auto"/>
              <w:bottom w:val="single" w:sz="8" w:color="E7E6E6"/>
              <w:right w:val="single" w:sz="8" w:color="auto"/>
            </w:tcBorders>
            <w:shd w:val="clear" w:color="auto" w:fill="E7E6E6"/>
          </w:tcPr>
          <w:p>
            <w:pPr>
              <w:spacing w:after="0"/>
              <w:rPr>
                <w:sz w:val="18"/>
                <w:szCs w:val="18"/>
                <w:color w:val="auto"/>
              </w:rPr>
            </w:pPr>
          </w:p>
        </w:tc>
        <w:tc>
          <w:tcPr>
            <w:tcW w:w="2980" w:type="dxa"/>
            <w:vAlign w:val="bottom"/>
            <w:tcBorders>
              <w:top w:val="single" w:sz="8" w:color="auto"/>
              <w:bottom w:val="single" w:sz="8" w:color="E7E6E6"/>
              <w:right w:val="single" w:sz="8" w:color="E7E6E6"/>
            </w:tcBorders>
            <w:gridSpan w:val="2"/>
            <w:shd w:val="clear" w:color="auto" w:fill="E7E6E6"/>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the twelve months ended</w:t>
            </w:r>
          </w:p>
        </w:tc>
        <w:tc>
          <w:tcPr>
            <w:tcW w:w="1500" w:type="dxa"/>
            <w:vAlign w:val="bottom"/>
            <w:tcBorders>
              <w:top w:val="single" w:sz="8" w:color="auto"/>
              <w:bottom w:val="single" w:sz="8" w:color="E7E6E6"/>
              <w:right w:val="single" w:sz="8" w:color="E7E6E6"/>
            </w:tcBorders>
            <w:shd w:val="clear" w:color="auto" w:fill="E7E6E6"/>
          </w:tcPr>
          <w:p>
            <w:pPr>
              <w:spacing w:after="0"/>
              <w:rPr>
                <w:sz w:val="18"/>
                <w:szCs w:val="18"/>
                <w:color w:val="auto"/>
              </w:rPr>
            </w:pPr>
          </w:p>
        </w:tc>
        <w:tc>
          <w:tcPr>
            <w:tcW w:w="1480" w:type="dxa"/>
            <w:vAlign w:val="bottom"/>
            <w:tcBorders>
              <w:top w:val="single" w:sz="8" w:color="auto"/>
              <w:bottom w:val="single" w:sz="8" w:color="E7E6E6"/>
              <w:right w:val="single" w:sz="8" w:color="E7E6E6"/>
            </w:tcBorders>
            <w:shd w:val="clear" w:color="auto" w:fill="E7E6E6"/>
          </w:tcPr>
          <w:p>
            <w:pPr>
              <w:spacing w:after="0"/>
              <w:rPr>
                <w:sz w:val="18"/>
                <w:szCs w:val="18"/>
                <w:color w:val="auto"/>
              </w:rPr>
            </w:pPr>
          </w:p>
        </w:tc>
        <w:tc>
          <w:tcPr>
            <w:tcW w:w="1900" w:type="dxa"/>
            <w:vAlign w:val="bottom"/>
            <w:tcBorders>
              <w:top w:val="single" w:sz="8" w:color="auto"/>
              <w:bottom w:val="single" w:sz="8" w:color="E7E6E6"/>
            </w:tcBorders>
            <w:gridSpan w:val="2"/>
            <w:shd w:val="clear" w:color="auto" w:fill="E7E6E6"/>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1100" w:type="dxa"/>
            <w:vAlign w:val="bottom"/>
            <w:tcBorders>
              <w:top w:val="single" w:sz="8" w:color="auto"/>
              <w:bottom w:val="single" w:sz="8" w:color="E7E6E6"/>
              <w:right w:val="single" w:sz="8" w:color="auto"/>
            </w:tcBorders>
            <w:shd w:val="clear" w:color="auto" w:fill="E7E6E6"/>
          </w:tcPr>
          <w:p>
            <w:pPr>
              <w:spacing w:after="0"/>
              <w:rPr>
                <w:sz w:val="18"/>
                <w:szCs w:val="18"/>
                <w:color w:val="auto"/>
              </w:rPr>
            </w:pPr>
          </w:p>
        </w:tc>
      </w:tr>
      <w:tr>
        <w:trPr>
          <w:trHeight w:val="192"/>
        </w:trPr>
        <w:tc>
          <w:tcPr>
            <w:tcW w:w="2340" w:type="dxa"/>
            <w:vAlign w:val="bottom"/>
            <w:tcBorders>
              <w:top w:val="single" w:sz="8" w:color="auto"/>
              <w:left w:val="single" w:sz="8" w:color="auto"/>
              <w:bottom w:val="single" w:sz="8" w:color="E7E6E6"/>
              <w:right w:val="single" w:sz="8" w:color="auto"/>
            </w:tcBorders>
            <w:shd w:val="clear" w:color="auto" w:fill="E7E6E6"/>
          </w:tcPr>
          <w:p>
            <w:pPr>
              <w:ind w:left="880"/>
              <w:spacing w:after="0"/>
              <w:rPr>
                <w:sz w:val="20"/>
                <w:szCs w:val="20"/>
                <w:color w:val="auto"/>
              </w:rPr>
            </w:pPr>
            <w:r>
              <w:rPr>
                <w:rFonts w:ascii="Times New Roman" w:cs="Times New Roman" w:eastAsia="Times New Roman" w:hAnsi="Times New Roman"/>
                <w:sz w:val="12"/>
                <w:szCs w:val="12"/>
                <w:b w:val="1"/>
                <w:bCs w:val="1"/>
                <w:color w:val="auto"/>
              </w:rPr>
              <w:t>($ millions)</w:t>
            </w:r>
          </w:p>
        </w:tc>
        <w:tc>
          <w:tcPr>
            <w:tcW w:w="1480" w:type="dxa"/>
            <w:vAlign w:val="bottom"/>
            <w:tcBorders>
              <w:top w:val="single" w:sz="8" w:color="auto"/>
              <w:bottom w:val="single" w:sz="8" w:color="E7E6E6"/>
              <w:right w:val="single" w:sz="8" w:color="auto"/>
            </w:tcBorders>
            <w:shd w:val="clear" w:color="auto" w:fill="E7E6E6"/>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31/12/2024</w:t>
            </w:r>
          </w:p>
        </w:tc>
        <w:tc>
          <w:tcPr>
            <w:tcW w:w="1500" w:type="dxa"/>
            <w:vAlign w:val="bottom"/>
            <w:tcBorders>
              <w:top w:val="single" w:sz="8" w:color="auto"/>
              <w:bottom w:val="single" w:sz="8" w:color="E7E6E6"/>
              <w:right w:val="single" w:sz="8" w:color="auto"/>
            </w:tcBorders>
            <w:shd w:val="clear" w:color="auto" w:fill="E7E6E6"/>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31/12/2023</w:t>
            </w:r>
          </w:p>
        </w:tc>
        <w:tc>
          <w:tcPr>
            <w:tcW w:w="1500" w:type="dxa"/>
            <w:vAlign w:val="bottom"/>
            <w:tcBorders>
              <w:top w:val="single" w:sz="8" w:color="auto"/>
              <w:bottom w:val="single" w:sz="8" w:color="E7E6E6"/>
              <w:right w:val="single" w:sz="8" w:color="auto"/>
            </w:tcBorders>
            <w:shd w:val="clear" w:color="auto" w:fill="E7E6E6"/>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480" w:type="dxa"/>
            <w:vAlign w:val="bottom"/>
            <w:tcBorders>
              <w:top w:val="single" w:sz="8" w:color="auto"/>
              <w:bottom w:val="single" w:sz="8" w:color="E7E6E6"/>
              <w:right w:val="single" w:sz="8" w:color="auto"/>
            </w:tcBorders>
            <w:shd w:val="clear" w:color="auto" w:fill="E7E6E6"/>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31/12/2024</w:t>
            </w:r>
          </w:p>
        </w:tc>
        <w:tc>
          <w:tcPr>
            <w:tcW w:w="1500" w:type="dxa"/>
            <w:vAlign w:val="bottom"/>
            <w:tcBorders>
              <w:top w:val="single" w:sz="8" w:color="auto"/>
              <w:bottom w:val="single" w:sz="8" w:color="E7E6E6"/>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31/12/2023</w:t>
            </w:r>
          </w:p>
        </w:tc>
        <w:tc>
          <w:tcPr>
            <w:tcW w:w="400" w:type="dxa"/>
            <w:vAlign w:val="bottom"/>
            <w:tcBorders>
              <w:top w:val="single" w:sz="8" w:color="auto"/>
              <w:bottom w:val="single" w:sz="8" w:color="E7E6E6"/>
            </w:tcBorders>
            <w:shd w:val="clear" w:color="auto" w:fill="E7E6E6"/>
          </w:tcPr>
          <w:p>
            <w:pPr>
              <w:spacing w:after="0"/>
              <w:rPr>
                <w:sz w:val="16"/>
                <w:szCs w:val="16"/>
                <w:color w:val="auto"/>
              </w:rPr>
            </w:pPr>
          </w:p>
        </w:tc>
        <w:tc>
          <w:tcPr>
            <w:tcW w:w="1100" w:type="dxa"/>
            <w:vAlign w:val="bottom"/>
            <w:tcBorders>
              <w:top w:val="single" w:sz="8" w:color="auto"/>
              <w:bottom w:val="single" w:sz="8" w:color="E7E6E6"/>
              <w:right w:val="single" w:sz="8" w:color="auto"/>
            </w:tcBorders>
            <w:shd w:val="clear" w:color="auto" w:fill="E7E6E6"/>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60"/>
        </w:trPr>
        <w:tc>
          <w:tcPr>
            <w:tcW w:w="234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Revenue and Income</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399</w:t>
            </w: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261</w:t>
            </w:r>
          </w:p>
        </w:tc>
        <w:tc>
          <w:tcPr>
            <w:tcW w:w="150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rPr>
              <w:t>53%</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77</w:t>
            </w:r>
          </w:p>
        </w:tc>
        <w:tc>
          <w:tcPr>
            <w:tcW w:w="400" w:type="dxa"/>
            <w:vAlign w:val="bottom"/>
            <w:tcBorders>
              <w:top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rPr>
              <w:t>35%</w:t>
            </w: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60"/>
        </w:trPr>
        <w:tc>
          <w:tcPr>
            <w:tcW w:w="2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98</w:t>
            </w:r>
          </w:p>
        </w:tc>
        <w:tc>
          <w:tcPr>
            <w:tcW w:w="15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(32%)</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400" w:type="dxa"/>
            <w:vAlign w:val="bottom"/>
          </w:tcPr>
          <w:p>
            <w:pPr>
              <w:spacing w:after="0"/>
              <w:rPr>
                <w:sz w:val="13"/>
                <w:szCs w:val="13"/>
                <w:color w:val="auto"/>
              </w:rPr>
            </w:pPr>
          </w:p>
        </w:tc>
        <w:tc>
          <w:tcPr>
            <w:tcW w:w="1100" w:type="dxa"/>
            <w:vAlign w:val="bottom"/>
            <w:tcBorders>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(48%)</w:t>
            </w: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60"/>
        </w:trPr>
        <w:tc>
          <w:tcPr>
            <w:tcW w:w="2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Adjusted EBITDA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289</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194</w:t>
            </w:r>
          </w:p>
        </w:tc>
        <w:tc>
          <w:tcPr>
            <w:tcW w:w="15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49%</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65</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400" w:type="dxa"/>
            <w:vAlign w:val="bottom"/>
          </w:tcPr>
          <w:p>
            <w:pPr>
              <w:spacing w:after="0"/>
              <w:rPr>
                <w:sz w:val="13"/>
                <w:szCs w:val="13"/>
                <w:color w:val="auto"/>
              </w:rPr>
            </w:pPr>
          </w:p>
        </w:tc>
        <w:tc>
          <w:tcPr>
            <w:tcW w:w="1100" w:type="dxa"/>
            <w:vAlign w:val="bottom"/>
            <w:tcBorders>
              <w:right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rPr>
              <w:t>31%</w:t>
            </w: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60"/>
        </w:trPr>
        <w:tc>
          <w:tcPr>
            <w:tcW w:w="2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Cash Flow from Operating Activities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193</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150</w:t>
            </w:r>
          </w:p>
        </w:tc>
        <w:tc>
          <w:tcPr>
            <w:tcW w:w="150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rPr>
              <w:t>29%</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36</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400" w:type="dxa"/>
            <w:vAlign w:val="bottom"/>
          </w:tcPr>
          <w:p>
            <w:pPr>
              <w:spacing w:after="0"/>
              <w:rPr>
                <w:sz w:val="13"/>
                <w:szCs w:val="13"/>
                <w:color w:val="auto"/>
              </w:rPr>
            </w:pPr>
          </w:p>
        </w:tc>
        <w:tc>
          <w:tcPr>
            <w:tcW w:w="1100" w:type="dxa"/>
            <w:vAlign w:val="bottom"/>
            <w:tcBorders>
              <w:right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rPr>
              <w:t>49%</w:t>
            </w: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bl>
    <w:p>
      <w:pPr>
        <w:spacing w:after="0" w:line="142" w:lineRule="exact"/>
        <w:rPr>
          <w:sz w:val="20"/>
          <w:szCs w:val="20"/>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2023 the net income contained substantial one-time items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detailed analysis of financial results appears below</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2024 Guidance vs Actual Results</w:t>
      </w:r>
    </w:p>
    <w:p>
      <w:pPr>
        <w:spacing w:after="0" w:line="163" w:lineRule="exact"/>
        <w:rPr>
          <w:sz w:val="20"/>
          <w:szCs w:val="20"/>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Reported revenues and income for 2024 was 15% higher than the Company’s original guidance at the midpoint.</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Reported Adjusted EBITDA for 2024 was 18% higher than the Company’s original guidance at the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199390</wp:posOffset>
            </wp:positionV>
            <wp:extent cx="3594735" cy="1388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947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2"/>
          <w:szCs w:val="12"/>
          <w:color w:val="auto"/>
        </w:rPr>
        <w:t>Revenues and Income and Adjusted EBITDA includes $21m of U.S. tax benefits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are proud to conclude 2024 with outstanding financial results that surpassed both our targets and analysts' forecasts,” said Gilad Yavetz, CEO of Enlight Renewable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17"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2"/>
          <w:szCs w:val="12"/>
          <w:color w:val="auto"/>
        </w:rPr>
        <w:t>“Enlight continues to grow thanks to its diversified and innovative operations, spanning three continents and employing the three main technologies of the industry: solar, wind, and energy storage.</w:t>
      </w:r>
    </w:p>
    <w:p>
      <w:pPr>
        <w:spacing w:after="0" w:line="159" w:lineRule="exact"/>
        <w:rPr>
          <w:sz w:val="20"/>
          <w:szCs w:val="20"/>
          <w:color w:val="auto"/>
        </w:rPr>
      </w:pPr>
    </w:p>
    <w:p>
      <w:pPr>
        <w:jc w:val="both"/>
        <w:ind w:left="8" w:right="20"/>
        <w:spacing w:after="0" w:line="272" w:lineRule="auto"/>
        <w:rPr>
          <w:sz w:val="20"/>
          <w:szCs w:val="20"/>
          <w:color w:val="auto"/>
        </w:rPr>
      </w:pPr>
      <w:r>
        <w:rPr>
          <w:rFonts w:ascii="Times New Roman" w:cs="Times New Roman" w:eastAsia="Times New Roman" w:hAnsi="Times New Roman"/>
          <w:sz w:val="12"/>
          <w:szCs w:val="12"/>
          <w:color w:val="auto"/>
        </w:rPr>
        <w:t>“The year 2025 represents another leap forward for us, as a massive capacity of 4.7 FGW – with a total investment of $5.5bn – will be under various stages of construction. Together with the Company's operating portfolio, this will secure approximately 90% of the Company's ambitious growth plan: to reach operating capacity of 8.6 FGW by the end of 2027. This plan will bring Enlight to an annual revenue rate of over $1bn by 2028, tripling the business in just three years.</w:t>
      </w:r>
    </w:p>
    <w:p>
      <w:pPr>
        <w:spacing w:after="0" w:line="13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“We expect that the average return on equity for the vast asset portfolio that will become operational by 2027 will exceed 15%. Our three-year growth plan is already reflected in our 2025 guidance: we project revenues and income in the range of $490-510 million and Adjusted EBITDA in the range of $360-380 million, a 25% increase.”</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Portfolio Review</w:t>
      </w:r>
    </w:p>
    <w:p>
      <w:pPr>
        <w:spacing w:after="0" w:line="154" w:lineRule="exact"/>
        <w:rPr>
          <w:sz w:val="20"/>
          <w:szCs w:val="20"/>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Enlight’s total portfolio is comprised of 20 GW of generation capacity and 35.8 GWh storage (30.2 FGW</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2"/>
          <w:szCs w:val="12"/>
          <w:color w:val="auto"/>
        </w:rPr>
        <w:t>)</w:t>
      </w:r>
    </w:p>
    <w:p>
      <w:pPr>
        <w:spacing w:after="0" w:line="87"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this, the Mature portfolio component (including operating projects, projects under construction or pre-construction) contains 6.1 GW generation capacity and 8.6 GWh of storage (8.6 FGW)</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the Mature portfolio component, the operating component has 2.5 GW of generation capacity and 1.9 GWh of storage (3.0 FGW)</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full composition of the portfolio appears in the following table:</w:t>
      </w:r>
    </w:p>
    <w:p>
      <w:pPr>
        <w:spacing w:after="0" w:line="150" w:lineRule="exact"/>
        <w:rPr>
          <w:sz w:val="20"/>
          <w:szCs w:val="20"/>
          <w:color w:val="auto"/>
        </w:rPr>
      </w:pPr>
    </w:p>
    <w:tbl>
      <w:tblPr>
        <w:tblLayout w:type="fixed"/>
        <w:tblInd w:w="18" w:type="dxa"/>
        <w:tblCellMar>
          <w:top w:w="0" w:type="dxa"/>
          <w:left w:w="0" w:type="dxa"/>
          <w:bottom w:w="0" w:type="dxa"/>
          <w:right w:w="0" w:type="dxa"/>
        </w:tblCellMar>
      </w:tblPr>
      <w:tr>
        <w:trPr>
          <w:trHeight w:val="169"/>
        </w:trPr>
        <w:tc>
          <w:tcPr>
            <w:tcW w:w="1960" w:type="dxa"/>
            <w:vAlign w:val="bottom"/>
            <w:tcBorders>
              <w:top w:val="single" w:sz="8" w:color="auto"/>
              <w:left w:val="single" w:sz="8" w:color="auto"/>
            </w:tcBorders>
            <w:vMerge w:val="restart"/>
            <w:shd w:val="clear" w:color="auto" w:fill="E7E6E6"/>
          </w:tcPr>
          <w:p>
            <w:pPr>
              <w:ind w:left="20"/>
              <w:spacing w:after="0"/>
              <w:rPr>
                <w:sz w:val="20"/>
                <w:szCs w:val="20"/>
                <w:color w:val="auto"/>
              </w:rPr>
            </w:pPr>
            <w:r>
              <w:rPr>
                <w:rFonts w:ascii="Times New Roman" w:cs="Times New Roman" w:eastAsia="Times New Roman" w:hAnsi="Times New Roman"/>
                <w:sz w:val="12"/>
                <w:szCs w:val="12"/>
                <w:b w:val="1"/>
                <w:bCs w:val="1"/>
                <w:color w:val="auto"/>
              </w:rPr>
              <w:t>Component</w:t>
            </w:r>
          </w:p>
        </w:tc>
        <w:tc>
          <w:tcPr>
            <w:tcW w:w="4000" w:type="dxa"/>
            <w:vAlign w:val="bottom"/>
            <w:tcBorders>
              <w:top w:val="single" w:sz="8" w:color="auto"/>
            </w:tcBorders>
            <w:vMerge w:val="restart"/>
            <w:shd w:val="clear" w:color="auto" w:fill="E7E6E6"/>
          </w:tcPr>
          <w:p>
            <w:pPr>
              <w:ind w:left="760"/>
              <w:spacing w:after="0"/>
              <w:rPr>
                <w:sz w:val="20"/>
                <w:szCs w:val="20"/>
                <w:color w:val="auto"/>
              </w:rPr>
            </w:pPr>
            <w:r>
              <w:rPr>
                <w:rFonts w:ascii="Times New Roman" w:cs="Times New Roman" w:eastAsia="Times New Roman" w:hAnsi="Times New Roman"/>
                <w:sz w:val="12"/>
                <w:szCs w:val="12"/>
                <w:b w:val="1"/>
                <w:bCs w:val="1"/>
                <w:color w:val="auto"/>
              </w:rPr>
              <w:t>Status</w:t>
            </w:r>
          </w:p>
        </w:tc>
        <w:tc>
          <w:tcPr>
            <w:tcW w:w="2700" w:type="dxa"/>
            <w:vAlign w:val="bottom"/>
            <w:tcBorders>
              <w:top w:val="single" w:sz="8" w:color="auto"/>
            </w:tcBorders>
            <w:vMerge w:val="restart"/>
            <w:shd w:val="clear" w:color="auto" w:fill="E7E6E6"/>
          </w:tcPr>
          <w:p>
            <w:pPr>
              <w:ind w:left="1460"/>
              <w:spacing w:after="0"/>
              <w:rPr>
                <w:sz w:val="20"/>
                <w:szCs w:val="20"/>
                <w:color w:val="auto"/>
              </w:rPr>
            </w:pPr>
            <w:r>
              <w:rPr>
                <w:rFonts w:ascii="Times New Roman" w:cs="Times New Roman" w:eastAsia="Times New Roman" w:hAnsi="Times New Roman"/>
                <w:sz w:val="12"/>
                <w:szCs w:val="12"/>
                <w:b w:val="1"/>
                <w:bCs w:val="1"/>
                <w:color w:val="auto"/>
              </w:rPr>
              <w:t>FGW</w:t>
            </w:r>
            <w:r>
              <w:rPr>
                <w:rFonts w:ascii="Times New Roman" w:cs="Times New Roman" w:eastAsia="Times New Roman" w:hAnsi="Times New Roman"/>
                <w:sz w:val="19"/>
                <w:szCs w:val="19"/>
                <w:b w:val="1"/>
                <w:bCs w:val="1"/>
                <w:color w:val="auto"/>
                <w:vertAlign w:val="superscript"/>
              </w:rPr>
              <w:t>2</w:t>
            </w:r>
          </w:p>
        </w:tc>
        <w:tc>
          <w:tcPr>
            <w:tcW w:w="2640" w:type="dxa"/>
            <w:vAlign w:val="bottom"/>
            <w:tcBorders>
              <w:top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Annual recurring</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bottom w:val="single" w:sz="8" w:color="E7E6E6"/>
            </w:tcBorders>
            <w:vMerge w:val="continue"/>
            <w:shd w:val="clear" w:color="auto" w:fill="E7E6E6"/>
          </w:tcPr>
          <w:p>
            <w:pPr>
              <w:spacing w:after="0"/>
              <w:rPr>
                <w:sz w:val="15"/>
                <w:szCs w:val="15"/>
                <w:color w:val="auto"/>
              </w:rPr>
            </w:pPr>
          </w:p>
        </w:tc>
        <w:tc>
          <w:tcPr>
            <w:tcW w:w="4000" w:type="dxa"/>
            <w:vAlign w:val="bottom"/>
            <w:tcBorders>
              <w:bottom w:val="single" w:sz="8" w:color="E7E6E6"/>
            </w:tcBorders>
            <w:vMerge w:val="continue"/>
            <w:shd w:val="clear" w:color="auto" w:fill="E7E6E6"/>
          </w:tcPr>
          <w:p>
            <w:pPr>
              <w:spacing w:after="0"/>
              <w:rPr>
                <w:sz w:val="15"/>
                <w:szCs w:val="15"/>
                <w:color w:val="auto"/>
              </w:rPr>
            </w:pPr>
          </w:p>
        </w:tc>
        <w:tc>
          <w:tcPr>
            <w:tcW w:w="2700" w:type="dxa"/>
            <w:vAlign w:val="bottom"/>
            <w:tcBorders>
              <w:bottom w:val="single" w:sz="8" w:color="E7E6E6"/>
            </w:tcBorders>
            <w:vMerge w:val="continue"/>
            <w:shd w:val="clear" w:color="auto" w:fill="E7E6E6"/>
          </w:tcPr>
          <w:p>
            <w:pPr>
              <w:spacing w:after="0"/>
              <w:rPr>
                <w:sz w:val="15"/>
                <w:szCs w:val="15"/>
                <w:color w:val="auto"/>
              </w:rPr>
            </w:pPr>
          </w:p>
        </w:tc>
        <w:tc>
          <w:tcPr>
            <w:tcW w:w="2640" w:type="dxa"/>
            <w:vAlign w:val="bottom"/>
            <w:tcBorders>
              <w:bottom w:val="single" w:sz="8" w:color="E7E6E6"/>
              <w:right w:val="single" w:sz="8" w:color="auto"/>
            </w:tcBorders>
            <w:shd w:val="clear" w:color="auto" w:fill="E7E6E6"/>
          </w:tcPr>
          <w:p>
            <w:pPr>
              <w:jc w:val="center"/>
              <w:spacing w:after="0" w:line="183" w:lineRule="exact"/>
              <w:rPr>
                <w:sz w:val="20"/>
                <w:szCs w:val="20"/>
                <w:color w:val="auto"/>
              </w:rPr>
            </w:pPr>
            <w:r>
              <w:rPr>
                <w:rFonts w:ascii="Times New Roman" w:cs="Times New Roman" w:eastAsia="Times New Roman" w:hAnsi="Times New Roman"/>
                <w:sz w:val="12"/>
                <w:szCs w:val="12"/>
                <w:b w:val="1"/>
                <w:bCs w:val="1"/>
                <w:color w:val="auto"/>
                <w:w w:val="99"/>
              </w:rPr>
              <w:t>revenues ($m)</w:t>
            </w:r>
            <w:r>
              <w:rPr>
                <w:rFonts w:ascii="Times New Roman" w:cs="Times New Roman" w:eastAsia="Times New Roman" w:hAnsi="Times New Roman"/>
                <w:sz w:val="19"/>
                <w:szCs w:val="19"/>
                <w:b w:val="1"/>
                <w:bCs w:val="1"/>
                <w:color w:val="auto"/>
                <w:w w:val="99"/>
                <w:vertAlign w:val="superscript"/>
              </w:rPr>
              <w:t>3</w:t>
            </w:r>
          </w:p>
        </w:tc>
        <w:tc>
          <w:tcPr>
            <w:tcW w:w="0" w:type="dxa"/>
            <w:vAlign w:val="bottom"/>
          </w:tcPr>
          <w:p>
            <w:pPr>
              <w:spacing w:after="0"/>
              <w:rPr>
                <w:sz w:val="1"/>
                <w:szCs w:val="1"/>
                <w:color w:val="auto"/>
              </w:rPr>
            </w:pPr>
          </w:p>
        </w:tc>
      </w:tr>
      <w:tr>
        <w:trPr>
          <w:trHeight w:val="194"/>
        </w:trPr>
        <w:tc>
          <w:tcPr>
            <w:tcW w:w="19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Operating</w:t>
            </w:r>
          </w:p>
        </w:tc>
        <w:tc>
          <w:tcPr>
            <w:tcW w:w="4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2"/>
                <w:szCs w:val="12"/>
                <w:color w:val="auto"/>
              </w:rPr>
              <w:t>Commercial operation</w:t>
            </w:r>
          </w:p>
        </w:tc>
        <w:tc>
          <w:tcPr>
            <w:tcW w:w="2700" w:type="dxa"/>
            <w:vAlign w:val="bottom"/>
            <w:tcBorders>
              <w:top w:val="single" w:sz="8" w:color="auto"/>
            </w:tcBorders>
          </w:tcPr>
          <w:p>
            <w:pPr>
              <w:jc w:val="center"/>
              <w:ind w:left="500"/>
              <w:spacing w:after="0"/>
              <w:rPr>
                <w:sz w:val="20"/>
                <w:szCs w:val="20"/>
                <w:color w:val="auto"/>
              </w:rPr>
            </w:pPr>
            <w:r>
              <w:rPr>
                <w:rFonts w:ascii="Times New Roman" w:cs="Times New Roman" w:eastAsia="Times New Roman" w:hAnsi="Times New Roman"/>
                <w:sz w:val="12"/>
                <w:szCs w:val="12"/>
                <w:color w:val="auto"/>
                <w:w w:val="93"/>
              </w:rPr>
              <w:t>3.0</w:t>
            </w:r>
          </w:p>
        </w:tc>
        <w:tc>
          <w:tcPr>
            <w:tcW w:w="264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2"/>
                <w:szCs w:val="12"/>
                <w:color w:val="auto"/>
                <w:w w:val="97"/>
              </w:rPr>
              <w:t>~500</w:t>
            </w:r>
            <w:r>
              <w:rPr>
                <w:rFonts w:ascii="Times New Roman" w:cs="Times New Roman" w:eastAsia="Times New Roman" w:hAnsi="Times New Roman"/>
                <w:sz w:val="19"/>
                <w:szCs w:val="19"/>
                <w:color w:val="auto"/>
                <w:w w:val="97"/>
                <w:vertAlign w:val="superscript"/>
              </w:rPr>
              <w:t>4</w:t>
            </w:r>
          </w:p>
        </w:tc>
        <w:tc>
          <w:tcPr>
            <w:tcW w:w="0" w:type="dxa"/>
            <w:vAlign w:val="bottom"/>
          </w:tcPr>
          <w:p>
            <w:pPr>
              <w:spacing w:after="0"/>
              <w:rPr>
                <w:sz w:val="1"/>
                <w:szCs w:val="1"/>
                <w:color w:val="auto"/>
              </w:rPr>
            </w:pPr>
          </w:p>
        </w:tc>
      </w:tr>
      <w:tr>
        <w:trPr>
          <w:trHeight w:val="155"/>
        </w:trPr>
        <w:tc>
          <w:tcPr>
            <w:tcW w:w="19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Under Construction</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Under construction</w:t>
            </w:r>
          </w:p>
        </w:tc>
        <w:tc>
          <w:tcPr>
            <w:tcW w:w="2700" w:type="dxa"/>
            <w:vAlign w:val="bottom"/>
          </w:tcPr>
          <w:p>
            <w:pPr>
              <w:jc w:val="center"/>
              <w:ind w:left="500"/>
              <w:spacing w:after="0"/>
              <w:rPr>
                <w:sz w:val="20"/>
                <w:szCs w:val="20"/>
                <w:color w:val="auto"/>
              </w:rPr>
            </w:pPr>
            <w:r>
              <w:rPr>
                <w:rFonts w:ascii="Times New Roman" w:cs="Times New Roman" w:eastAsia="Times New Roman" w:hAnsi="Times New Roman"/>
                <w:sz w:val="12"/>
                <w:szCs w:val="12"/>
                <w:color w:val="auto"/>
                <w:w w:val="93"/>
              </w:rPr>
              <w:t>1.8</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Pre-Construction</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0-12 months to start of construction</w:t>
            </w:r>
          </w:p>
        </w:tc>
        <w:tc>
          <w:tcPr>
            <w:tcW w:w="2700" w:type="dxa"/>
            <w:vAlign w:val="bottom"/>
          </w:tcPr>
          <w:p>
            <w:pPr>
              <w:jc w:val="center"/>
              <w:ind w:left="500"/>
              <w:spacing w:after="0"/>
              <w:rPr>
                <w:sz w:val="20"/>
                <w:szCs w:val="20"/>
                <w:color w:val="auto"/>
              </w:rPr>
            </w:pPr>
            <w:r>
              <w:rPr>
                <w:rFonts w:ascii="Times New Roman" w:cs="Times New Roman" w:eastAsia="Times New Roman" w:hAnsi="Times New Roman"/>
                <w:sz w:val="12"/>
                <w:szCs w:val="12"/>
                <w:color w:val="auto"/>
                <w:w w:val="93"/>
              </w:rPr>
              <w:t>3.8</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60" w:type="dxa"/>
            <w:vAlign w:val="bottom"/>
            <w:tcBorders>
              <w:left w:val="single" w:sz="8" w:color="auto"/>
              <w:bottom w:val="single" w:sz="8" w:color="E7E6E6"/>
            </w:tcBorders>
            <w:shd w:val="clear" w:color="auto" w:fill="E7E6E6"/>
          </w:tcPr>
          <w:p>
            <w:pPr>
              <w:ind w:left="20"/>
              <w:spacing w:after="0"/>
              <w:rPr>
                <w:sz w:val="20"/>
                <w:szCs w:val="20"/>
                <w:color w:val="auto"/>
              </w:rPr>
            </w:pPr>
            <w:r>
              <w:rPr>
                <w:rFonts w:ascii="Times New Roman" w:cs="Times New Roman" w:eastAsia="Times New Roman" w:hAnsi="Times New Roman"/>
                <w:sz w:val="12"/>
                <w:szCs w:val="12"/>
                <w:b w:val="1"/>
                <w:bCs w:val="1"/>
                <w:color w:val="auto"/>
              </w:rPr>
              <w:t>Total Mature Portfolio</w:t>
            </w:r>
          </w:p>
        </w:tc>
        <w:tc>
          <w:tcPr>
            <w:tcW w:w="4000" w:type="dxa"/>
            <w:vAlign w:val="bottom"/>
            <w:tcBorders>
              <w:bottom w:val="single" w:sz="8" w:color="E7E6E6"/>
            </w:tcBorders>
            <w:shd w:val="clear" w:color="auto" w:fill="E7E6E6"/>
          </w:tcPr>
          <w:p>
            <w:pPr>
              <w:ind w:left="760"/>
              <w:spacing w:after="0"/>
              <w:rPr>
                <w:sz w:val="20"/>
                <w:szCs w:val="20"/>
                <w:color w:val="auto"/>
              </w:rPr>
            </w:pPr>
            <w:r>
              <w:rPr>
                <w:rFonts w:ascii="Times New Roman" w:cs="Times New Roman" w:eastAsia="Times New Roman" w:hAnsi="Times New Roman"/>
                <w:sz w:val="12"/>
                <w:szCs w:val="12"/>
                <w:b w:val="1"/>
                <w:bCs w:val="1"/>
                <w:color w:val="auto"/>
              </w:rPr>
              <w:t>Mature</w:t>
            </w:r>
          </w:p>
        </w:tc>
        <w:tc>
          <w:tcPr>
            <w:tcW w:w="2700" w:type="dxa"/>
            <w:vAlign w:val="bottom"/>
            <w:tcBorders>
              <w:bottom w:val="single" w:sz="8" w:color="E7E6E6"/>
            </w:tcBorders>
            <w:shd w:val="clear" w:color="auto" w:fill="E7E6E6"/>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w w:val="93"/>
              </w:rPr>
              <w:t>8.6</w:t>
            </w:r>
          </w:p>
        </w:tc>
        <w:tc>
          <w:tcPr>
            <w:tcW w:w="2640" w:type="dxa"/>
            <w:vAlign w:val="bottom"/>
            <w:tcBorders>
              <w:bottom w:val="single" w:sz="8" w:color="E7E6E6"/>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rPr>
              <w:t>1,060~</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Advanced Development</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13-24 months to start of construction</w:t>
            </w:r>
          </w:p>
        </w:tc>
        <w:tc>
          <w:tcPr>
            <w:tcW w:w="2700" w:type="dxa"/>
            <w:vAlign w:val="bottom"/>
          </w:tcPr>
          <w:p>
            <w:pPr>
              <w:jc w:val="center"/>
              <w:ind w:left="500"/>
              <w:spacing w:after="0"/>
              <w:rPr>
                <w:sz w:val="20"/>
                <w:szCs w:val="20"/>
                <w:color w:val="auto"/>
              </w:rPr>
            </w:pPr>
            <w:r>
              <w:rPr>
                <w:rFonts w:ascii="Times New Roman" w:cs="Times New Roman" w:eastAsia="Times New Roman" w:hAnsi="Times New Roman"/>
                <w:sz w:val="12"/>
                <w:szCs w:val="12"/>
                <w:color w:val="auto"/>
                <w:w w:val="99"/>
              </w:rPr>
              <w:t>7</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89"/>
        </w:trPr>
        <w:tc>
          <w:tcPr>
            <w:tcW w:w="19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Development</w:t>
            </w:r>
          </w:p>
        </w:tc>
        <w:tc>
          <w:tcPr>
            <w:tcW w:w="400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2+ years to start of construction</w:t>
            </w:r>
          </w:p>
        </w:tc>
        <w:tc>
          <w:tcPr>
            <w:tcW w:w="2700" w:type="dxa"/>
            <w:vAlign w:val="bottom"/>
          </w:tcPr>
          <w:p>
            <w:pPr>
              <w:jc w:val="center"/>
              <w:ind w:left="500"/>
              <w:spacing w:after="0"/>
              <w:rPr>
                <w:sz w:val="20"/>
                <w:szCs w:val="20"/>
                <w:color w:val="auto"/>
              </w:rPr>
            </w:pPr>
            <w:r>
              <w:rPr>
                <w:rFonts w:ascii="Times New Roman" w:cs="Times New Roman" w:eastAsia="Times New Roman" w:hAnsi="Times New Roman"/>
                <w:sz w:val="12"/>
                <w:szCs w:val="12"/>
                <w:color w:val="auto"/>
              </w:rPr>
              <w:t>14.7</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60" w:type="dxa"/>
            <w:vAlign w:val="bottom"/>
            <w:tcBorders>
              <w:left w:val="single" w:sz="8" w:color="auto"/>
              <w:bottom w:val="single" w:sz="8" w:color="E7E6E6"/>
            </w:tcBorders>
            <w:shd w:val="clear" w:color="auto" w:fill="E7E6E6"/>
          </w:tcPr>
          <w:p>
            <w:pPr>
              <w:ind w:left="20"/>
              <w:spacing w:after="0"/>
              <w:rPr>
                <w:sz w:val="20"/>
                <w:szCs w:val="20"/>
                <w:color w:val="auto"/>
              </w:rPr>
            </w:pPr>
            <w:r>
              <w:rPr>
                <w:rFonts w:ascii="Times New Roman" w:cs="Times New Roman" w:eastAsia="Times New Roman" w:hAnsi="Times New Roman"/>
                <w:sz w:val="12"/>
                <w:szCs w:val="12"/>
                <w:b w:val="1"/>
                <w:bCs w:val="1"/>
                <w:color w:val="auto"/>
              </w:rPr>
              <w:t>Total Portfolio</w:t>
            </w:r>
          </w:p>
        </w:tc>
        <w:tc>
          <w:tcPr>
            <w:tcW w:w="4000" w:type="dxa"/>
            <w:vAlign w:val="bottom"/>
            <w:tcBorders>
              <w:bottom w:val="single" w:sz="8" w:color="E7E6E6"/>
            </w:tcBorders>
            <w:shd w:val="clear" w:color="auto" w:fill="E7E6E6"/>
          </w:tcPr>
          <w:p>
            <w:pPr>
              <w:spacing w:after="0"/>
              <w:rPr>
                <w:sz w:val="14"/>
                <w:szCs w:val="14"/>
                <w:color w:val="auto"/>
              </w:rPr>
            </w:pPr>
          </w:p>
        </w:tc>
        <w:tc>
          <w:tcPr>
            <w:tcW w:w="2700" w:type="dxa"/>
            <w:vAlign w:val="bottom"/>
            <w:tcBorders>
              <w:bottom w:val="single" w:sz="8" w:color="E7E6E6"/>
            </w:tcBorders>
            <w:shd w:val="clear" w:color="auto" w:fill="E7E6E6"/>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rPr>
              <w:t>30.2</w:t>
            </w:r>
          </w:p>
        </w:tc>
        <w:tc>
          <w:tcPr>
            <w:tcW w:w="2640" w:type="dxa"/>
            <w:vAlign w:val="bottom"/>
            <w:tcBorders>
              <w:bottom w:val="single" w:sz="8" w:color="E7E6E6"/>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0972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48" w:lineRule="exact"/>
        <w:rPr>
          <w:sz w:val="20"/>
          <w:szCs w:val="20"/>
          <w:color w:val="auto"/>
        </w:rPr>
      </w:pPr>
    </w:p>
    <w:p>
      <w:pPr>
        <w:ind w:left="8" w:right="160" w:hanging="8"/>
        <w:spacing w:after="0" w:line="200" w:lineRule="auto"/>
        <w:tabs>
          <w:tab w:leader="none" w:pos="8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FGW (Factored GW) is a consolidated metric combining generation and storage capacity into a uniform figure based on the ratio of construction costs. The company’s current weighted average construction cost ratio is 3.5 GWh of storage per 1 GW of generation: FGW = GW + GWh / 3.5</w:t>
      </w:r>
    </w:p>
    <w:p>
      <w:pPr>
        <w:spacing w:after="0" w:line="1" w:lineRule="exact"/>
        <w:rPr>
          <w:rFonts w:ascii="Times New Roman" w:cs="Times New Roman" w:eastAsia="Times New Roman" w:hAnsi="Times New Roman"/>
          <w:sz w:val="20"/>
          <w:szCs w:val="20"/>
          <w:color w:val="auto"/>
          <w:vertAlign w:val="superscript"/>
        </w:rPr>
      </w:pPr>
    </w:p>
    <w:p>
      <w:pPr>
        <w:ind w:left="8" w:right="6620"/>
        <w:spacing w:after="0" w:line="218"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Does not include income from tax benefits for under construction and pre-construction projects. </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Based on the midpoint of 2025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82" w:right="299" w:bottom="1440" w:gutter="0" w:footer="0" w:header="0"/>
        </w:sectPr>
      </w:pPr>
    </w:p>
    <w:bookmarkStart w:id="6" w:name="page7"/>
    <w:bookmarkEnd w:id="6"/>
    <w:p>
      <w:pPr>
        <w:ind w:left="212" w:hanging="212"/>
        <w:spacing w:after="0"/>
        <w:tabs>
          <w:tab w:leader="none" w:pos="212"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Operating component of the portfolio: 3 FGW</w:t>
      </w:r>
    </w:p>
    <w:p>
      <w:pPr>
        <w:spacing w:after="0" w:line="154" w:lineRule="exact"/>
        <w:rPr>
          <w:sz w:val="20"/>
          <w:szCs w:val="20"/>
          <w:color w:val="auto"/>
        </w:rPr>
      </w:pPr>
    </w:p>
    <w:p>
      <w:pPr>
        <w:ind w:left="652" w:hanging="220"/>
        <w:spacing w:after="0" w:line="279" w:lineRule="auto"/>
        <w:tabs>
          <w:tab w:leader="none" w:pos="652"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Start of commercial operations of 1.1 FGW in 2024, including projects Atrisco in the U.S., Pupin and Tapolca in Europe, the Israel Solar and Storage Cluster in MENA. These additions contribute approximately $100m to the annual revenue run rate.</w:t>
      </w:r>
    </w:p>
    <w:p>
      <w:pPr>
        <w:spacing w:after="0" w:line="11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Under Construction component of the portfolio: 1.8 FGW</w:t>
      </w:r>
    </w:p>
    <w:p>
      <w:pPr>
        <w:spacing w:after="0" w:line="163" w:lineRule="exact"/>
        <w:rPr>
          <w:rFonts w:ascii="Times New Roman" w:cs="Times New Roman" w:eastAsia="Times New Roman" w:hAnsi="Times New Roman"/>
          <w:sz w:val="12"/>
          <w:szCs w:val="12"/>
          <w:color w:val="auto"/>
        </w:rPr>
      </w:pPr>
    </w:p>
    <w:p>
      <w:pPr>
        <w:ind w:left="652" w:right="20" w:hanging="220"/>
        <w:spacing w:after="0" w:line="279" w:lineRule="auto"/>
        <w:tabs>
          <w:tab w:leader="none" w:pos="652"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three projects in the U.S. with a total capacity of 1.4 FGW; the Gecama Solar project in Spain with a capacity of 0.3 FGW; and a solar and storage cluster in Israel. 35% of the cluster is expected to reach operations in 2025, with the rest commissioning in 2026.</w:t>
      </w:r>
    </w:p>
    <w:p>
      <w:pPr>
        <w:spacing w:after="0" w:line="111"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Projects under construction are expected to contribute $175m to the annual revenue run rate during their first full year of operation.</w:t>
      </w:r>
    </w:p>
    <w:p>
      <w:pPr>
        <w:spacing w:after="0" w:line="155"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Pre-construction component of the portfolio: 3.8 FGW</w:t>
      </w:r>
    </w:p>
    <w:p>
      <w:pPr>
        <w:spacing w:after="0" w:line="163"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Two mega projects in the U.S., Snowflake and CO Bar, with a combined capacity of 2.6 FGW will begin construction in 2025 and are expected to contribute $246m to revenues on an annualized basis.</w:t>
      </w:r>
    </w:p>
    <w:p>
      <w:pPr>
        <w:spacing w:after="0" w:line="150"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Nardo, a stand alone storage project in Italy with a capacity of 0.25 FGW, is expected to begin construction in 2H25 and contribute $31m to revenues on an annualized basis.</w:t>
      </w:r>
    </w:p>
    <w:p>
      <w:pPr>
        <w:spacing w:after="0" w:line="155"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Advanced Development component of the portfolio component: 7 FGW</w:t>
      </w:r>
    </w:p>
    <w:p>
      <w:pPr>
        <w:spacing w:after="0" w:line="163"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5.3 FGW in the U.S., with 100% of the capacity having passed completion of the System Impact Study, the most important study of the grid connection process, significantly de-risking the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182245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92"/>
          </w:cols>
          <w:pgMar w:left="508" w:top="278" w:right="299" w:bottom="1440" w:gutter="0" w:footer="0" w:header="0"/>
        </w:sectPr>
      </w:pPr>
    </w:p>
    <w:bookmarkStart w:id="7" w:name="page8"/>
    <w:bookmarkEnd w:id="7"/>
    <w:p>
      <w:pPr>
        <w:ind w:left="652" w:hanging="220"/>
        <w:spacing w:after="0"/>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portfolio includes several mega-projects and follow-ons to Mature projects, such as Cedar Island (1.4 FGW), Snowflake B (1.2 FGW), and Atrisco 2 (0.7 FGW).</w:t>
      </w:r>
    </w:p>
    <w:p>
      <w:pPr>
        <w:spacing w:after="0" w:line="159" w:lineRule="exact"/>
        <w:rPr>
          <w:rFonts w:ascii="Times New Roman" w:cs="Times New Roman" w:eastAsia="Times New Roman" w:hAnsi="Times New Roman"/>
          <w:sz w:val="12"/>
          <w:szCs w:val="12"/>
          <w:color w:val="auto"/>
        </w:rPr>
      </w:pPr>
    </w:p>
    <w:p>
      <w:pPr>
        <w:ind w:left="652" w:hanging="220"/>
        <w:spacing w:after="0" w:line="279" w:lineRule="auto"/>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projects reflect the Company's “Connect and Expand” strategy, leveraging existing grid infrastructure with the development of new ones, thereby reducing construction costs and project risks while improving project returns.</w:t>
      </w:r>
    </w:p>
    <w:p>
      <w:pPr>
        <w:spacing w:after="0" w:line="111"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0.7 FGW in Europe, focused on Italy, Spain, and Croatia.</w:t>
      </w:r>
    </w:p>
    <w:p>
      <w:pPr>
        <w:spacing w:after="0" w:line="159" w:lineRule="exact"/>
        <w:rPr>
          <w:rFonts w:ascii="Times New Roman" w:cs="Times New Roman" w:eastAsia="Times New Roman" w:hAnsi="Times New Roman"/>
          <w:sz w:val="12"/>
          <w:szCs w:val="12"/>
          <w:color w:val="auto"/>
        </w:rPr>
      </w:pPr>
    </w:p>
    <w:p>
      <w:pPr>
        <w:ind w:left="652" w:right="60" w:hanging="220"/>
        <w:spacing w:after="0" w:line="279" w:lineRule="auto"/>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FGW in MENA, focused on solar and storage projects and stand alone storage facilities, including approximately 0.5 FGW that won availability tariffs as part of the Israel Electricity Authority's first high voltage storage availability tariff tender.</w:t>
      </w:r>
    </w:p>
    <w:p>
      <w:pPr>
        <w:spacing w:after="0" w:line="11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Development component of the portfolio: 14.7 FGW</w:t>
      </w:r>
    </w:p>
    <w:p>
      <w:pPr>
        <w:spacing w:after="0" w:line="154"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FGW in the U.S. with broad geographic presence, including the PJM, WECC, SPP and MISO regions.</w:t>
      </w:r>
    </w:p>
    <w:p>
      <w:pPr>
        <w:spacing w:after="0" w:line="159"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2.7 FGW in Europe, focused on Italy, Spain, Croatia and entry into stand-alone storage operations in Poland.</w:t>
      </w:r>
    </w:p>
    <w:p>
      <w:pPr>
        <w:spacing w:after="0" w:line="159" w:lineRule="exact"/>
        <w:rPr>
          <w:rFonts w:ascii="Times New Roman" w:cs="Times New Roman" w:eastAsia="Times New Roman" w:hAnsi="Times New Roman"/>
          <w:sz w:val="12"/>
          <w:szCs w:val="12"/>
          <w:color w:val="auto"/>
        </w:rPr>
      </w:pPr>
    </w:p>
    <w:p>
      <w:pPr>
        <w:ind w:left="652" w:hanging="220"/>
        <w:spacing w:after="0"/>
        <w:tabs>
          <w:tab w:leader="none" w:pos="652"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FGW in MENA, focused on solar combined storage projects and stand alone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182245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932"/>
          </w:cols>
          <w:pgMar w:left="508" w:top="129" w:right="459" w:bottom="1440" w:gutter="0" w:footer="0" w:header="0"/>
        </w:sectPr>
      </w:pPr>
    </w:p>
    <w:bookmarkStart w:id="8" w:name="page9"/>
    <w:bookmarkEnd w:id="8"/>
    <w:p>
      <w:pPr>
        <w:ind w:left="4348"/>
        <w:spacing w:after="0"/>
        <w:rPr>
          <w:sz w:val="20"/>
          <w:szCs w:val="20"/>
          <w:color w:val="auto"/>
        </w:rPr>
      </w:pPr>
      <w:r>
        <w:rPr>
          <w:rFonts w:ascii="Times New Roman" w:cs="Times New Roman" w:eastAsia="Times New Roman" w:hAnsi="Times New Roman"/>
          <w:sz w:val="12"/>
          <w:szCs w:val="12"/>
          <w:b w:val="1"/>
          <w:bCs w:val="1"/>
          <w:color w:val="auto"/>
        </w:rPr>
        <w:t>Projected COD Timeline for the Mature Portfolio</w:t>
      </w:r>
      <w:r>
        <w:rPr>
          <w:rFonts w:ascii="Times New Roman" w:cs="Times New Roman" w:eastAsia="Times New Roman" w:hAnsi="Times New Roman"/>
          <w:sz w:val="19"/>
          <w:szCs w:val="19"/>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62865</wp:posOffset>
            </wp:positionV>
            <wp:extent cx="3937635" cy="180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763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8"/>
        <w:spacing w:after="0"/>
        <w:rPr>
          <w:sz w:val="20"/>
          <w:szCs w:val="20"/>
          <w:color w:val="auto"/>
        </w:rPr>
      </w:pPr>
      <w:r>
        <w:rPr>
          <w:rFonts w:ascii="Times New Roman" w:cs="Times New Roman" w:eastAsia="Times New Roman" w:hAnsi="Times New Roman"/>
          <w:sz w:val="12"/>
          <w:szCs w:val="12"/>
          <w:b w:val="1"/>
          <w:bCs w:val="1"/>
          <w:color w:val="auto"/>
        </w:rPr>
        <w:t>Mature Portfolio Components Expected to Generate Annualized Revenues of Over $1bn</w:t>
      </w:r>
      <w:r>
        <w:rPr>
          <w:rFonts w:ascii="Times New Roman" w:cs="Times New Roman" w:eastAsia="Times New Roman" w:hAnsi="Times New Roman"/>
          <w:sz w:val="19"/>
          <w:szCs w:val="19"/>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160020</wp:posOffset>
            </wp:positionV>
            <wp:extent cx="3783330" cy="1525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8333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28"/>
        <w:spacing w:after="0"/>
        <w:rPr>
          <w:sz w:val="20"/>
          <w:szCs w:val="20"/>
          <w:color w:val="auto"/>
        </w:rPr>
      </w:pPr>
      <w:r>
        <w:rPr>
          <w:rFonts w:ascii="Times New Roman" w:cs="Times New Roman" w:eastAsia="Times New Roman" w:hAnsi="Times New Roman"/>
          <w:sz w:val="12"/>
          <w:szCs w:val="12"/>
          <w:color w:val="auto"/>
        </w:rPr>
        <w:t>All the projects in the plan are expected to be completed by the end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10972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45" w:lineRule="exact"/>
        <w:rPr>
          <w:sz w:val="20"/>
          <w:szCs w:val="20"/>
          <w:color w:val="auto"/>
        </w:rPr>
      </w:pPr>
    </w:p>
    <w:p>
      <w:pPr>
        <w:ind w:left="88" w:hanging="88"/>
        <w:spacing w:after="0"/>
        <w:tabs>
          <w:tab w:leader="none" w:pos="8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Additional projects currently classified in the Advanced Development portfolio are expected to reach commercial operation by 2027, however they are not included in this forecast</w:t>
      </w:r>
    </w:p>
    <w:p>
      <w:pPr>
        <w:spacing w:after="0" w:line="10" w:lineRule="exact"/>
        <w:rPr>
          <w:rFonts w:ascii="Times New Roman" w:cs="Times New Roman" w:eastAsia="Times New Roman" w:hAnsi="Times New Roman"/>
          <w:sz w:val="19"/>
          <w:szCs w:val="19"/>
          <w:color w:val="auto"/>
          <w:vertAlign w:val="superscript"/>
        </w:rPr>
      </w:pPr>
    </w:p>
    <w:p>
      <w:pPr>
        <w:ind w:left="8"/>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The projection is based on 2025 guidance, and only includes additional revenue growth from the sale of electricity from projects under construction and in pre-construction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7"/>
          </w:cols>
          <w:pgMar w:left="292" w:top="272" w:right="1440"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t>Financing Activities</w:t>
      </w:r>
    </w:p>
    <w:p>
      <w:pPr>
        <w:spacing w:after="0" w:line="163" w:lineRule="exact"/>
        <w:rPr>
          <w:sz w:val="20"/>
          <w:szCs w:val="20"/>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closings totaling $1.1bn in Europe and the US occurred during 2024, supporting the construction of projects with 470 MW and 2,100 MWh capacity.</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Expansion of Series D bonds totaling $178m to finance the Company's growth.</w:t>
      </w:r>
    </w:p>
    <w:p>
      <w:pPr>
        <w:spacing w:after="0" w:line="159" w:lineRule="exact"/>
        <w:rPr>
          <w:rFonts w:ascii="Times New Roman" w:cs="Times New Roman" w:eastAsia="Times New Roman" w:hAnsi="Times New Roman"/>
          <w:sz w:val="12"/>
          <w:szCs w:val="12"/>
          <w:color w:val="auto"/>
        </w:rPr>
      </w:pPr>
    </w:p>
    <w:p>
      <w:pPr>
        <w:ind w:left="428" w:hanging="212"/>
        <w:spacing w:after="0" w:line="279" w:lineRule="auto"/>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 of 44% of the Sunlight cluster for $50m cash at a valuation of $114m, generating a profit of up to $94m to be recognized in the first quarter of 2025. The cluster represents approximately 1% of the Company's total portfolio.</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report, the Company maintains $350m of revolving credit facilities, of which $70m have been drawn.</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2025 Guidance</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Construction and commissioning</w:t>
      </w:r>
    </w:p>
    <w:p>
      <w:pPr>
        <w:spacing w:after="0" w:line="172" w:lineRule="exact"/>
        <w:rPr>
          <w:sz w:val="20"/>
          <w:szCs w:val="20"/>
          <w:color w:val="auto"/>
        </w:rPr>
      </w:pPr>
    </w:p>
    <w:p>
      <w:pPr>
        <w:ind w:left="428" w:hanging="212"/>
        <w:spacing w:after="0"/>
        <w:tabs>
          <w:tab w:leader="none" w:pos="4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commissioning of 440 MW and 1.1 GWh of capacity, which is expected to add approximately $130m to annualized revenues and $105m annualized EBITDA, starting in 2026.</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Starting construction on 1.8 GW and 3.9 GWh of capacity, which is expected to add over $300m in annualized revenues and over $250m in annualized EBITDA gradually through 2026-2027.</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guidance</w:t>
      </w:r>
    </w:p>
    <w:p>
      <w:pPr>
        <w:spacing w:after="0" w:line="156" w:lineRule="exact"/>
        <w:rPr>
          <w:sz w:val="20"/>
          <w:szCs w:val="20"/>
          <w:color w:val="auto"/>
        </w:rPr>
      </w:pPr>
    </w:p>
    <w:p>
      <w:pPr>
        <w:ind w:left="428" w:hanging="212"/>
        <w:spacing w:after="0" w:line="206" w:lineRule="auto"/>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revenues and income</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are expected to range between $490m and $510m, a 25% increase (from the midpoint) from 2024 results. Of the projected revenues and income, 38% are expected to be denominated in ILS, 35% in EUR, and 27% in USD.</w:t>
      </w:r>
    </w:p>
    <w:p>
      <w:pPr>
        <w:spacing w:after="0" w:line="13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2"/>
          <w:szCs w:val="12"/>
          <w:color w:val="auto"/>
        </w:rPr>
        <w:t xml:space="preserve"> is expected to range between $360m and $380m, a 28% increase (from the midpoint) from 2024 results.</w:t>
      </w:r>
    </w:p>
    <w:p>
      <w:pPr>
        <w:spacing w:after="0" w:line="8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90% of the electricity volumes expected to be generated in 2025 will be sold at fixed prices through PPAs or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0972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67" w:lineRule="exact"/>
        <w:rPr>
          <w:sz w:val="20"/>
          <w:szCs w:val="20"/>
          <w:color w:val="auto"/>
        </w:rPr>
      </w:pPr>
    </w:p>
    <w:p>
      <w:pPr>
        <w:ind w:left="88" w:hanging="88"/>
        <w:spacing w:after="0"/>
        <w:tabs>
          <w:tab w:leader="none" w:pos="88" w:val="left"/>
        </w:tabs>
        <w:numPr>
          <w:ilvl w:val="0"/>
          <w:numId w:val="15"/>
        </w:numPr>
        <w:rPr>
          <w:rFonts w:ascii="Calibri" w:cs="Calibri" w:eastAsia="Calibri" w:hAnsi="Calibri"/>
          <w:sz w:val="20"/>
          <w:szCs w:val="20"/>
          <w:color w:val="auto"/>
          <w:vertAlign w:val="superscript"/>
        </w:rPr>
      </w:pPr>
      <w:r>
        <w:rPr>
          <w:rFonts w:ascii="Times New Roman" w:cs="Times New Roman" w:eastAsia="Times New Roman" w:hAnsi="Times New Roman"/>
          <w:sz w:val="12"/>
          <w:szCs w:val="12"/>
          <w:color w:val="auto"/>
        </w:rPr>
        <w:t>Total revenues and income include revenues from the sale of electricity along with income from tax benefits from US projects amounting to $60m-80m.</w:t>
      </w:r>
    </w:p>
    <w:p>
      <w:pPr>
        <w:spacing w:after="0" w:line="1" w:lineRule="exact"/>
        <w:rPr>
          <w:sz w:val="20"/>
          <w:szCs w:val="20"/>
          <w:color w:val="auto"/>
        </w:rPr>
      </w:pPr>
    </w:p>
    <w:p>
      <w:pPr>
        <w:ind w:left="8" w:right="100" w:hanging="8"/>
        <w:spacing w:after="0" w:line="198" w:lineRule="auto"/>
        <w:tabs>
          <w:tab w:leader="none" w:pos="8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EBITDA is a non-IFRS financial measure. The Company is unable to provide a reconciliation of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59"/>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Results Analysis</w:t>
            </w: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3"/>
        </w:trPr>
        <w:tc>
          <w:tcPr>
            <w:tcW w:w="2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97"/>
        </w:trPr>
        <w:tc>
          <w:tcPr>
            <w:tcW w:w="2100" w:type="dxa"/>
            <w:vAlign w:val="bottom"/>
            <w:shd w:val="clear" w:color="auto" w:fill="E7E6E6"/>
          </w:tcPr>
          <w:p>
            <w:pPr>
              <w:spacing w:after="0"/>
              <w:rPr>
                <w:sz w:val="24"/>
                <w:szCs w:val="24"/>
                <w:color w:val="auto"/>
              </w:rPr>
            </w:pPr>
          </w:p>
        </w:tc>
        <w:tc>
          <w:tcPr>
            <w:tcW w:w="1580" w:type="dxa"/>
            <w:vAlign w:val="bottom"/>
            <w:shd w:val="clear" w:color="auto" w:fill="E7E6E6"/>
          </w:tcPr>
          <w:p>
            <w:pPr>
              <w:spacing w:after="0"/>
              <w:rPr>
                <w:sz w:val="24"/>
                <w:szCs w:val="24"/>
                <w:color w:val="auto"/>
              </w:rPr>
            </w:pPr>
          </w:p>
        </w:tc>
        <w:tc>
          <w:tcPr>
            <w:tcW w:w="1140" w:type="dxa"/>
            <w:vAlign w:val="bottom"/>
            <w:shd w:val="clear" w:color="auto" w:fill="E7E6E6"/>
          </w:tcPr>
          <w:p>
            <w:pPr>
              <w:spacing w:after="0"/>
              <w:rPr>
                <w:sz w:val="24"/>
                <w:szCs w:val="24"/>
                <w:color w:val="auto"/>
              </w:rPr>
            </w:pPr>
          </w:p>
        </w:tc>
        <w:tc>
          <w:tcPr>
            <w:tcW w:w="212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2"/>
                <w:szCs w:val="12"/>
                <w:b w:val="1"/>
                <w:bCs w:val="1"/>
                <w:color w:val="auto"/>
              </w:rPr>
              <w:t>Revenue &amp; Income by Segment</w:t>
            </w:r>
          </w:p>
        </w:tc>
        <w:tc>
          <w:tcPr>
            <w:tcW w:w="1560" w:type="dxa"/>
            <w:vAlign w:val="bottom"/>
            <w:shd w:val="clear" w:color="auto" w:fill="E7E6E6"/>
          </w:tcPr>
          <w:p>
            <w:pPr>
              <w:spacing w:after="0"/>
              <w:rPr>
                <w:sz w:val="24"/>
                <w:szCs w:val="24"/>
                <w:color w:val="auto"/>
              </w:rPr>
            </w:pPr>
          </w:p>
        </w:tc>
        <w:tc>
          <w:tcPr>
            <w:tcW w:w="1480" w:type="dxa"/>
            <w:vAlign w:val="bottom"/>
            <w:shd w:val="clear" w:color="auto" w:fill="E7E6E6"/>
          </w:tcPr>
          <w:p>
            <w:pPr>
              <w:spacing w:after="0"/>
              <w:rPr>
                <w:sz w:val="24"/>
                <w:szCs w:val="24"/>
                <w:color w:val="auto"/>
              </w:rPr>
            </w:pPr>
          </w:p>
        </w:tc>
        <w:tc>
          <w:tcPr>
            <w:tcW w:w="1320" w:type="dxa"/>
            <w:vAlign w:val="bottom"/>
            <w:shd w:val="clear" w:color="auto" w:fill="E7E6E6"/>
          </w:tcPr>
          <w:p>
            <w:pPr>
              <w:spacing w:after="0"/>
              <w:rPr>
                <w:sz w:val="24"/>
                <w:szCs w:val="24"/>
                <w:color w:val="auto"/>
              </w:rPr>
            </w:pPr>
          </w:p>
        </w:tc>
      </w:tr>
      <w:tr>
        <w:trPr>
          <w:trHeight w:val="304"/>
        </w:trPr>
        <w:tc>
          <w:tcPr>
            <w:tcW w:w="2100" w:type="dxa"/>
            <w:vAlign w:val="bottom"/>
            <w:tcBorders>
              <w:bottom w:val="single" w:sz="8" w:color="auto"/>
            </w:tcBorders>
            <w:shd w:val="clear" w:color="auto" w:fill="E7E6E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 thousands)</w:t>
            </w:r>
          </w:p>
        </w:tc>
        <w:tc>
          <w:tcPr>
            <w:tcW w:w="2720" w:type="dxa"/>
            <w:vAlign w:val="bottom"/>
            <w:tcBorders>
              <w:bottom w:val="single" w:sz="8" w:color="auto"/>
            </w:tcBorders>
            <w:gridSpan w:val="2"/>
            <w:shd w:val="clear" w:color="auto" w:fill="E7E6E6"/>
          </w:tcPr>
          <w:p>
            <w:pPr>
              <w:ind w:left="840"/>
              <w:spacing w:after="0"/>
              <w:rPr>
                <w:sz w:val="20"/>
                <w:szCs w:val="20"/>
                <w:color w:val="auto"/>
              </w:rPr>
            </w:pPr>
            <w:r>
              <w:rPr>
                <w:rFonts w:ascii="Times New Roman" w:cs="Times New Roman" w:eastAsia="Times New Roman" w:hAnsi="Times New Roman"/>
                <w:sz w:val="12"/>
                <w:szCs w:val="12"/>
                <w:b w:val="1"/>
                <w:bCs w:val="1"/>
                <w:color w:val="auto"/>
              </w:rPr>
              <w:t>For the twelve months ended</w:t>
            </w:r>
          </w:p>
        </w:tc>
        <w:tc>
          <w:tcPr>
            <w:tcW w:w="2120" w:type="dxa"/>
            <w:vAlign w:val="bottom"/>
            <w:tcBorders>
              <w:bottom w:val="single" w:sz="8" w:color="auto"/>
            </w:tcBorders>
            <w:shd w:val="clear" w:color="auto" w:fill="E7E6E6"/>
          </w:tcPr>
          <w:p>
            <w:pPr>
              <w:spacing w:after="0"/>
              <w:rPr>
                <w:sz w:val="24"/>
                <w:szCs w:val="24"/>
                <w:color w:val="auto"/>
              </w:rPr>
            </w:pPr>
          </w:p>
        </w:tc>
        <w:tc>
          <w:tcPr>
            <w:tcW w:w="3040" w:type="dxa"/>
            <w:vAlign w:val="bottom"/>
            <w:tcBorders>
              <w:bottom w:val="single" w:sz="8" w:color="auto"/>
            </w:tcBorders>
            <w:gridSpan w:val="2"/>
            <w:shd w:val="clear" w:color="auto" w:fill="E7E6E6"/>
          </w:tcPr>
          <w:p>
            <w:pPr>
              <w:ind w:left="96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1320" w:type="dxa"/>
            <w:vAlign w:val="bottom"/>
            <w:tcBorders>
              <w:bottom w:val="single" w:sz="8" w:color="auto"/>
            </w:tcBorders>
            <w:shd w:val="clear" w:color="auto" w:fill="E7E6E6"/>
          </w:tcPr>
          <w:p>
            <w:pPr>
              <w:spacing w:after="0"/>
              <w:rPr>
                <w:sz w:val="24"/>
                <w:szCs w:val="24"/>
                <w:color w:val="auto"/>
              </w:rPr>
            </w:pPr>
          </w:p>
        </w:tc>
      </w:tr>
      <w:tr>
        <w:trPr>
          <w:trHeight w:val="153"/>
        </w:trPr>
        <w:tc>
          <w:tcPr>
            <w:tcW w:w="2100" w:type="dxa"/>
            <w:vAlign w:val="bottom"/>
            <w:tcBorders>
              <w:bottom w:val="single" w:sz="8" w:color="auto"/>
            </w:tcBorders>
            <w:shd w:val="clear" w:color="auto" w:fill="E7E6E6"/>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Segment</w:t>
            </w:r>
          </w:p>
        </w:tc>
        <w:tc>
          <w:tcPr>
            <w:tcW w:w="1580" w:type="dxa"/>
            <w:vAlign w:val="bottom"/>
            <w:tcBorders>
              <w:bottom w:val="single" w:sz="8" w:color="auto"/>
            </w:tcBorders>
            <w:shd w:val="clear" w:color="auto" w:fill="E7E6E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31/12/2024</w:t>
            </w:r>
          </w:p>
        </w:tc>
        <w:tc>
          <w:tcPr>
            <w:tcW w:w="1140" w:type="dxa"/>
            <w:vAlign w:val="bottom"/>
            <w:tcBorders>
              <w:bottom w:val="single" w:sz="8" w:color="auto"/>
            </w:tcBorders>
            <w:shd w:val="clear" w:color="auto" w:fill="E7E6E6"/>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8"/>
              </w:rPr>
              <w:t>31/12/2023</w:t>
            </w:r>
          </w:p>
        </w:tc>
        <w:tc>
          <w:tcPr>
            <w:tcW w:w="2120" w:type="dxa"/>
            <w:vAlign w:val="bottom"/>
            <w:tcBorders>
              <w:bottom w:val="single" w:sz="8" w:color="auto"/>
            </w:tcBorders>
            <w:shd w:val="clear" w:color="auto" w:fill="E7E6E6"/>
          </w:tcPr>
          <w:p>
            <w:pPr>
              <w:ind w:left="1060"/>
              <w:spacing w:after="0"/>
              <w:rPr>
                <w:sz w:val="20"/>
                <w:szCs w:val="20"/>
                <w:color w:val="auto"/>
              </w:rPr>
            </w:pPr>
            <w:r>
              <w:rPr>
                <w:rFonts w:ascii="Times New Roman" w:cs="Times New Roman" w:eastAsia="Times New Roman" w:hAnsi="Times New Roman"/>
                <w:sz w:val="12"/>
                <w:szCs w:val="12"/>
                <w:b w:val="1"/>
                <w:bCs w:val="1"/>
                <w:color w:val="auto"/>
              </w:rPr>
              <w:t>Change %</w:t>
            </w:r>
          </w:p>
        </w:tc>
        <w:tc>
          <w:tcPr>
            <w:tcW w:w="1560" w:type="dxa"/>
            <w:vAlign w:val="bottom"/>
            <w:tcBorders>
              <w:bottom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rPr>
              <w:t>31/12/2024</w:t>
            </w:r>
          </w:p>
        </w:tc>
        <w:tc>
          <w:tcPr>
            <w:tcW w:w="1480" w:type="dxa"/>
            <w:vAlign w:val="bottom"/>
            <w:tcBorders>
              <w:bottom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31/12/2023</w:t>
            </w:r>
          </w:p>
        </w:tc>
        <w:tc>
          <w:tcPr>
            <w:tcW w:w="1320" w:type="dxa"/>
            <w:vAlign w:val="bottom"/>
            <w:tcBorders>
              <w:bottom w:val="single" w:sz="8" w:color="auto"/>
            </w:tcBorders>
            <w:shd w:val="clear" w:color="auto" w:fill="E7E6E6"/>
          </w:tcPr>
          <w:p>
            <w:pPr>
              <w:ind w:left="420"/>
              <w:spacing w:after="0"/>
              <w:rPr>
                <w:sz w:val="20"/>
                <w:szCs w:val="20"/>
                <w:color w:val="auto"/>
              </w:rPr>
            </w:pPr>
            <w:r>
              <w:rPr>
                <w:rFonts w:ascii="Times New Roman" w:cs="Times New Roman" w:eastAsia="Times New Roman" w:hAnsi="Times New Roman"/>
                <w:sz w:val="12"/>
                <w:szCs w:val="12"/>
                <w:b w:val="1"/>
                <w:bCs w:val="1"/>
                <w:color w:val="auto"/>
              </w:rPr>
              <w:t>Change %</w:t>
            </w:r>
          </w:p>
        </w:tc>
      </w:tr>
      <w:tr>
        <w:trPr>
          <w:trHeight w:val="140"/>
        </w:trPr>
        <w:tc>
          <w:tcPr>
            <w:tcW w:w="21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MENA</w:t>
            </w:r>
          </w:p>
        </w:tc>
        <w:tc>
          <w:tcPr>
            <w:tcW w:w="1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7"/>
              </w:rPr>
              <w:t>155,693</w:t>
            </w:r>
          </w:p>
        </w:tc>
        <w:tc>
          <w:tcPr>
            <w:tcW w:w="114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rPr>
              <w:t>67,687</w:t>
            </w:r>
          </w:p>
        </w:tc>
        <w:tc>
          <w:tcPr>
            <w:tcW w:w="212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9"/>
              </w:rPr>
              <w:t>130%</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34,086</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6"/>
              </w:rPr>
              <w:t>20,738</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r>
      <w:tr>
        <w:trPr>
          <w:trHeight w:val="153"/>
        </w:trPr>
        <w:tc>
          <w:tcPr>
            <w:tcW w:w="21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7"/>
              </w:rPr>
              <w:t>Europe</w:t>
            </w:r>
          </w:p>
        </w:tc>
        <w:tc>
          <w:tcPr>
            <w:tcW w:w="1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7"/>
              </w:rPr>
              <w:t>197,143</w:t>
            </w:r>
          </w:p>
        </w:tc>
        <w:tc>
          <w:tcPr>
            <w:tcW w:w="114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7"/>
              </w:rPr>
              <w:t>177,471</w:t>
            </w:r>
          </w:p>
        </w:tc>
        <w:tc>
          <w:tcPr>
            <w:tcW w:w="212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w w:val="99"/>
              </w:rPr>
              <w:t>11%</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49,979</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6"/>
              </w:rPr>
              <w:t>50,770</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r>
      <w:tr>
        <w:trPr>
          <w:trHeight w:val="153"/>
        </w:trPr>
        <w:tc>
          <w:tcPr>
            <w:tcW w:w="21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U.S.</w:t>
            </w:r>
          </w:p>
        </w:tc>
        <w:tc>
          <w:tcPr>
            <w:tcW w:w="15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36,608</w:t>
            </w:r>
          </w:p>
        </w:tc>
        <w:tc>
          <w:tcPr>
            <w:tcW w:w="114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7,712</w:t>
            </w:r>
          </w:p>
        </w:tc>
        <w:tc>
          <w:tcPr>
            <w:tcW w:w="212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9"/>
              </w:rPr>
              <w:t>375%</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17,894</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3,571</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401%</w:t>
            </w:r>
          </w:p>
        </w:tc>
      </w:tr>
      <w:tr>
        <w:trPr>
          <w:trHeight w:val="162"/>
        </w:trPr>
        <w:tc>
          <w:tcPr>
            <w:tcW w:w="2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4"/>
              </w:rPr>
              <w:t>Other</w:t>
            </w:r>
          </w:p>
        </w:tc>
        <w:tc>
          <w:tcPr>
            <w:tcW w:w="15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6"/>
              </w:rPr>
              <w:t>9,351</w:t>
            </w:r>
          </w:p>
        </w:tc>
        <w:tc>
          <w:tcPr>
            <w:tcW w:w="114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2"/>
                <w:szCs w:val="12"/>
                <w:color w:val="auto"/>
                <w:w w:val="96"/>
              </w:rPr>
              <w:t>8,270</w:t>
            </w:r>
          </w:p>
        </w:tc>
        <w:tc>
          <w:tcPr>
            <w:tcW w:w="212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2"/>
                <w:szCs w:val="12"/>
                <w:color w:val="auto"/>
                <w:w w:val="99"/>
              </w:rPr>
              <w:t>13%</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2,143</w:t>
            </w:r>
          </w:p>
        </w:tc>
        <w:tc>
          <w:tcPr>
            <w:tcW w:w="14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2,009</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r>
      <w:tr>
        <w:trPr>
          <w:trHeight w:val="153"/>
        </w:trPr>
        <w:tc>
          <w:tcPr>
            <w:tcW w:w="2100" w:type="dxa"/>
            <w:vAlign w:val="bottom"/>
            <w:shd w:val="clear" w:color="auto" w:fill="E7E6E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Total Revenue &amp; Income</w:t>
            </w:r>
          </w:p>
        </w:tc>
        <w:tc>
          <w:tcPr>
            <w:tcW w:w="1580" w:type="dxa"/>
            <w:vAlign w:val="bottom"/>
            <w:shd w:val="clear" w:color="auto" w:fill="E7E6E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398,795</w:t>
            </w:r>
          </w:p>
        </w:tc>
        <w:tc>
          <w:tcPr>
            <w:tcW w:w="1140" w:type="dxa"/>
            <w:vAlign w:val="bottom"/>
            <w:shd w:val="clear" w:color="auto" w:fill="E7E6E6"/>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7"/>
              </w:rPr>
              <w:t>261,140</w:t>
            </w:r>
          </w:p>
        </w:tc>
        <w:tc>
          <w:tcPr>
            <w:tcW w:w="2120" w:type="dxa"/>
            <w:vAlign w:val="bottom"/>
            <w:shd w:val="clear" w:color="auto" w:fill="E7E6E6"/>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9"/>
              </w:rPr>
              <w:t>53%</w:t>
            </w:r>
          </w:p>
        </w:tc>
        <w:tc>
          <w:tcPr>
            <w:tcW w:w="1560" w:type="dxa"/>
            <w:vAlign w:val="bottom"/>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rPr>
              <w:t>104,102</w:t>
            </w:r>
          </w:p>
        </w:tc>
        <w:tc>
          <w:tcPr>
            <w:tcW w:w="1480" w:type="dxa"/>
            <w:vAlign w:val="bottom"/>
            <w:shd w:val="clear" w:color="auto" w:fill="E7E6E6"/>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77,088</w:t>
            </w:r>
          </w:p>
        </w:tc>
        <w:tc>
          <w:tcPr>
            <w:tcW w:w="1320" w:type="dxa"/>
            <w:vAlign w:val="bottom"/>
            <w:shd w:val="clear" w:color="auto" w:fill="E7E6E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35%</w:t>
            </w:r>
          </w:p>
        </w:tc>
      </w:tr>
    </w:tbl>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Revenues &amp; Income</w:t>
      </w:r>
    </w:p>
    <w:p>
      <w:pPr>
        <w:spacing w:after="0" w:line="163"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2"/>
          <w:szCs w:val="12"/>
          <w:color w:val="auto"/>
        </w:rPr>
        <w:t>In the fourth quarter of 2024, the Company’s total revenues and income increased to $104m, up from $77m last year, a growth rate of 35% year over year. This was composed of revenues from the sale of electricity, which rose 26% to $93m compared to $74m in the same period of 2023, as well as recognition of $11m in income from tax benefits, up 230% compared to $3m in 4Q23.</w:t>
      </w:r>
    </w:p>
    <w:p>
      <w:pPr>
        <w:spacing w:after="0" w:line="111"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2"/>
          <w:szCs w:val="12"/>
          <w:color w:val="auto"/>
        </w:rPr>
        <w:t>The Company benefited from the revenue contribution of newly operational projects. Since the fourth quarter of 2023, 650 MW and 1,600 MWh of projects were connected to the grid and began selling electricity, including seven of the Israel Solar and Storage Cluster units in Israel, Atrisco in the U.S, Pupin in Serbia, and Tapolca in Hungary. The most important increases in revenue from the sale of electricity originated at the Israel Solar and Storage Cluster, which added $9m, followed by Atrisco, which added $6m in. In total, new projects contributed $18m to revenues from the sale of electricity</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Revenues and income were distributed between MENA, Europe, and the US, with 34% denominated in Israeli Shekel, 47% in Euros, and 18% denominated in US Dollars.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Net Income</w:t>
      </w:r>
    </w:p>
    <w:p>
      <w:pPr>
        <w:spacing w:after="0" w:line="163"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2"/>
          <w:szCs w:val="12"/>
          <w:color w:val="auto"/>
        </w:rPr>
        <w:t>In the fourth quarter, the Company’s net income amounted to $8m compared to $16m last year, a decrease of 48% year over year. In 4Q23 the Company recorded a $12m net profit stemming from the recalculation of earnout payments linked to the acquisition of Clenera. Adjusting for this figure, the net income in 4Q23 was $4m, implying year-on-year growth of 90%.</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Adjusted EBITDA</w:t>
      </w:r>
      <w:r>
        <w:rPr>
          <w:rFonts w:ascii="Calibri" w:cs="Calibri" w:eastAsia="Calibri" w:hAnsi="Calibri"/>
          <w:sz w:val="19"/>
          <w:szCs w:val="19"/>
          <w:b w:val="1"/>
          <w:bCs w:val="1"/>
          <w:color w:val="auto"/>
          <w:vertAlign w:val="superscript"/>
        </w:rPr>
        <w:t>9</w:t>
      </w:r>
    </w:p>
    <w:p>
      <w:pPr>
        <w:spacing w:after="0" w:line="78" w:lineRule="exact"/>
        <w:rPr>
          <w:sz w:val="20"/>
          <w:szCs w:val="20"/>
          <w:color w:val="auto"/>
        </w:rPr>
      </w:pPr>
    </w:p>
    <w:p>
      <w:pPr>
        <w:ind w:left="8" w:right="120"/>
        <w:spacing w:after="0" w:line="280" w:lineRule="auto"/>
        <w:rPr>
          <w:sz w:val="20"/>
          <w:szCs w:val="20"/>
          <w:color w:val="auto"/>
        </w:rPr>
      </w:pPr>
      <w:r>
        <w:rPr>
          <w:rFonts w:ascii="Times New Roman" w:cs="Times New Roman" w:eastAsia="Times New Roman" w:hAnsi="Times New Roman"/>
          <w:sz w:val="12"/>
          <w:szCs w:val="12"/>
          <w:color w:val="auto"/>
        </w:rPr>
        <w:t>In the fourth quarter of 2024, the Company’s Adjusted EBITDA grew by 31% to $65m compared to $50m for the same period in 2023. The increase in Adjusted EBITDA was driven by the same factors that drove the increase in revenues and income, namely new projects and the recognition of higher amounts of tax benefits. This was offset by an additional $6m in higher operating expenses linked to new projects, while company overheads rose by $5m year-on-year.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0972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51" w:lineRule="exact"/>
        <w:rPr>
          <w:sz w:val="20"/>
          <w:szCs w:val="20"/>
          <w:color w:val="auto"/>
        </w:rPr>
      </w:pPr>
    </w:p>
    <w:p>
      <w:pPr>
        <w:ind w:left="88" w:hanging="88"/>
        <w:spacing w:after="0"/>
        <w:tabs>
          <w:tab w:leader="none" w:pos="8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Adjusted EBITDA is a non-IFRS measure. Please see the appendix of this presentation for a reconciliation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63"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Enlight plans to hold its Fourth Quarter 2024 Conference Call and Webcast on Wednesday, February 19, 2025 at 8:00 a.m. ET to review its financial results and business outlook. Management will deliver prepared remarks followed by a question-and-answer session. Participants can join by dial-in or webcast:</w:t>
      </w:r>
    </w:p>
    <w:p>
      <w:pPr>
        <w:spacing w:after="0" w:line="107" w:lineRule="exact"/>
        <w:rPr>
          <w:sz w:val="20"/>
          <w:szCs w:val="20"/>
          <w:color w:val="auto"/>
        </w:rPr>
      </w:pPr>
    </w:p>
    <w:p>
      <w:pPr>
        <w:ind w:left="208" w:hanging="208"/>
        <w:spacing w:after="0"/>
        <w:tabs>
          <w:tab w:leader="none" w:pos="2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Conference Call:</w:t>
      </w:r>
    </w:p>
    <w:p>
      <w:pPr>
        <w:spacing w:after="0" w:line="16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Please pre-register to join by conference call using the following link: </w:t>
      </w:r>
      <w:r>
        <w:rPr>
          <w:rFonts w:ascii="Times New Roman" w:cs="Times New Roman" w:eastAsia="Times New Roman" w:hAnsi="Times New Roman"/>
          <w:sz w:val="12"/>
          <w:szCs w:val="12"/>
          <w:u w:val="single" w:color="auto"/>
          <w:color w:val="auto"/>
        </w:rPr>
        <w:t>https://register.vevent.com/register/BI9b595c26a5dc4208953cad5b9bb5f4e8</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Upon registering, you will be emailed a dial-in number, direct passcode and unique PIN.</w:t>
      </w:r>
    </w:p>
    <w:p>
      <w:pPr>
        <w:spacing w:after="0" w:line="164" w:lineRule="exact"/>
        <w:rPr>
          <w:sz w:val="20"/>
          <w:szCs w:val="20"/>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Webcast:</w:t>
      </w:r>
    </w:p>
    <w:p>
      <w:pPr>
        <w:spacing w:after="0" w:line="15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Please register and join by webcast at the following link:</w:t>
      </w:r>
    </w:p>
    <w:p>
      <w:pPr>
        <w:spacing w:after="0" w:line="1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u w:val="single" w:color="auto"/>
          <w:color w:val="auto"/>
        </w:rPr>
        <w:t>https://edge.media-server.com/mmc/p/74sp8fv8</w:t>
      </w:r>
    </w:p>
    <w:p>
      <w:pPr>
        <w:spacing w:after="0" w:line="157"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 xml:space="preserve">The press release with the financial results as well as the investor presentation materials will be accessible from the Company’s website prior to the conference call. Approximately one hour after completion of the live call, an archived version of the webcast will be available on the Company’s investor relations website at </w:t>
      </w:r>
      <w:r>
        <w:rPr>
          <w:rFonts w:ascii="Times New Roman" w:cs="Times New Roman" w:eastAsia="Times New Roman" w:hAnsi="Times New Roman"/>
          <w:sz w:val="12"/>
          <w:szCs w:val="12"/>
          <w:u w:val="single" w:color="auto"/>
          <w:color w:val="auto"/>
        </w:rPr>
        <w:t>https://enlightenergy.co.il/info/investors/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Supplemental Financial and Other Information</w:t>
      </w:r>
    </w:p>
    <w:p>
      <w:pPr>
        <w:spacing w:after="0" w:line="163" w:lineRule="exact"/>
        <w:rPr>
          <w:sz w:val="20"/>
          <w:szCs w:val="20"/>
          <w:color w:val="auto"/>
        </w:rPr>
      </w:pPr>
    </w:p>
    <w:p>
      <w:pPr>
        <w:ind w:left="8" w:right="80"/>
        <w:spacing w:after="0" w:line="280" w:lineRule="auto"/>
        <w:rPr>
          <w:sz w:val="20"/>
          <w:szCs w:val="20"/>
          <w:color w:val="auto"/>
        </w:rPr>
      </w:pPr>
      <w:r>
        <w:rPr>
          <w:rFonts w:ascii="Times New Roman" w:cs="Times New Roman" w:eastAsia="Times New Roman" w:hAnsi="Times New Roman"/>
          <w:sz w:val="12"/>
          <w:szCs w:val="12"/>
          <w:color w:val="auto"/>
        </w:rPr>
        <w:t xml:space="preserve">We intend to announce material information to the public through the Enlight investor relations website at </w:t>
      </w:r>
      <w:r>
        <w:rPr>
          <w:rFonts w:ascii="Times New Roman" w:cs="Times New Roman" w:eastAsia="Times New Roman" w:hAnsi="Times New Roman"/>
          <w:sz w:val="12"/>
          <w:szCs w:val="12"/>
          <w:u w:val="single" w:color="auto"/>
          <w:color w:val="auto"/>
        </w:rPr>
        <w:t>https://enlightenergy.co.il/info/investors</w:t>
      </w:r>
      <w:r>
        <w:rPr>
          <w:rFonts w:ascii="Times New Roman" w:cs="Times New Roman" w:eastAsia="Times New Roman" w:hAnsi="Times New Roman"/>
          <w:sz w:val="12"/>
          <w:szCs w:val="12"/>
          <w:color w:val="auto"/>
        </w:rPr>
        <w:t>,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of our website.</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Non-IFRS Financial Measures</w:t>
      </w:r>
    </w:p>
    <w:p>
      <w:pPr>
        <w:spacing w:after="0" w:line="163" w:lineRule="exact"/>
        <w:rPr>
          <w:sz w:val="20"/>
          <w:szCs w:val="20"/>
          <w:color w:val="auto"/>
        </w:rPr>
      </w:pPr>
    </w:p>
    <w:p>
      <w:pPr>
        <w:ind w:left="8" w:right="360"/>
        <w:spacing w:after="0" w:line="295" w:lineRule="auto"/>
        <w:rPr>
          <w:sz w:val="20"/>
          <w:szCs w:val="20"/>
          <w:color w:val="auto"/>
        </w:rPr>
      </w:pPr>
      <w:r>
        <w:rPr>
          <w:rFonts w:ascii="Times New Roman" w:cs="Times New Roman" w:eastAsia="Times New Roman" w:hAnsi="Times New Roman"/>
          <w:sz w:val="12"/>
          <w:szCs w:val="12"/>
          <w:color w:val="auto"/>
        </w:rPr>
        <w:t>This release presents Adjusted EBITDA, a financial metric, which is provided as a complement to the results provided in accordance with the International Financial Reporting Standards as issued by the International Accounting Standards Board (“IFRS”). A reconciliation of the non-IFRS financial information to the most directly comparable IFRS financial measure is provided in the accompanying tables found at the end of this release.</w:t>
      </w:r>
    </w:p>
    <w:p>
      <w:pPr>
        <w:spacing w:after="0" w:line="111" w:lineRule="exact"/>
        <w:rPr>
          <w:sz w:val="20"/>
          <w:szCs w:val="20"/>
          <w:color w:val="auto"/>
        </w:rPr>
      </w:pPr>
    </w:p>
    <w:p>
      <w:pPr>
        <w:ind w:left="8" w:right="20"/>
        <w:spacing w:after="0" w:line="268" w:lineRule="auto"/>
        <w:rPr>
          <w:sz w:val="20"/>
          <w:szCs w:val="20"/>
          <w:color w:val="auto"/>
        </w:rPr>
      </w:pPr>
      <w:r>
        <w:rPr>
          <w:rFonts w:ascii="Times New Roman" w:cs="Times New Roman" w:eastAsia="Times New Roman" w:hAnsi="Times New Roman"/>
          <w:sz w:val="12"/>
          <w:szCs w:val="12"/>
          <w:color w:val="auto"/>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Enlight’s strategy to accelerate growth and reduce the need for equity financing, the Company sells parts of or the entirety of selected renewable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2" w:name="page13"/>
    <w:bookmarkEnd w:id="12"/>
    <w:p>
      <w:pPr>
        <w:spacing w:after="0" w:line="270" w:lineRule="auto"/>
        <w:rPr>
          <w:sz w:val="20"/>
          <w:szCs w:val="20"/>
          <w:color w:val="auto"/>
        </w:rPr>
      </w:pPr>
      <w:r>
        <w:rPr>
          <w:rFonts w:ascii="Times New Roman" w:cs="Times New Roman" w:eastAsia="Times New Roman" w:hAnsi="Times New Roman"/>
          <w:sz w:val="12"/>
          <w:szCs w:val="12"/>
          <w:color w:val="auto"/>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Adjusted EBITDA provided below to Net Income and to not rely on any single financial measure to evaluate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business strategy and plans, capabilities of the Company’s project portfolio and achievement of operational objectives, market opportunity, utility demand and potential growth, discussions with commercial counterparties and financing sources, pricing trends for materials, progress of Company projects, including anticipated timing of related approvals and project completion and anticipated production delays, the Company’s future financial results, expected impact from various regulatory developments and anticipated trade sanctions, expectations regarding wind production, electricity prices and windfall taxes, and Revenues and Income and Adjusted EBITDA guidance, the expected timing of completion of our ongoing projects, and the Company’s anticipated cash requirements and financing plans ,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2"/>
          <w:szCs w:val="12"/>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or benefits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as may be updated in our other documents filed with or furnished to the SEC.</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About Enlight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Founded in 2008, Enlight develops, finances, constructs, owns, and operates utility-scale renewable energy projects. Enlight operates across the three largest renewable segments today: solar, wind and energy storage. A global platform,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Enlight operates in the United States, Israel and 9 European countries. Enlight has been traded on the Tel Aviv Stock Exchange since 2010 (TASE: ENLT) and completed its U.S. IPO (Nasdaq: ENLT) in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Contacts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Yonah Weisz</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Erica Mannion or Mike Funari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Sapphire Investor Relations,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+1 617 542 6180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b w:val="1"/>
          <w:bCs w:val="1"/>
          <w:color w:val="auto"/>
        </w:rPr>
        <w:t>Appendix 1 – Financial information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780" w:type="dxa"/>
            <w:vAlign w:val="bottom"/>
          </w:tcPr>
          <w:p>
            <w:pPr>
              <w:spacing w:after="0"/>
              <w:rPr>
                <w:sz w:val="13"/>
                <w:szCs w:val="13"/>
                <w:color w:val="auto"/>
              </w:rPr>
            </w:pPr>
          </w:p>
        </w:tc>
        <w:tc>
          <w:tcPr>
            <w:tcW w:w="252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For the year ended at</w:t>
            </w:r>
          </w:p>
        </w:tc>
      </w:tr>
      <w:tr>
        <w:trPr>
          <w:trHeight w:val="159"/>
        </w:trPr>
        <w:tc>
          <w:tcPr>
            <w:tcW w:w="8780" w:type="dxa"/>
            <w:vAlign w:val="bottom"/>
          </w:tcPr>
          <w:p>
            <w:pPr>
              <w:spacing w:after="0"/>
              <w:rPr>
                <w:sz w:val="13"/>
                <w:szCs w:val="13"/>
                <w:color w:val="auto"/>
              </w:rPr>
            </w:pPr>
          </w:p>
        </w:tc>
        <w:tc>
          <w:tcPr>
            <w:tcW w:w="1540" w:type="dxa"/>
            <w:vAlign w:val="bottom"/>
            <w:tcBorders>
              <w:bottom w:val="single" w:sz="8" w:color="auto"/>
            </w:tcBorders>
            <w:gridSpan w:val="3"/>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6"/>
        </w:trPr>
        <w:tc>
          <w:tcPr>
            <w:tcW w:w="878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Pr>
          <w:p>
            <w:pPr>
              <w:spacing w:after="0"/>
              <w:rPr>
                <w:sz w:val="11"/>
                <w:szCs w:val="11"/>
                <w:color w:val="auto"/>
              </w:rPr>
            </w:pPr>
          </w:p>
        </w:tc>
      </w:tr>
      <w:tr>
        <w:trPr>
          <w:trHeight w:val="153"/>
        </w:trPr>
        <w:tc>
          <w:tcPr>
            <w:tcW w:w="8780" w:type="dxa"/>
            <w:vAlign w:val="bottom"/>
          </w:tcPr>
          <w:p>
            <w:pPr>
              <w:spacing w:after="0"/>
              <w:rPr>
                <w:sz w:val="13"/>
                <w:szCs w:val="13"/>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USD in</w:t>
            </w:r>
          </w:p>
        </w:tc>
      </w:tr>
      <w:tr>
        <w:trPr>
          <w:trHeight w:val="166"/>
        </w:trPr>
        <w:tc>
          <w:tcPr>
            <w:tcW w:w="8780" w:type="dxa"/>
            <w:vAlign w:val="bottom"/>
          </w:tcPr>
          <w:p>
            <w:pPr>
              <w:spacing w:after="0"/>
              <w:rPr>
                <w:sz w:val="14"/>
                <w:szCs w:val="14"/>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377,935</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255,702</w:t>
            </w:r>
          </w:p>
        </w:tc>
        <w:tc>
          <w:tcPr>
            <w:tcW w:w="160" w:type="dxa"/>
            <w:vAlign w:val="bottom"/>
            <w:shd w:val="clear" w:color="auto" w:fill="CCEEFF"/>
          </w:tcPr>
          <w:p>
            <w:pPr>
              <w:spacing w:after="0"/>
              <w:rPr>
                <w:sz w:val="13"/>
                <w:szCs w:val="13"/>
                <w:color w:val="auto"/>
              </w:rPr>
            </w:pP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20,860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5,438</w:t>
            </w:r>
          </w:p>
        </w:tc>
      </w:tr>
      <w:tr>
        <w:trPr>
          <w:trHeight w:val="151"/>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398,795</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261,140</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142"/>
        </w:trPr>
        <w:tc>
          <w:tcPr>
            <w:tcW w:w="8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 (**)</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(80,696)</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(52,794)</w:t>
            </w: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(108,889)</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(65,796)</w:t>
            </w: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(38,847)</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(31,356)</w:t>
            </w: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Development expenses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(11,601)</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(6,347)</w:t>
            </w:r>
          </w:p>
        </w:tc>
      </w:tr>
      <w:tr>
        <w:trPr>
          <w:trHeight w:val="151"/>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(240,033)</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(156,293)</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151"/>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Gains from projects disposals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9,846</w:t>
            </w:r>
          </w:p>
        </w:tc>
      </w:tr>
      <w:tr>
        <w:trPr>
          <w:trHeight w:val="153"/>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16,172</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43,450</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151"/>
        </w:trPr>
        <w:tc>
          <w:tcPr>
            <w:tcW w:w="8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175,535</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158,143</w:t>
            </w:r>
          </w:p>
        </w:tc>
        <w:tc>
          <w:tcPr>
            <w:tcW w:w="160" w:type="dxa"/>
            <w:vAlign w:val="bottom"/>
          </w:tcPr>
          <w:p>
            <w:pPr>
              <w:spacing w:after="0"/>
              <w:rPr>
                <w:sz w:val="13"/>
                <w:szCs w:val="13"/>
                <w:color w:val="auto"/>
              </w:rPr>
            </w:pPr>
          </w:p>
        </w:tc>
      </w:tr>
      <w:tr>
        <w:trPr>
          <w:trHeight w:val="142"/>
        </w:trPr>
        <w:tc>
          <w:tcPr>
            <w:tcW w:w="8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20,439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36,799</w:t>
            </w: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(107,844)</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(68,143)</w:t>
            </w:r>
          </w:p>
        </w:tc>
      </w:tr>
      <w:tr>
        <w:trPr>
          <w:trHeight w:val="20"/>
        </w:trPr>
        <w:tc>
          <w:tcPr>
            <w:tcW w:w="87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51"/>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Total finance expenses, net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(87,405)</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(31,344)</w:t>
            </w:r>
          </w:p>
        </w:tc>
      </w:tr>
      <w:tr>
        <w:trPr>
          <w:trHeight w:val="142"/>
        </w:trPr>
        <w:tc>
          <w:tcPr>
            <w:tcW w:w="878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before tax and equity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88,130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126,799</w:t>
            </w: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loss of equity accounted investees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(3,350)</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(330)</w:t>
            </w:r>
          </w:p>
        </w:tc>
      </w:tr>
      <w:tr>
        <w:trPr>
          <w:trHeight w:val="151"/>
        </w:trPr>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84,780</w:t>
            </w: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126,469</w:t>
            </w:r>
          </w:p>
        </w:tc>
        <w:tc>
          <w:tcPr>
            <w:tcW w:w="160" w:type="dxa"/>
            <w:vAlign w:val="bottom"/>
            <w:tcBorders>
              <w:top w:val="single" w:sz="8" w:color="CCEEFF"/>
            </w:tcBorders>
          </w:tcPr>
          <w:p>
            <w:pPr>
              <w:spacing w:after="0"/>
              <w:rPr>
                <w:sz w:val="13"/>
                <w:szCs w:val="13"/>
                <w:color w:val="auto"/>
              </w:rPr>
            </w:pP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(18,275)</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(28,428)</w:t>
            </w:r>
          </w:p>
        </w:tc>
      </w:tr>
      <w:tr>
        <w:trPr>
          <w:trHeight w:val="151"/>
        </w:trPr>
        <w:tc>
          <w:tcPr>
            <w:tcW w:w="8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Profit for the year</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66,505</w:t>
            </w: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98,041</w:t>
            </w:r>
          </w:p>
        </w:tc>
        <w:tc>
          <w:tcPr>
            <w:tcW w:w="160" w:type="dxa"/>
            <w:vAlign w:val="bottom"/>
            <w:tcBorders>
              <w:top w:val="single" w:sz="8" w:color="CCEEFF"/>
            </w:tcBorders>
          </w:tcPr>
          <w:p>
            <w:pPr>
              <w:spacing w:after="0"/>
              <w:rPr>
                <w:sz w:val="13"/>
                <w:szCs w:val="13"/>
                <w:color w:val="auto"/>
              </w:rPr>
            </w:pPr>
          </w:p>
        </w:tc>
      </w:tr>
      <w:tr>
        <w:trPr>
          <w:trHeight w:val="142"/>
        </w:trPr>
        <w:tc>
          <w:tcPr>
            <w:tcW w:w="8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Profit for the year attributed to:</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Owners of the Company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44,209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70,924</w:t>
            </w: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22,296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27,117</w:t>
            </w:r>
          </w:p>
        </w:tc>
      </w:tr>
      <w:tr>
        <w:trPr>
          <w:trHeight w:val="191"/>
        </w:trPr>
        <w:tc>
          <w:tcPr>
            <w:tcW w:w="87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66,505</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98,041</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29"/>
        </w:trPr>
        <w:tc>
          <w:tcPr>
            <w:tcW w:w="87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Earnings per ordinary share (in USD) with a par value of</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NIS 0.1, attributable to owners of the parent Company:</w:t>
            </w: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0.37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0.61</w:t>
            </w:r>
          </w:p>
        </w:tc>
      </w:tr>
      <w:tr>
        <w:trPr>
          <w:trHeight w:val="20"/>
        </w:trPr>
        <w:tc>
          <w:tcPr>
            <w:tcW w:w="8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87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Diluted earnings per share</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0.36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0.57</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29"/>
        </w:trPr>
        <w:tc>
          <w:tcPr>
            <w:tcW w:w="87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Weighted average of share capital used in the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calculation of earnings:</w:t>
            </w: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3"/>
        </w:trPr>
        <w:tc>
          <w:tcPr>
            <w:tcW w:w="8780" w:type="dxa"/>
            <w:vAlign w:val="bottom"/>
          </w:tcPr>
          <w:p>
            <w:pPr>
              <w:spacing w:after="0"/>
              <w:rPr>
                <w:sz w:val="20"/>
                <w:szCs w:val="20"/>
                <w:color w:val="auto"/>
              </w:rPr>
            </w:pPr>
            <w:r>
              <w:rPr>
                <w:rFonts w:ascii="Times New Roman" w:cs="Times New Roman" w:eastAsia="Times New Roman" w:hAnsi="Times New Roman"/>
                <w:sz w:val="12"/>
                <w:szCs w:val="12"/>
                <w:color w:val="auto"/>
              </w:rPr>
              <w:t>Basic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118,293,556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115,721,346</w:t>
            </w:r>
          </w:p>
        </w:tc>
      </w:tr>
      <w:tr>
        <w:trPr>
          <w:trHeight w:val="20"/>
        </w:trPr>
        <w:tc>
          <w:tcPr>
            <w:tcW w:w="8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87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Diluted per share</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123,312,565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123,861,293</w:t>
            </w:r>
          </w:p>
        </w:tc>
        <w:tc>
          <w:tcPr>
            <w:tcW w:w="160" w:type="dxa"/>
            <w:vAlign w:val="bottom"/>
            <w:tcBorders>
              <w:bottom w:val="single" w:sz="8" w:color="CCEEFF"/>
            </w:tcBorders>
            <w:shd w:val="clear" w:color="auto" w:fill="CCEEFF"/>
          </w:tcPr>
          <w:p>
            <w:pPr>
              <w:spacing w:after="0"/>
              <w:rPr>
                <w:sz w:val="14"/>
                <w:szCs w:val="14"/>
                <w:color w:val="auto"/>
              </w:rPr>
            </w:pPr>
          </w:p>
        </w:tc>
      </w:tr>
    </w:tbl>
    <w:p>
      <w:pPr>
        <w:spacing w:after="0" w:line="142" w:lineRule="exact"/>
        <w:rPr>
          <w:sz w:val="20"/>
          <w:szCs w:val="20"/>
          <w:color w:val="auto"/>
        </w:rPr>
      </w:pPr>
    </w:p>
    <w:p>
      <w:pPr>
        <w:ind w:left="8" w:right="3360" w:hanging="8"/>
        <w:spacing w:after="0" w:line="279" w:lineRule="auto"/>
        <w:tabs>
          <w:tab w:leader="none" w:pos="17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Consolidated Statements of Income have been adjusted to present comparable information for the previous year. For additional details please see Appendix 8. (**) Excluding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r>
      <w:tr>
        <w:trPr>
          <w:trHeight w:val="166"/>
        </w:trPr>
        <w:tc>
          <w:tcPr>
            <w:tcW w:w="87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4"/>
                <w:szCs w:val="14"/>
                <w:color w:val="auto"/>
              </w:rPr>
            </w:pPr>
          </w:p>
        </w:tc>
      </w:tr>
      <w:tr>
        <w:trPr>
          <w:trHeight w:val="138"/>
        </w:trPr>
        <w:tc>
          <w:tcPr>
            <w:tcW w:w="87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2"/>
                <w:szCs w:val="12"/>
                <w:color w:val="auto"/>
              </w:rPr>
            </w:pPr>
          </w:p>
        </w:tc>
      </w:tr>
      <w:tr>
        <w:trPr>
          <w:trHeight w:val="166"/>
        </w:trPr>
        <w:tc>
          <w:tcPr>
            <w:tcW w:w="87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387,427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403,805</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Deposits in banks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5,308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100,090</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142,695</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50,692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43,100</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99,651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60,691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maturities of contract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8,070</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975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 of disposal groups classified as held for sale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81,661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720,496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664,645</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48,251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38,891</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receivables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61,045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32,540</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costs in respect of projects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357,358</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271,424</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borrowing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493</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to investee entities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18,112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35,878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Contract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91,346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assets,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3,699,192</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2,947,369</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291,442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287,961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10,744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9,134</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210,941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121,348</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profit or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69,216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53,466</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financial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59,812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79,426</w:t>
            </w: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4,826,389</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3,969,276</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9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5,546,885</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4,633,921</w:t>
            </w:r>
          </w:p>
        </w:tc>
      </w:tr>
      <w:tr>
        <w:trPr>
          <w:trHeight w:val="246"/>
        </w:trPr>
        <w:tc>
          <w:tcPr>
            <w:tcW w:w="8700" w:type="dxa"/>
            <w:vAlign w:val="bottom"/>
            <w:tcBorders>
              <w:top w:val="single" w:sz="8" w:color="CCEEFF"/>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r>
    </w:tbl>
    <w:p>
      <w:pPr>
        <w:sectPr>
          <w:pgSz w:w="11900" w:h="16838" w:orient="portrait"/>
          <w:cols w:equalWidth="0" w:num="1">
            <w:col w:w="11300"/>
          </w:cols>
          <w:pgMar w:left="300" w:top="278"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 as of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w:t>
            </w: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7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USD in</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Credit and current maturities of loans from</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212,246</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banks and other financial institutions</w:t>
            </w:r>
          </w:p>
        </w:tc>
        <w:tc>
          <w:tcPr>
            <w:tcW w:w="1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324,666</w:t>
            </w: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161,991</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105,574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107,825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103,622</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maturities of debentures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44,962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26,233</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Current maturities of lease liability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10,240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8,113</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liabilities through profit or loss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13,860</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8,141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1,224</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 of disposal groups classified as held for sale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46,635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592,040</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583,292</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Debentures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433,994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293,751</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107,865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62,020</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133,056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130,566</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Loans from banks and other financial institutions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1,996,137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1,702,925</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Loans from non-controlling interests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75,598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92,750</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Financial liabilities through profit or loss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25,844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34,524</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41,792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44,941</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Employee benefits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4,784</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liability</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211,941</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119,484</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related to tax equity</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403,384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60,880</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83,085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68,047</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3,513,911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2,614,672</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4,105,951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3,197,964</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Ordinary share capital</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3,308</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3,293</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Share premium</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1,028,532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1,028,532</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reserves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25,273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57,730</w:t>
            </w:r>
          </w:p>
        </w:tc>
        <w:tc>
          <w:tcPr>
            <w:tcW w:w="0" w:type="dxa"/>
            <w:vAlign w:val="bottom"/>
          </w:tcPr>
          <w:p>
            <w:pPr>
              <w:spacing w:after="0"/>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Proceeds on account of convertible options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15,494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15,494</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profit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107,919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63,710</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Equity attributable to shareholders of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1,180,526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1,168,759</w:t>
            </w:r>
          </w:p>
        </w:tc>
        <w:tc>
          <w:tcPr>
            <w:tcW w:w="0" w:type="dxa"/>
            <w:vAlign w:val="bottom"/>
          </w:tcPr>
          <w:p>
            <w:pPr>
              <w:spacing w:after="0"/>
              <w:rPr>
                <w:sz w:val="1"/>
                <w:szCs w:val="1"/>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260,408</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267,198</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1,440,934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1,435,957</w:t>
            </w:r>
          </w:p>
        </w:tc>
        <w:tc>
          <w:tcPr>
            <w:tcW w:w="0" w:type="dxa"/>
            <w:vAlign w:val="bottom"/>
          </w:tcPr>
          <w:p>
            <w:pPr>
              <w:spacing w:after="0"/>
              <w:rPr>
                <w:sz w:val="1"/>
                <w:szCs w:val="1"/>
                <w:color w:val="auto"/>
              </w:rPr>
            </w:pPr>
          </w:p>
        </w:tc>
      </w:tr>
      <w:tr>
        <w:trPr>
          <w:trHeight w:val="19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5,546,885</w:t>
            </w:r>
          </w:p>
        </w:tc>
        <w:tc>
          <w:tcPr>
            <w:tcW w:w="2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4,633,921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8700" w:type="dxa"/>
            <w:vAlign w:val="bottom"/>
            <w:tcBorders>
              <w:top w:val="single" w:sz="8" w:color="CCEEFF"/>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For the year ended at</w:t>
      </w:r>
    </w:p>
    <w:p>
      <w:pPr>
        <w:spacing w:after="0" w:line="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7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3"/>
                <w:szCs w:val="13"/>
                <w:color w:val="auto"/>
              </w:rPr>
            </w:pPr>
          </w:p>
        </w:tc>
      </w:tr>
      <w:tr>
        <w:trPr>
          <w:trHeight w:val="136"/>
        </w:trPr>
        <w:tc>
          <w:tcPr>
            <w:tcW w:w="870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0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87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44"/>
        </w:trPr>
        <w:tc>
          <w:tcPr>
            <w:tcW w:w="87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for operating activities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Profit for the period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66,505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98,041</w:t>
            </w:r>
          </w:p>
        </w:tc>
      </w:tr>
      <w:tr>
        <w:trPr>
          <w:trHeight w:val="144"/>
        </w:trPr>
        <w:tc>
          <w:tcPr>
            <w:tcW w:w="87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and expenses not associated with cash flows: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108,889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65,796</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83,560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28,805</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8,360</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4,970</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18,275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28,428</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(5,438)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(4,963)</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(46,991)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Company’s share in losses of investee partnerships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3,350</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330</w:t>
            </w: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196,611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75,900</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Changes in assets and liabilities items: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other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12,261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(3,241)</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Change in trade receivables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(9,892)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(2,841)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other payables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6,382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Change in trade payables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746</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15,474</w:t>
            </w:r>
          </w:p>
        </w:tc>
      </w:tr>
      <w:tr>
        <w:trPr>
          <w:trHeight w:val="151"/>
        </w:trPr>
        <w:tc>
          <w:tcPr>
            <w:tcW w:w="87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3,409</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15,774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receipts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12,684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12,490</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(74,891)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(54,469)</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paid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(11,246)</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(12,236)</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contract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14,120</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from operating activities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193,072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149,620</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for investing activities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 (Acquisition) of consolidated entities,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1,871</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(6,975)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Changes in restricted cash and bank deposits,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29,959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(53,131)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development, and construction in respect of projects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(899,257)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(730,976)</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Loans provided and Investment in investees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(26,444)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(28,174)</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on account of acquisition of consolidated entity</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(32,777)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(5,728)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(purchase) of financial assets measured at fair value through profit or loss, net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(14,719)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26,919</w:t>
            </w:r>
          </w:p>
        </w:tc>
      </w:tr>
      <w:tr>
        <w:trPr>
          <w:trHeight w:val="15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(941,367)</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(798,065)</w:t>
            </w:r>
          </w:p>
        </w:tc>
        <w:tc>
          <w:tcPr>
            <w:tcW w:w="120" w:type="dxa"/>
            <w:vAlign w:val="bottom"/>
            <w:shd w:val="clear" w:color="auto" w:fill="CCEEFF"/>
          </w:tcPr>
          <w:p>
            <w:pPr>
              <w:spacing w:after="0"/>
              <w:rPr>
                <w:sz w:val="13"/>
                <w:szCs w:val="13"/>
                <w:color w:val="auto"/>
              </w:rPr>
            </w:pPr>
          </w:p>
        </w:tc>
      </w:tr>
      <w:tr>
        <w:trPr>
          <w:trHeight w:val="270"/>
        </w:trPr>
        <w:tc>
          <w:tcPr>
            <w:tcW w:w="87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78"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For the year ended at</w:t>
      </w:r>
    </w:p>
    <w:p>
      <w:pPr>
        <w:spacing w:after="0" w:line="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7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3"/>
                <w:szCs w:val="13"/>
                <w:color w:val="auto"/>
              </w:rPr>
            </w:pPr>
          </w:p>
        </w:tc>
      </w:tr>
      <w:tr>
        <w:trPr>
          <w:trHeight w:val="136"/>
        </w:trPr>
        <w:tc>
          <w:tcPr>
            <w:tcW w:w="870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USD in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USD in</w:t>
            </w:r>
          </w:p>
        </w:tc>
        <w:tc>
          <w:tcPr>
            <w:tcW w:w="120" w:type="dxa"/>
            <w:vAlign w:val="bottom"/>
          </w:tcPr>
          <w:p>
            <w:pPr>
              <w:spacing w:after="0"/>
              <w:rPr>
                <w:sz w:val="11"/>
                <w:szCs w:val="11"/>
                <w:color w:val="auto"/>
              </w:rPr>
            </w:pPr>
          </w:p>
        </w:tc>
      </w:tr>
      <w:tr>
        <w:trPr>
          <w:trHeight w:val="166"/>
        </w:trPr>
        <w:tc>
          <w:tcPr>
            <w:tcW w:w="87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Thousands</w:t>
            </w:r>
          </w:p>
        </w:tc>
      </w:tr>
      <w:tr>
        <w:trPr>
          <w:trHeight w:val="144"/>
        </w:trPr>
        <w:tc>
          <w:tcPr>
            <w:tcW w:w="87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Receipt of loans from banks and other financial institutions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939,627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623,927</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from banks and other financial institutions</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(699,586)</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(203,499)</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debentures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177,914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83,038</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debentures</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(26,016)</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(14,735)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Dividends and distributions by subsidiaries to non-controlling interests</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(25,534)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(13,328)</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investments by tax-equity investors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410,845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198,758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tax equity investment</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(839)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(82,721)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borrowing costs</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(21,637)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(1,984)</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Receipt of loans from non-controlling interests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274</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loans from non-controlling interests</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(2,960)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(1,485)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holding rights of consolidated entity</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(169)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266,451</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lease liability</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(5,852)</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(4,848)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investment in entities by non-controlling interest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5,448</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from financing activities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745,987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855,305</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Increase (Decrease) in cash and cash equivalents</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(2,308)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206,860</w:t>
            </w:r>
          </w:p>
        </w:tc>
      </w:tr>
      <w:tr>
        <w:trPr>
          <w:trHeight w:val="144"/>
        </w:trPr>
        <w:tc>
          <w:tcPr>
            <w:tcW w:w="87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of cash and cash equivalents at beginning of period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403,805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193,869</w:t>
            </w:r>
          </w:p>
        </w:tc>
      </w:tr>
      <w:tr>
        <w:trPr>
          <w:trHeight w:val="144"/>
        </w:trPr>
        <w:tc>
          <w:tcPr>
            <w:tcW w:w="87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Changes in cash of disposal groups classified as held for sale</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(5,753)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 fluctuations on cash and cash equivalents</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(8,317)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3,076</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387,427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403,805</w:t>
            </w: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ectPr>
          <w:pgSz w:w="11900" w:h="16838" w:orient="portrait"/>
          <w:cols w:equalWidth="0" w:num="1">
            <w:col w:w="11300"/>
          </w:cols>
          <w:pgMar w:left="300" w:top="278" w:right="299" w:bottom="1440" w:gutter="0" w:footer="0" w:header="0"/>
        </w:sectPr>
      </w:pPr>
    </w:p>
    <w:bookmarkStart w:id="20" w:name="page21"/>
    <w:bookmarkEnd w:id="2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2"/>
                <w:szCs w:val="12"/>
                <w:color w:val="auto"/>
              </w:rPr>
            </w:pPr>
          </w:p>
        </w:tc>
        <w:tc>
          <w:tcPr>
            <w:tcW w:w="114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MENA(**)</w:t>
            </w:r>
          </w:p>
        </w:tc>
        <w:tc>
          <w:tcPr>
            <w:tcW w:w="240" w:type="dxa"/>
            <w:vAlign w:val="bottom"/>
            <w:vMerge w:val="restart"/>
          </w:tcPr>
          <w:p>
            <w:pPr>
              <w:spacing w:after="0"/>
              <w:rPr>
                <w:sz w:val="12"/>
                <w:szCs w:val="12"/>
                <w:color w:val="auto"/>
              </w:rPr>
            </w:pPr>
          </w:p>
        </w:tc>
        <w:tc>
          <w:tcPr>
            <w:tcW w:w="114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155,693</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197,143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15,748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368,584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9,351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377,935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155,693</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197,143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36,608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389,444</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9,351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377,935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123,724</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165,385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33,539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322,648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4,141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326,789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(37,774)</w:t>
            </w: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(117,249)</w:t>
            </w:r>
          </w:p>
        </w:tc>
        <w:tc>
          <w:tcPr>
            <w:tcW w:w="0" w:type="dxa"/>
            <w:vAlign w:val="bottom"/>
          </w:tcPr>
          <w:p>
            <w:pPr>
              <w:spacing w:after="0"/>
              <w:rPr>
                <w:sz w:val="1"/>
                <w:szCs w:val="1"/>
                <w:color w:val="auto"/>
              </w:rPr>
            </w:pPr>
          </w:p>
        </w:tc>
      </w:tr>
      <w:tr>
        <w:trPr>
          <w:trHeight w:val="15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incomes not attributed to segments</w:t>
            </w: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3,669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175,535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20,439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(107,844)</w:t>
            </w: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(3,350)</w:t>
            </w:r>
          </w:p>
        </w:tc>
        <w:tc>
          <w:tcPr>
            <w:tcW w:w="0" w:type="dxa"/>
            <w:vAlign w:val="bottom"/>
          </w:tcPr>
          <w:p>
            <w:pPr>
              <w:spacing w:after="0"/>
              <w:rPr>
                <w:sz w:val="1"/>
                <w:szCs w:val="1"/>
                <w:color w:val="auto"/>
              </w:rPr>
            </w:pPr>
          </w:p>
        </w:tc>
      </w:tr>
      <w:tr>
        <w:trPr>
          <w:trHeight w:val="151"/>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84,780</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28" w:hanging="328"/>
        <w:spacing w:after="0"/>
        <w:tabs>
          <w:tab w:leader="none" w:pos="3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159" w:lineRule="exact"/>
        <w:rPr>
          <w:sz w:val="20"/>
          <w:szCs w:val="20"/>
          <w:color w:val="auto"/>
        </w:rPr>
      </w:pPr>
    </w:p>
    <w:p>
      <w:pPr>
        <w:ind w:left="328" w:right="180" w:hanging="328"/>
        <w:spacing w:after="0" w:line="265" w:lineRule="auto"/>
        <w:tabs>
          <w:tab w:leader="none" w:pos="32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the Company's organizational restructuring, the Chief Operation Decision Maker (CODM) now reviews the group’s results by segmenting them into four business units: MENA (Middle East and North Africa), Europe, the US, and Management and Construction. Consequently, the Central/Eastern Europe and Western Europe segments have been consolidated into the "Europe" segment, and the Israel segment has been incorporated into the MENA segment. The comparative figures for the year ended December 31, 2023, have been updated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b w:val="1"/>
          <w:bCs w:val="1"/>
          <w:color w:val="auto"/>
        </w:rPr>
        <w:t>Information related to Segmental Reporting</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MENA</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 reportable</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USD in</w:t>
            </w: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w w:val="99"/>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67,687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177,471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2,274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247,432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8,270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255,702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benefits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5,438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5,438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 and income</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67,687</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177,471</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7,712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252,870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8,270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261,140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60" w:type="dxa"/>
            <w:vAlign w:val="bottom"/>
            <w:gridSpan w:val="2"/>
          </w:tcPr>
          <w:p>
            <w:pPr>
              <w:spacing w:after="0"/>
              <w:rPr>
                <w:sz w:val="10"/>
                <w:szCs w:val="10"/>
                <w:color w:val="auto"/>
              </w:rPr>
            </w:pPr>
          </w:p>
        </w:tc>
        <w:tc>
          <w:tcPr>
            <w:tcW w:w="60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7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71,350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150,677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12,133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234,160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3,035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237,195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Reconciliations of unallocated amounts: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Headquarter costs (*)</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(30,434)</w:t>
            </w: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 profit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Repayment of contract asset under concession arrangements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(14,120)</w:t>
            </w: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 and share-based compensation</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(70,766)</w:t>
            </w: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incomes not attributed to segments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34,681</w:t>
            </w:r>
          </w:p>
        </w:tc>
        <w:tc>
          <w:tcPr>
            <w:tcW w:w="0" w:type="dxa"/>
            <w:vAlign w:val="bottom"/>
          </w:tcPr>
          <w:p>
            <w:pPr>
              <w:spacing w:after="0"/>
              <w:rPr>
                <w:sz w:val="1"/>
                <w:szCs w:val="1"/>
                <w:color w:val="auto"/>
              </w:rPr>
            </w:pPr>
          </w:p>
        </w:tc>
      </w:tr>
      <w:tr>
        <w:trPr>
          <w:trHeight w:val="151"/>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3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158,143</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36,799</w:t>
            </w: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(68,143)</w:t>
            </w: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 in the losses of equity accounted investees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(330)</w:t>
            </w:r>
          </w:p>
        </w:tc>
        <w:tc>
          <w:tcPr>
            <w:tcW w:w="0" w:type="dxa"/>
            <w:vAlign w:val="bottom"/>
          </w:tcPr>
          <w:p>
            <w:pPr>
              <w:spacing w:after="0"/>
              <w:rPr>
                <w:sz w:val="1"/>
                <w:szCs w:val="1"/>
                <w:color w:val="auto"/>
              </w:rPr>
            </w:pPr>
          </w:p>
        </w:tc>
      </w:tr>
      <w:tr>
        <w:trPr>
          <w:trHeight w:val="191"/>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taxes</w:t>
            </w: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126,469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28" w:hanging="328"/>
        <w:spacing w:after="0"/>
        <w:tabs>
          <w:tab w:leader="none" w:pos="32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2 - Reconciliations between Net Income to Adjusted EBITDA</w:t>
            </w:r>
          </w:p>
        </w:tc>
        <w:tc>
          <w:tcPr>
            <w:tcW w:w="1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4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468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color w:val="FFFFFF"/>
              </w:rPr>
              <w:t>($ thousands)</w:t>
            </w:r>
          </w:p>
        </w:tc>
        <w:tc>
          <w:tcPr>
            <w:tcW w:w="1160" w:type="dxa"/>
            <w:vAlign w:val="bottom"/>
            <w:shd w:val="clear" w:color="auto" w:fill="1764AC"/>
          </w:tcPr>
          <w:p>
            <w:pPr>
              <w:spacing w:after="0"/>
              <w:rPr>
                <w:sz w:val="13"/>
                <w:szCs w:val="13"/>
                <w:color w:val="auto"/>
              </w:rPr>
            </w:pPr>
          </w:p>
        </w:tc>
        <w:tc>
          <w:tcPr>
            <w:tcW w:w="2200" w:type="dxa"/>
            <w:vAlign w:val="bottom"/>
            <w:shd w:val="clear" w:color="auto" w:fill="1764AC"/>
          </w:tcPr>
          <w:p>
            <w:pPr>
              <w:jc w:val="center"/>
              <w:ind w:right="1060"/>
              <w:spacing w:after="0"/>
              <w:rPr>
                <w:sz w:val="20"/>
                <w:szCs w:val="20"/>
                <w:color w:val="auto"/>
              </w:rPr>
            </w:pPr>
            <w:r>
              <w:rPr>
                <w:rFonts w:ascii="Times New Roman" w:cs="Times New Roman" w:eastAsia="Times New Roman" w:hAnsi="Times New Roman"/>
                <w:sz w:val="12"/>
                <w:szCs w:val="12"/>
                <w:b w:val="1"/>
                <w:bCs w:val="1"/>
                <w:color w:val="FFFFFF"/>
                <w:w w:val="98"/>
              </w:rPr>
              <w:t>For the year ended</w:t>
            </w:r>
          </w:p>
        </w:tc>
        <w:tc>
          <w:tcPr>
            <w:tcW w:w="1060" w:type="dxa"/>
            <w:vAlign w:val="bottom"/>
            <w:shd w:val="clear" w:color="auto" w:fill="1764AC"/>
          </w:tcPr>
          <w:p>
            <w:pPr>
              <w:spacing w:after="0"/>
              <w:rPr>
                <w:sz w:val="13"/>
                <w:szCs w:val="13"/>
                <w:color w:val="auto"/>
              </w:rPr>
            </w:pPr>
          </w:p>
        </w:tc>
        <w:tc>
          <w:tcPr>
            <w:tcW w:w="2200" w:type="dxa"/>
            <w:vAlign w:val="bottom"/>
            <w:shd w:val="clear" w:color="auto" w:fill="1764AC"/>
          </w:tcPr>
          <w:p>
            <w:pPr>
              <w:jc w:val="center"/>
              <w:ind w:right="940"/>
              <w:spacing w:after="0"/>
              <w:rPr>
                <w:sz w:val="20"/>
                <w:szCs w:val="20"/>
                <w:color w:val="auto"/>
              </w:rPr>
            </w:pPr>
            <w:r>
              <w:rPr>
                <w:rFonts w:ascii="Times New Roman" w:cs="Times New Roman" w:eastAsia="Times New Roman" w:hAnsi="Times New Roman"/>
                <w:sz w:val="12"/>
                <w:szCs w:val="12"/>
                <w:b w:val="1"/>
                <w:bCs w:val="1"/>
                <w:color w:val="FFFFFF"/>
                <w:w w:val="99"/>
              </w:rPr>
              <w:t>For the three months</w:t>
            </w:r>
          </w:p>
        </w:tc>
      </w:tr>
      <w:tr>
        <w:trPr>
          <w:trHeight w:val="153"/>
        </w:trPr>
        <w:tc>
          <w:tcPr>
            <w:tcW w:w="4680" w:type="dxa"/>
            <w:vAlign w:val="bottom"/>
            <w:shd w:val="clear" w:color="auto" w:fill="1764AC"/>
          </w:tcPr>
          <w:p>
            <w:pPr>
              <w:spacing w:after="0"/>
              <w:rPr>
                <w:sz w:val="13"/>
                <w:szCs w:val="13"/>
                <w:color w:val="auto"/>
              </w:rPr>
            </w:pPr>
          </w:p>
        </w:tc>
        <w:tc>
          <w:tcPr>
            <w:tcW w:w="1160" w:type="dxa"/>
            <w:vAlign w:val="bottom"/>
            <w:shd w:val="clear" w:color="auto" w:fill="1764AC"/>
          </w:tcPr>
          <w:p>
            <w:pPr>
              <w:spacing w:after="0"/>
              <w:rPr>
                <w:sz w:val="13"/>
                <w:szCs w:val="13"/>
                <w:color w:val="auto"/>
              </w:rPr>
            </w:pPr>
          </w:p>
        </w:tc>
        <w:tc>
          <w:tcPr>
            <w:tcW w:w="2200" w:type="dxa"/>
            <w:vAlign w:val="bottom"/>
            <w:shd w:val="clear" w:color="auto" w:fill="1764AC"/>
          </w:tcPr>
          <w:p>
            <w:pPr>
              <w:jc w:val="center"/>
              <w:ind w:right="1060"/>
              <w:spacing w:after="0"/>
              <w:rPr>
                <w:sz w:val="20"/>
                <w:szCs w:val="20"/>
                <w:color w:val="auto"/>
              </w:rPr>
            </w:pPr>
            <w:r>
              <w:rPr>
                <w:rFonts w:ascii="Times New Roman" w:cs="Times New Roman" w:eastAsia="Times New Roman" w:hAnsi="Times New Roman"/>
                <w:sz w:val="12"/>
                <w:szCs w:val="12"/>
                <w:b w:val="1"/>
                <w:bCs w:val="1"/>
                <w:color w:val="FFFFFF"/>
              </w:rPr>
              <w:t>December 31</w:t>
            </w:r>
          </w:p>
        </w:tc>
        <w:tc>
          <w:tcPr>
            <w:tcW w:w="1060" w:type="dxa"/>
            <w:vAlign w:val="bottom"/>
            <w:shd w:val="clear" w:color="auto" w:fill="1764AC"/>
          </w:tcPr>
          <w:p>
            <w:pPr>
              <w:spacing w:after="0"/>
              <w:rPr>
                <w:sz w:val="13"/>
                <w:szCs w:val="13"/>
                <w:color w:val="auto"/>
              </w:rPr>
            </w:pPr>
          </w:p>
        </w:tc>
        <w:tc>
          <w:tcPr>
            <w:tcW w:w="2200" w:type="dxa"/>
            <w:vAlign w:val="bottom"/>
            <w:shd w:val="clear" w:color="auto" w:fill="1764AC"/>
          </w:tcPr>
          <w:p>
            <w:pPr>
              <w:jc w:val="center"/>
              <w:ind w:right="940"/>
              <w:spacing w:after="0"/>
              <w:rPr>
                <w:sz w:val="20"/>
                <w:szCs w:val="20"/>
                <w:color w:val="auto"/>
              </w:rPr>
            </w:pPr>
            <w:r>
              <w:rPr>
                <w:rFonts w:ascii="Times New Roman" w:cs="Times New Roman" w:eastAsia="Times New Roman" w:hAnsi="Times New Roman"/>
                <w:sz w:val="12"/>
                <w:szCs w:val="12"/>
                <w:b w:val="1"/>
                <w:bCs w:val="1"/>
                <w:color w:val="FFFFFF"/>
                <w:w w:val="99"/>
              </w:rPr>
              <w:t>ended December 31</w:t>
            </w:r>
          </w:p>
        </w:tc>
      </w:tr>
      <w:tr>
        <w:trPr>
          <w:trHeight w:val="153"/>
        </w:trPr>
        <w:tc>
          <w:tcPr>
            <w:tcW w:w="4680" w:type="dxa"/>
            <w:vAlign w:val="bottom"/>
            <w:shd w:val="clear" w:color="auto" w:fill="1764AC"/>
          </w:tcPr>
          <w:p>
            <w:pPr>
              <w:spacing w:after="0"/>
              <w:rPr>
                <w:sz w:val="13"/>
                <w:szCs w:val="13"/>
                <w:color w:val="auto"/>
              </w:rPr>
            </w:pPr>
          </w:p>
        </w:tc>
        <w:tc>
          <w:tcPr>
            <w:tcW w:w="1160" w:type="dxa"/>
            <w:vAlign w:val="bottom"/>
            <w:shd w:val="clear" w:color="auto" w:fill="1764AC"/>
          </w:tcPr>
          <w:p>
            <w:pPr>
              <w:jc w:val="center"/>
              <w:ind w:left="540"/>
              <w:spacing w:after="0"/>
              <w:rPr>
                <w:sz w:val="20"/>
                <w:szCs w:val="20"/>
                <w:color w:val="auto"/>
              </w:rPr>
            </w:pPr>
            <w:r>
              <w:rPr>
                <w:rFonts w:ascii="Times New Roman" w:cs="Times New Roman" w:eastAsia="Times New Roman" w:hAnsi="Times New Roman"/>
                <w:sz w:val="12"/>
                <w:szCs w:val="12"/>
                <w:b w:val="1"/>
                <w:bCs w:val="1"/>
                <w:color w:val="FFFFFF"/>
                <w:w w:val="99"/>
              </w:rPr>
              <w:t>2024</w:t>
            </w:r>
          </w:p>
        </w:tc>
        <w:tc>
          <w:tcPr>
            <w:tcW w:w="2200" w:type="dxa"/>
            <w:vAlign w:val="bottom"/>
            <w:shd w:val="clear" w:color="auto" w:fill="1764AC"/>
          </w:tcPr>
          <w:p>
            <w:pPr>
              <w:jc w:val="center"/>
              <w:ind w:left="460"/>
              <w:spacing w:after="0"/>
              <w:rPr>
                <w:sz w:val="20"/>
                <w:szCs w:val="20"/>
                <w:color w:val="auto"/>
              </w:rPr>
            </w:pPr>
            <w:r>
              <w:rPr>
                <w:rFonts w:ascii="Times New Roman" w:cs="Times New Roman" w:eastAsia="Times New Roman" w:hAnsi="Times New Roman"/>
                <w:sz w:val="12"/>
                <w:szCs w:val="12"/>
                <w:b w:val="1"/>
                <w:bCs w:val="1"/>
                <w:color w:val="FFFFFF"/>
                <w:w w:val="99"/>
              </w:rPr>
              <w:t>2023</w:t>
            </w:r>
          </w:p>
        </w:tc>
        <w:tc>
          <w:tcPr>
            <w:tcW w:w="1060" w:type="dxa"/>
            <w:vAlign w:val="bottom"/>
            <w:shd w:val="clear" w:color="auto" w:fill="1764AC"/>
          </w:tcPr>
          <w:p>
            <w:pPr>
              <w:jc w:val="center"/>
              <w:ind w:left="520"/>
              <w:spacing w:after="0"/>
              <w:rPr>
                <w:sz w:val="20"/>
                <w:szCs w:val="20"/>
                <w:color w:val="auto"/>
              </w:rPr>
            </w:pPr>
            <w:r>
              <w:rPr>
                <w:rFonts w:ascii="Times New Roman" w:cs="Times New Roman" w:eastAsia="Times New Roman" w:hAnsi="Times New Roman"/>
                <w:sz w:val="12"/>
                <w:szCs w:val="12"/>
                <w:b w:val="1"/>
                <w:bCs w:val="1"/>
                <w:color w:val="FFFFFF"/>
                <w:w w:val="99"/>
              </w:rPr>
              <w:t>2024</w:t>
            </w:r>
          </w:p>
        </w:tc>
        <w:tc>
          <w:tcPr>
            <w:tcW w:w="2200" w:type="dxa"/>
            <w:vAlign w:val="bottom"/>
            <w:shd w:val="clear" w:color="auto" w:fill="1764AC"/>
          </w:tcPr>
          <w:p>
            <w:pPr>
              <w:jc w:val="center"/>
              <w:ind w:left="580"/>
              <w:spacing w:after="0"/>
              <w:rPr>
                <w:sz w:val="20"/>
                <w:szCs w:val="20"/>
                <w:color w:val="auto"/>
              </w:rPr>
            </w:pPr>
            <w:r>
              <w:rPr>
                <w:rFonts w:ascii="Times New Roman" w:cs="Times New Roman" w:eastAsia="Times New Roman" w:hAnsi="Times New Roman"/>
                <w:sz w:val="12"/>
                <w:szCs w:val="12"/>
                <w:b w:val="1"/>
                <w:bCs w:val="1"/>
                <w:color w:val="FFFFFF"/>
                <w:w w:val="99"/>
              </w:rPr>
              <w:t>2023</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66,505</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98,041</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8,372</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16,202</w:t>
            </w: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108,889</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65,796</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30,912</w:t>
            </w:r>
          </w:p>
        </w:tc>
        <w:tc>
          <w:tcPr>
            <w:tcW w:w="2200" w:type="dxa"/>
            <w:vAlign w:val="bottom"/>
          </w:tcPr>
          <w:p>
            <w:pPr>
              <w:jc w:val="center"/>
              <w:ind w:left="580"/>
              <w:spacing w:after="0"/>
              <w:rPr>
                <w:sz w:val="20"/>
                <w:szCs w:val="20"/>
                <w:color w:val="auto"/>
              </w:rPr>
            </w:pPr>
            <w:r>
              <w:rPr>
                <w:rFonts w:ascii="Times New Roman" w:cs="Times New Roman" w:eastAsia="Times New Roman" w:hAnsi="Times New Roman"/>
                <w:sz w:val="12"/>
                <w:szCs w:val="12"/>
                <w:color w:val="auto"/>
                <w:w w:val="96"/>
              </w:rPr>
              <w:t>21,611</w:t>
            </w: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Share based compensation</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8,360</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rPr>
              <w:t>4,970</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2,333</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970</w:t>
            </w: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7"/>
              </w:rPr>
              <w:t>(20,439)</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7"/>
              </w:rPr>
              <w:t>(36,799)</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7"/>
              </w:rPr>
              <w:t>(2,140)</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6"/>
              </w:rPr>
              <w:t>7,581</w:t>
            </w: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expenses</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107,844</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68,143</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22,008</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16,344</w:t>
            </w: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Non-recurring other income (*)</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(3,669)</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7"/>
              </w:rPr>
              <w:t>(34,681)</w:t>
            </w:r>
          </w:p>
        </w:tc>
        <w:tc>
          <w:tcPr>
            <w:tcW w:w="1060" w:type="dxa"/>
            <w:vAlign w:val="bottom"/>
          </w:tcPr>
          <w:p>
            <w:pPr>
              <w:jc w:val="center"/>
              <w:ind w:left="520"/>
              <w:spacing w:after="0"/>
              <w:rPr>
                <w:sz w:val="20"/>
                <w:szCs w:val="20"/>
                <w:color w:val="auto"/>
              </w:rPr>
            </w:pPr>
            <w:r>
              <w:rPr>
                <w:rFonts w:ascii="Times New Roman" w:cs="Times New Roman" w:eastAsia="Times New Roman" w:hAnsi="Times New Roman"/>
                <w:sz w:val="12"/>
                <w:szCs w:val="12"/>
                <w:color w:val="auto"/>
                <w:w w:val="98"/>
              </w:rPr>
              <w:t>-</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(15,718)</w:t>
            </w: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Share of losses of equity accounted investees</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3,350</w:t>
            </w:r>
          </w:p>
        </w:tc>
        <w:tc>
          <w:tcPr>
            <w:tcW w:w="220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w w:val="99"/>
              </w:rPr>
              <w:t>330</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1,613</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9"/>
              </w:rPr>
              <w:t>(137)</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Taxes on income</w:t>
            </w:r>
          </w:p>
        </w:tc>
        <w:tc>
          <w:tcPr>
            <w:tcW w:w="11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18,275</w:t>
            </w:r>
          </w:p>
        </w:tc>
        <w:tc>
          <w:tcPr>
            <w:tcW w:w="220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6"/>
              </w:rPr>
              <w:t>28,428</w:t>
            </w:r>
          </w:p>
        </w:tc>
        <w:tc>
          <w:tcPr>
            <w:tcW w:w="10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6"/>
              </w:rPr>
              <w:t>2,121</w:t>
            </w:r>
          </w:p>
        </w:tc>
        <w:tc>
          <w:tcPr>
            <w:tcW w:w="220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w w:val="96"/>
              </w:rPr>
              <w:t>2,934</w:t>
            </w:r>
          </w:p>
        </w:tc>
      </w:tr>
      <w:tr>
        <w:trPr>
          <w:trHeight w:val="158"/>
        </w:trPr>
        <w:tc>
          <w:tcPr>
            <w:tcW w:w="468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160" w:type="dxa"/>
            <w:vAlign w:val="bottom"/>
            <w:shd w:val="clear" w:color="auto" w:fill="BDD7EE"/>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w w:val="97"/>
              </w:rPr>
              <w:t>289,115</w:t>
            </w:r>
          </w:p>
        </w:tc>
        <w:tc>
          <w:tcPr>
            <w:tcW w:w="2200" w:type="dxa"/>
            <w:vAlign w:val="bottom"/>
            <w:shd w:val="clear" w:color="auto" w:fill="BDD7EE"/>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rPr>
              <w:t>194,228</w:t>
            </w:r>
          </w:p>
        </w:tc>
        <w:tc>
          <w:tcPr>
            <w:tcW w:w="1060" w:type="dxa"/>
            <w:vAlign w:val="bottom"/>
            <w:shd w:val="clear" w:color="auto" w:fill="BDD7EE"/>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rPr>
              <w:t>65,219</w:t>
            </w:r>
          </w:p>
        </w:tc>
        <w:tc>
          <w:tcPr>
            <w:tcW w:w="2200" w:type="dxa"/>
            <w:vAlign w:val="bottom"/>
            <w:shd w:val="clear" w:color="auto" w:fill="BDD7EE"/>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rPr>
              <w:t>49,787</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For the purposes of calculating Adjusted EBITDA, compensation for inadequate performance of goods and services procured by the Company are included in other income,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Appendix 3 – Debentures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Debentures Covenants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Company was in compliance with all of its financial covenants under the indenture for the Series C-F Debentures, based on having achieved the following in its consolidated financial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Minimum equity</w:t>
      </w:r>
    </w:p>
    <w:p>
      <w:pPr>
        <w:spacing w:after="0" w:line="163"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2"/>
          <w:szCs w:val="12"/>
          <w:color w:val="auto"/>
        </w:rPr>
        <w:t>The company's equity shall be maintained at no less than NIS 200 million so long as debentures E remain outstanding, no less than NIS 375 million so long as debentures F remain outstanding, and NIS 1,250 million so long as debenture As of December 31, 2024, the company’s equity amounted to NIS 5,255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Net financial debt to net CAP</w:t>
      </w:r>
    </w:p>
    <w:p>
      <w:pPr>
        <w:spacing w:after="0" w:line="17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ratio of standalone net financial debt to net CAP shall not exceed 70% for two consecutive financial periods so long as debentures E and F remain outstanding, and shall not exceed 65% for two consecutive financial periods so long a As of December 31, 2024, the net financial debt to net CAP ratio, as defined above, stands at 37%.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Net financial debt to EBITDA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 long as debentures E and F remain outstanding, standalone financial debt shall not exceed NIS 10 million, and the consolidated financial debt to EBITDA ratio shall not exceed 18 for more than two consecutive financial periods.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as long as debentures C and D remain outstanding, the consolidated financial debt to EBITDA ratio shall not exceed 15 for more than two consecutive financial periods.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net financial debt to EBITDA ratio, as defined above, stands at 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Equity to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standalone equity to total balance sheet ratio shall be maintained at no less than 20% and 25%, respectively, for two consecutive financial periods for as long as debentures E and F, and debentures C and D remain outstanding.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the equity to balance sheet ratio, as defined above, stands at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0"/>
          </w:cols>
          <w:pgMar w:left="300" w:top="26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color w:val="auto"/>
        </w:rPr>
        <w:t>Appendix 4 a) Segment information: Operational projects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i w:val="1"/>
                <w:iCs w:val="1"/>
                <w:color w:val="FFFFFF"/>
              </w:rPr>
              <w:t>($ thousands)</w:t>
            </w:r>
          </w:p>
        </w:tc>
        <w:tc>
          <w:tcPr>
            <w:tcW w:w="6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6"/>
              </w:rPr>
              <w:t>Installed</w:t>
            </w:r>
          </w:p>
        </w:tc>
        <w:tc>
          <w:tcPr>
            <w:tcW w:w="66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6"/>
              </w:rPr>
              <w:t>Installed</w:t>
            </w:r>
          </w:p>
        </w:tc>
        <w:tc>
          <w:tcPr>
            <w:tcW w:w="500" w:type="dxa"/>
            <w:vAlign w:val="bottom"/>
            <w:shd w:val="clear" w:color="auto" w:fill="1764AC"/>
          </w:tcPr>
          <w:p>
            <w:pPr>
              <w:spacing w:after="0"/>
              <w:rPr>
                <w:sz w:val="13"/>
                <w:szCs w:val="13"/>
                <w:color w:val="auto"/>
              </w:rPr>
            </w:pPr>
          </w:p>
        </w:tc>
        <w:tc>
          <w:tcPr>
            <w:tcW w:w="740" w:type="dxa"/>
            <w:vAlign w:val="bottom"/>
            <w:shd w:val="clear" w:color="auto" w:fill="1764AC"/>
          </w:tcPr>
          <w:p>
            <w:pPr>
              <w:spacing w:after="0"/>
              <w:rPr>
                <w:sz w:val="13"/>
                <w:szCs w:val="13"/>
                <w:color w:val="auto"/>
              </w:rPr>
            </w:pPr>
          </w:p>
        </w:tc>
        <w:tc>
          <w:tcPr>
            <w:tcW w:w="1700" w:type="dxa"/>
            <w:vAlign w:val="bottom"/>
            <w:gridSpan w:val="2"/>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12 Months ended December 31</w:t>
            </w:r>
          </w:p>
        </w:tc>
        <w:tc>
          <w:tcPr>
            <w:tcW w:w="580" w:type="dxa"/>
            <w:vAlign w:val="bottom"/>
            <w:shd w:val="clear" w:color="auto" w:fill="1764AC"/>
          </w:tcPr>
          <w:p>
            <w:pPr>
              <w:spacing w:after="0"/>
              <w:rPr>
                <w:sz w:val="13"/>
                <w:szCs w:val="13"/>
                <w:color w:val="auto"/>
              </w:rPr>
            </w:pPr>
          </w:p>
        </w:tc>
        <w:tc>
          <w:tcPr>
            <w:tcW w:w="720" w:type="dxa"/>
            <w:vAlign w:val="bottom"/>
            <w:shd w:val="clear" w:color="auto" w:fill="1764AC"/>
          </w:tcPr>
          <w:p>
            <w:pPr>
              <w:spacing w:after="0"/>
              <w:rPr>
                <w:sz w:val="13"/>
                <w:szCs w:val="13"/>
                <w:color w:val="auto"/>
              </w:rPr>
            </w:pPr>
          </w:p>
        </w:tc>
        <w:tc>
          <w:tcPr>
            <w:tcW w:w="480" w:type="dxa"/>
            <w:vAlign w:val="bottom"/>
            <w:shd w:val="clear" w:color="auto" w:fill="1764AC"/>
          </w:tcPr>
          <w:p>
            <w:pPr>
              <w:spacing w:after="0"/>
              <w:rPr>
                <w:sz w:val="13"/>
                <w:szCs w:val="13"/>
                <w:color w:val="auto"/>
              </w:rPr>
            </w:pPr>
          </w:p>
        </w:tc>
        <w:tc>
          <w:tcPr>
            <w:tcW w:w="700" w:type="dxa"/>
            <w:vAlign w:val="bottom"/>
            <w:shd w:val="clear" w:color="auto" w:fill="1764AC"/>
          </w:tcPr>
          <w:p>
            <w:pPr>
              <w:spacing w:after="0"/>
              <w:rPr>
                <w:sz w:val="13"/>
                <w:szCs w:val="13"/>
                <w:color w:val="auto"/>
              </w:rPr>
            </w:pPr>
          </w:p>
        </w:tc>
        <w:tc>
          <w:tcPr>
            <w:tcW w:w="1640" w:type="dxa"/>
            <w:vAlign w:val="bottom"/>
            <w:gridSpan w:val="2"/>
            <w:shd w:val="clear" w:color="auto" w:fill="1764AC"/>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3 Months ended December 31</w:t>
            </w:r>
          </w:p>
        </w:tc>
        <w:tc>
          <w:tcPr>
            <w:tcW w:w="560" w:type="dxa"/>
            <w:vAlign w:val="bottom"/>
            <w:shd w:val="clear" w:color="auto" w:fill="1764AC"/>
          </w:tcPr>
          <w:p>
            <w:pPr>
              <w:spacing w:after="0"/>
              <w:rPr>
                <w:sz w:val="13"/>
                <w:szCs w:val="13"/>
                <w:color w:val="auto"/>
              </w:rPr>
            </w:pPr>
          </w:p>
        </w:tc>
        <w:tc>
          <w:tcPr>
            <w:tcW w:w="6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00" w:type="dxa"/>
            <w:vAlign w:val="bottom"/>
            <w:vMerge w:val="restart"/>
            <w:shd w:val="clear" w:color="auto" w:fill="1764AC"/>
          </w:tcPr>
          <w:p>
            <w:pPr>
              <w:ind w:left="80"/>
              <w:spacing w:after="0"/>
              <w:rPr>
                <w:sz w:val="20"/>
                <w:szCs w:val="20"/>
                <w:color w:val="auto"/>
              </w:rPr>
            </w:pPr>
            <w:r>
              <w:rPr>
                <w:rFonts w:ascii="Times New Roman" w:cs="Times New Roman" w:eastAsia="Times New Roman" w:hAnsi="Times New Roman"/>
                <w:sz w:val="12"/>
                <w:szCs w:val="12"/>
                <w:b w:val="1"/>
                <w:bCs w:val="1"/>
                <w:color w:val="FFFFFF"/>
              </w:rPr>
              <w:t>Operational Project Segments</w:t>
            </w:r>
          </w:p>
        </w:tc>
        <w:tc>
          <w:tcPr>
            <w:tcW w:w="660" w:type="dxa"/>
            <w:vAlign w:val="bottom"/>
            <w:vMerge w:val="continue"/>
            <w:shd w:val="clear" w:color="auto" w:fill="1764AC"/>
          </w:tcPr>
          <w:p>
            <w:pPr>
              <w:spacing w:after="0"/>
              <w:rPr>
                <w:sz w:val="12"/>
                <w:szCs w:val="12"/>
                <w:color w:val="auto"/>
              </w:rPr>
            </w:pPr>
          </w:p>
        </w:tc>
        <w:tc>
          <w:tcPr>
            <w:tcW w:w="660" w:type="dxa"/>
            <w:vAlign w:val="bottom"/>
            <w:tcBorders>
              <w:right w:val="single" w:sz="8" w:color="1764AC"/>
            </w:tcBorders>
            <w:vMerge w:val="continue"/>
            <w:shd w:val="clear" w:color="auto" w:fill="1764AC"/>
          </w:tcPr>
          <w:p>
            <w:pPr>
              <w:spacing w:after="0"/>
              <w:rPr>
                <w:sz w:val="12"/>
                <w:szCs w:val="12"/>
                <w:color w:val="auto"/>
              </w:rPr>
            </w:pPr>
          </w:p>
        </w:tc>
        <w:tc>
          <w:tcPr>
            <w:tcW w:w="1240" w:type="dxa"/>
            <w:vAlign w:val="bottom"/>
            <w:gridSpan w:val="2"/>
            <w:vMerge w:val="restart"/>
            <w:shd w:val="clear" w:color="auto" w:fill="1764AC"/>
          </w:tcPr>
          <w:p>
            <w:pPr>
              <w:jc w:val="center"/>
              <w:ind w:left="80"/>
              <w:spacing w:after="0"/>
              <w:rPr>
                <w:sz w:val="20"/>
                <w:szCs w:val="20"/>
                <w:color w:val="auto"/>
              </w:rPr>
            </w:pPr>
            <w:r>
              <w:rPr>
                <w:rFonts w:ascii="Times New Roman" w:cs="Times New Roman" w:eastAsia="Times New Roman" w:hAnsi="Times New Roman"/>
                <w:sz w:val="12"/>
                <w:szCs w:val="12"/>
                <w:color w:val="FFFFFF"/>
              </w:rPr>
              <w:t>Generation</w:t>
            </w:r>
          </w:p>
        </w:tc>
        <w:tc>
          <w:tcPr>
            <w:tcW w:w="1700" w:type="dxa"/>
            <w:vAlign w:val="bottom"/>
            <w:gridSpan w:val="2"/>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Revenues and</w:t>
            </w:r>
          </w:p>
        </w:tc>
        <w:tc>
          <w:tcPr>
            <w:tcW w:w="1300" w:type="dxa"/>
            <w:vAlign w:val="bottom"/>
            <w:gridSpan w:val="2"/>
            <w:vMerge w:val="restart"/>
            <w:shd w:val="clear" w:color="auto" w:fill="1764AC"/>
          </w:tcPr>
          <w:p>
            <w:pPr>
              <w:jc w:val="center"/>
              <w:ind w:right="40"/>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1180" w:type="dxa"/>
            <w:vAlign w:val="bottom"/>
            <w:gridSpan w:val="2"/>
            <w:vMerge w:val="restart"/>
            <w:shd w:val="clear" w:color="auto" w:fill="1764AC"/>
          </w:tcPr>
          <w:p>
            <w:pPr>
              <w:jc w:val="center"/>
              <w:ind w:left="80"/>
              <w:spacing w:after="0"/>
              <w:rPr>
                <w:sz w:val="20"/>
                <w:szCs w:val="20"/>
                <w:color w:val="auto"/>
              </w:rPr>
            </w:pPr>
            <w:r>
              <w:rPr>
                <w:rFonts w:ascii="Times New Roman" w:cs="Times New Roman" w:eastAsia="Times New Roman" w:hAnsi="Times New Roman"/>
                <w:sz w:val="12"/>
                <w:szCs w:val="12"/>
                <w:color w:val="FFFFFF"/>
                <w:w w:val="97"/>
              </w:rPr>
              <w:t>Generation</w:t>
            </w:r>
          </w:p>
        </w:tc>
        <w:tc>
          <w:tcPr>
            <w:tcW w:w="1640" w:type="dxa"/>
            <w:vAlign w:val="bottom"/>
            <w:gridSpan w:val="2"/>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Reported Revenue</w:t>
            </w:r>
          </w:p>
        </w:tc>
        <w:tc>
          <w:tcPr>
            <w:tcW w:w="1220" w:type="dxa"/>
            <w:vAlign w:val="bottom"/>
            <w:gridSpan w:val="2"/>
            <w:vMerge w:val="restart"/>
            <w:shd w:val="clear" w:color="auto" w:fill="1764AC"/>
          </w:tcPr>
          <w:p>
            <w:pPr>
              <w:jc w:val="center"/>
              <w:ind w:right="80"/>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0" w:type="dxa"/>
            <w:vAlign w:val="bottom"/>
          </w:tcPr>
          <w:p>
            <w:pPr>
              <w:spacing w:after="0"/>
              <w:rPr>
                <w:sz w:val="1"/>
                <w:szCs w:val="1"/>
                <w:color w:val="auto"/>
              </w:rPr>
            </w:pPr>
          </w:p>
        </w:tc>
      </w:tr>
      <w:tr>
        <w:trPr>
          <w:trHeight w:val="72"/>
        </w:trPr>
        <w:tc>
          <w:tcPr>
            <w:tcW w:w="1700" w:type="dxa"/>
            <w:vAlign w:val="bottom"/>
            <w:vMerge w:val="continue"/>
            <w:shd w:val="clear" w:color="auto" w:fill="1764AC"/>
          </w:tcPr>
          <w:p>
            <w:pPr>
              <w:spacing w:after="0"/>
              <w:rPr>
                <w:sz w:val="6"/>
                <w:szCs w:val="6"/>
                <w:color w:val="auto"/>
              </w:rPr>
            </w:pPr>
          </w:p>
        </w:tc>
        <w:tc>
          <w:tcPr>
            <w:tcW w:w="6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Capacity</w:t>
            </w:r>
          </w:p>
        </w:tc>
        <w:tc>
          <w:tcPr>
            <w:tcW w:w="66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Storage</w:t>
            </w:r>
          </w:p>
        </w:tc>
        <w:tc>
          <w:tcPr>
            <w:tcW w:w="1240" w:type="dxa"/>
            <w:vAlign w:val="bottom"/>
            <w:gridSpan w:val="2"/>
            <w:vMerge w:val="continue"/>
            <w:shd w:val="clear" w:color="auto" w:fill="1764AC"/>
          </w:tcPr>
          <w:p>
            <w:pPr>
              <w:spacing w:after="0"/>
              <w:rPr>
                <w:sz w:val="6"/>
                <w:szCs w:val="6"/>
                <w:color w:val="auto"/>
              </w:rPr>
            </w:pPr>
          </w:p>
        </w:tc>
        <w:tc>
          <w:tcPr>
            <w:tcW w:w="1700" w:type="dxa"/>
            <w:vAlign w:val="bottom"/>
            <w:gridSpan w:val="2"/>
            <w:vMerge w:val="continue"/>
            <w:shd w:val="clear" w:color="auto" w:fill="1764AC"/>
          </w:tcPr>
          <w:p>
            <w:pPr>
              <w:spacing w:after="0"/>
              <w:rPr>
                <w:sz w:val="6"/>
                <w:szCs w:val="6"/>
                <w:color w:val="auto"/>
              </w:rPr>
            </w:pPr>
          </w:p>
        </w:tc>
        <w:tc>
          <w:tcPr>
            <w:tcW w:w="1300" w:type="dxa"/>
            <w:vAlign w:val="bottom"/>
            <w:gridSpan w:val="2"/>
            <w:vMerge w:val="continue"/>
            <w:shd w:val="clear" w:color="auto" w:fill="1764AC"/>
          </w:tcPr>
          <w:p>
            <w:pPr>
              <w:spacing w:after="0"/>
              <w:rPr>
                <w:sz w:val="6"/>
                <w:szCs w:val="6"/>
                <w:color w:val="auto"/>
              </w:rPr>
            </w:pPr>
          </w:p>
        </w:tc>
        <w:tc>
          <w:tcPr>
            <w:tcW w:w="1180" w:type="dxa"/>
            <w:vAlign w:val="bottom"/>
            <w:gridSpan w:val="2"/>
            <w:vMerge w:val="continue"/>
            <w:shd w:val="clear" w:color="auto" w:fill="1764AC"/>
          </w:tcPr>
          <w:p>
            <w:pPr>
              <w:spacing w:after="0"/>
              <w:rPr>
                <w:sz w:val="6"/>
                <w:szCs w:val="6"/>
                <w:color w:val="auto"/>
              </w:rPr>
            </w:pPr>
          </w:p>
        </w:tc>
        <w:tc>
          <w:tcPr>
            <w:tcW w:w="1640" w:type="dxa"/>
            <w:vAlign w:val="bottom"/>
            <w:gridSpan w:val="2"/>
            <w:vMerge w:val="continue"/>
            <w:shd w:val="clear" w:color="auto" w:fill="1764AC"/>
          </w:tcPr>
          <w:p>
            <w:pPr>
              <w:spacing w:after="0"/>
              <w:rPr>
                <w:sz w:val="6"/>
                <w:szCs w:val="6"/>
                <w:color w:val="auto"/>
              </w:rPr>
            </w:pPr>
          </w:p>
        </w:tc>
        <w:tc>
          <w:tcPr>
            <w:tcW w:w="1220" w:type="dxa"/>
            <w:vAlign w:val="bottom"/>
            <w:gridSpan w:val="2"/>
            <w:vMerge w:val="continue"/>
            <w:shd w:val="clear" w:color="auto" w:fill="1764AC"/>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vMerge w:val="continue"/>
            <w:shd w:val="clear" w:color="auto" w:fill="1764AC"/>
          </w:tcPr>
          <w:p>
            <w:pPr>
              <w:spacing w:after="0"/>
              <w:rPr>
                <w:sz w:val="6"/>
                <w:szCs w:val="6"/>
                <w:color w:val="auto"/>
              </w:rPr>
            </w:pPr>
          </w:p>
        </w:tc>
        <w:tc>
          <w:tcPr>
            <w:tcW w:w="660" w:type="dxa"/>
            <w:vAlign w:val="bottom"/>
            <w:vMerge w:val="continue"/>
            <w:shd w:val="clear" w:color="auto" w:fill="1764AC"/>
          </w:tcPr>
          <w:p>
            <w:pPr>
              <w:spacing w:after="0"/>
              <w:rPr>
                <w:sz w:val="6"/>
                <w:szCs w:val="6"/>
                <w:color w:val="auto"/>
              </w:rPr>
            </w:pPr>
          </w:p>
        </w:tc>
        <w:tc>
          <w:tcPr>
            <w:tcW w:w="660" w:type="dxa"/>
            <w:vAlign w:val="bottom"/>
            <w:tcBorders>
              <w:right w:val="single" w:sz="8" w:color="1764AC"/>
            </w:tcBorders>
            <w:vMerge w:val="continue"/>
            <w:shd w:val="clear" w:color="auto" w:fill="1764AC"/>
          </w:tcPr>
          <w:p>
            <w:pPr>
              <w:spacing w:after="0"/>
              <w:rPr>
                <w:sz w:val="6"/>
                <w:szCs w:val="6"/>
                <w:color w:val="auto"/>
              </w:rPr>
            </w:pPr>
          </w:p>
        </w:tc>
        <w:tc>
          <w:tcPr>
            <w:tcW w:w="500" w:type="dxa"/>
            <w:vAlign w:val="bottom"/>
            <w:shd w:val="clear" w:color="auto" w:fill="1764AC"/>
          </w:tcPr>
          <w:p>
            <w:pPr>
              <w:spacing w:after="0"/>
              <w:rPr>
                <w:sz w:val="6"/>
                <w:szCs w:val="6"/>
                <w:color w:val="auto"/>
              </w:rPr>
            </w:pPr>
          </w:p>
        </w:tc>
        <w:tc>
          <w:tcPr>
            <w:tcW w:w="740" w:type="dxa"/>
            <w:vAlign w:val="bottom"/>
            <w:vMerge w:val="restart"/>
            <w:shd w:val="clear" w:color="auto" w:fill="1764AC"/>
          </w:tcPr>
          <w:p>
            <w:pPr>
              <w:jc w:val="center"/>
              <w:ind w:right="300"/>
              <w:spacing w:after="0"/>
              <w:rPr>
                <w:sz w:val="20"/>
                <w:szCs w:val="20"/>
                <w:color w:val="auto"/>
              </w:rPr>
            </w:pPr>
            <w:r>
              <w:rPr>
                <w:rFonts w:ascii="Times New Roman" w:cs="Times New Roman" w:eastAsia="Times New Roman" w:hAnsi="Times New Roman"/>
                <w:sz w:val="12"/>
                <w:szCs w:val="12"/>
                <w:color w:val="FFFFFF"/>
                <w:w w:val="99"/>
              </w:rPr>
              <w:t>(GWh)</w:t>
            </w:r>
          </w:p>
        </w:tc>
        <w:tc>
          <w:tcPr>
            <w:tcW w:w="1060" w:type="dxa"/>
            <w:vAlign w:val="bottom"/>
            <w:vMerge w:val="restart"/>
            <w:shd w:val="clear" w:color="auto" w:fill="1764AC"/>
          </w:tcPr>
          <w:p>
            <w:pPr>
              <w:jc w:val="center"/>
              <w:ind w:left="620"/>
              <w:spacing w:after="0"/>
              <w:rPr>
                <w:sz w:val="20"/>
                <w:szCs w:val="20"/>
                <w:color w:val="auto"/>
              </w:rPr>
            </w:pPr>
            <w:r>
              <w:rPr>
                <w:rFonts w:ascii="Times New Roman" w:cs="Times New Roman" w:eastAsia="Times New Roman" w:hAnsi="Times New Roman"/>
                <w:sz w:val="12"/>
                <w:szCs w:val="12"/>
                <w:color w:val="FFFFFF"/>
                <w:w w:val="96"/>
              </w:rPr>
              <w:t>income</w:t>
            </w:r>
          </w:p>
        </w:tc>
        <w:tc>
          <w:tcPr>
            <w:tcW w:w="640" w:type="dxa"/>
            <w:vAlign w:val="bottom"/>
            <w:shd w:val="clear" w:color="auto" w:fill="1764AC"/>
          </w:tcPr>
          <w:p>
            <w:pPr>
              <w:spacing w:after="0"/>
              <w:rPr>
                <w:sz w:val="6"/>
                <w:szCs w:val="6"/>
                <w:color w:val="auto"/>
              </w:rPr>
            </w:pPr>
          </w:p>
        </w:tc>
        <w:tc>
          <w:tcPr>
            <w:tcW w:w="1300" w:type="dxa"/>
            <w:vAlign w:val="bottom"/>
            <w:gridSpan w:val="2"/>
            <w:vMerge w:val="restart"/>
            <w:shd w:val="clear" w:color="auto" w:fill="1764AC"/>
          </w:tcPr>
          <w:p>
            <w:pPr>
              <w:jc w:val="center"/>
              <w:ind w:right="60"/>
              <w:spacing w:after="0"/>
              <w:rPr>
                <w:sz w:val="20"/>
                <w:szCs w:val="20"/>
                <w:color w:val="auto"/>
              </w:rPr>
            </w:pPr>
            <w:r>
              <w:rPr>
                <w:rFonts w:ascii="Times New Roman" w:cs="Times New Roman" w:eastAsia="Times New Roman" w:hAnsi="Times New Roman"/>
                <w:sz w:val="12"/>
                <w:szCs w:val="12"/>
                <w:color w:val="FFFFFF"/>
                <w:w w:val="99"/>
              </w:rPr>
              <w:t>EBITDA*</w:t>
            </w:r>
          </w:p>
        </w:tc>
        <w:tc>
          <w:tcPr>
            <w:tcW w:w="480" w:type="dxa"/>
            <w:vAlign w:val="bottom"/>
            <w:shd w:val="clear" w:color="auto" w:fill="1764AC"/>
          </w:tcPr>
          <w:p>
            <w:pPr>
              <w:spacing w:after="0"/>
              <w:rPr>
                <w:sz w:val="6"/>
                <w:szCs w:val="6"/>
                <w:color w:val="auto"/>
              </w:rPr>
            </w:pPr>
          </w:p>
        </w:tc>
        <w:tc>
          <w:tcPr>
            <w:tcW w:w="700" w:type="dxa"/>
            <w:vAlign w:val="bottom"/>
            <w:vMerge w:val="restart"/>
            <w:shd w:val="clear" w:color="auto" w:fill="1764AC"/>
          </w:tcPr>
          <w:p>
            <w:pPr>
              <w:jc w:val="center"/>
              <w:ind w:right="260"/>
              <w:spacing w:after="0"/>
              <w:rPr>
                <w:sz w:val="20"/>
                <w:szCs w:val="20"/>
                <w:color w:val="auto"/>
              </w:rPr>
            </w:pPr>
            <w:r>
              <w:rPr>
                <w:rFonts w:ascii="Times New Roman" w:cs="Times New Roman" w:eastAsia="Times New Roman" w:hAnsi="Times New Roman"/>
                <w:sz w:val="12"/>
                <w:szCs w:val="12"/>
                <w:color w:val="FFFFFF"/>
                <w:w w:val="99"/>
              </w:rPr>
              <w:t>(GWh)</w:t>
            </w:r>
          </w:p>
        </w:tc>
        <w:tc>
          <w:tcPr>
            <w:tcW w:w="1640" w:type="dxa"/>
            <w:vAlign w:val="bottom"/>
            <w:gridSpan w:val="2"/>
            <w:vMerge w:val="continue"/>
            <w:shd w:val="clear" w:color="auto" w:fill="1764AC"/>
          </w:tcPr>
          <w:p>
            <w:pPr>
              <w:spacing w:after="0"/>
              <w:rPr>
                <w:sz w:val="6"/>
                <w:szCs w:val="6"/>
                <w:color w:val="auto"/>
              </w:rPr>
            </w:pPr>
          </w:p>
        </w:tc>
        <w:tc>
          <w:tcPr>
            <w:tcW w:w="1220" w:type="dxa"/>
            <w:vAlign w:val="bottom"/>
            <w:gridSpan w:val="2"/>
            <w:vMerge w:val="restart"/>
            <w:shd w:val="clear" w:color="auto" w:fill="1764AC"/>
          </w:tcPr>
          <w:p>
            <w:pPr>
              <w:jc w:val="center"/>
              <w:ind w:right="60"/>
              <w:spacing w:after="0"/>
              <w:rPr>
                <w:sz w:val="20"/>
                <w:szCs w:val="20"/>
                <w:color w:val="auto"/>
              </w:rPr>
            </w:pPr>
            <w:r>
              <w:rPr>
                <w:rFonts w:ascii="Times New Roman" w:cs="Times New Roman" w:eastAsia="Times New Roman" w:hAnsi="Times New Roman"/>
                <w:sz w:val="12"/>
                <w:szCs w:val="12"/>
                <w:color w:val="FFFFFF"/>
                <w:w w:val="99"/>
              </w:rPr>
              <w:t>EBITDA*</w:t>
            </w:r>
          </w:p>
        </w:tc>
        <w:tc>
          <w:tcPr>
            <w:tcW w:w="0" w:type="dxa"/>
            <w:vAlign w:val="bottom"/>
          </w:tcPr>
          <w:p>
            <w:pPr>
              <w:spacing w:after="0"/>
              <w:rPr>
                <w:sz w:val="1"/>
                <w:szCs w:val="1"/>
                <w:color w:val="auto"/>
              </w:rPr>
            </w:pPr>
          </w:p>
        </w:tc>
      </w:tr>
      <w:tr>
        <w:trPr>
          <w:trHeight w:val="83"/>
        </w:trPr>
        <w:tc>
          <w:tcPr>
            <w:tcW w:w="1700" w:type="dxa"/>
            <w:vAlign w:val="bottom"/>
            <w:shd w:val="clear" w:color="auto" w:fill="1764AC"/>
          </w:tcPr>
          <w:p>
            <w:pPr>
              <w:spacing w:after="0"/>
              <w:rPr>
                <w:sz w:val="7"/>
                <w:szCs w:val="7"/>
                <w:color w:val="auto"/>
              </w:rPr>
            </w:pPr>
          </w:p>
        </w:tc>
        <w:tc>
          <w:tcPr>
            <w:tcW w:w="6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(MW)</w:t>
            </w:r>
          </w:p>
        </w:tc>
        <w:tc>
          <w:tcPr>
            <w:tcW w:w="66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(MWh)</w:t>
            </w:r>
          </w:p>
        </w:tc>
        <w:tc>
          <w:tcPr>
            <w:tcW w:w="500" w:type="dxa"/>
            <w:vAlign w:val="bottom"/>
            <w:shd w:val="clear" w:color="auto" w:fill="1764AC"/>
          </w:tcPr>
          <w:p>
            <w:pPr>
              <w:spacing w:after="0"/>
              <w:rPr>
                <w:sz w:val="7"/>
                <w:szCs w:val="7"/>
                <w:color w:val="auto"/>
              </w:rPr>
            </w:pPr>
          </w:p>
        </w:tc>
        <w:tc>
          <w:tcPr>
            <w:tcW w:w="740" w:type="dxa"/>
            <w:vAlign w:val="bottom"/>
            <w:vMerge w:val="continue"/>
            <w:shd w:val="clear" w:color="auto" w:fill="1764AC"/>
          </w:tcPr>
          <w:p>
            <w:pPr>
              <w:spacing w:after="0"/>
              <w:rPr>
                <w:sz w:val="7"/>
                <w:szCs w:val="7"/>
                <w:color w:val="auto"/>
              </w:rPr>
            </w:pPr>
          </w:p>
        </w:tc>
        <w:tc>
          <w:tcPr>
            <w:tcW w:w="1060" w:type="dxa"/>
            <w:vAlign w:val="bottom"/>
            <w:vMerge w:val="continue"/>
            <w:shd w:val="clear" w:color="auto" w:fill="1764AC"/>
          </w:tcPr>
          <w:p>
            <w:pPr>
              <w:spacing w:after="0"/>
              <w:rPr>
                <w:sz w:val="7"/>
                <w:szCs w:val="7"/>
                <w:color w:val="auto"/>
              </w:rPr>
            </w:pPr>
          </w:p>
        </w:tc>
        <w:tc>
          <w:tcPr>
            <w:tcW w:w="640" w:type="dxa"/>
            <w:vAlign w:val="bottom"/>
            <w:shd w:val="clear" w:color="auto" w:fill="1764AC"/>
          </w:tcPr>
          <w:p>
            <w:pPr>
              <w:spacing w:after="0"/>
              <w:rPr>
                <w:sz w:val="7"/>
                <w:szCs w:val="7"/>
                <w:color w:val="auto"/>
              </w:rPr>
            </w:pPr>
          </w:p>
        </w:tc>
        <w:tc>
          <w:tcPr>
            <w:tcW w:w="1300" w:type="dxa"/>
            <w:vAlign w:val="bottom"/>
            <w:gridSpan w:val="2"/>
            <w:vMerge w:val="continue"/>
            <w:shd w:val="clear" w:color="auto" w:fill="1764AC"/>
          </w:tcPr>
          <w:p>
            <w:pPr>
              <w:spacing w:after="0"/>
              <w:rPr>
                <w:sz w:val="7"/>
                <w:szCs w:val="7"/>
                <w:color w:val="auto"/>
              </w:rPr>
            </w:pPr>
          </w:p>
        </w:tc>
        <w:tc>
          <w:tcPr>
            <w:tcW w:w="480" w:type="dxa"/>
            <w:vAlign w:val="bottom"/>
            <w:shd w:val="clear" w:color="auto" w:fill="1764AC"/>
          </w:tcPr>
          <w:p>
            <w:pPr>
              <w:spacing w:after="0"/>
              <w:rPr>
                <w:sz w:val="7"/>
                <w:szCs w:val="7"/>
                <w:color w:val="auto"/>
              </w:rPr>
            </w:pPr>
          </w:p>
        </w:tc>
        <w:tc>
          <w:tcPr>
            <w:tcW w:w="700" w:type="dxa"/>
            <w:vAlign w:val="bottom"/>
            <w:vMerge w:val="continue"/>
            <w:shd w:val="clear" w:color="auto" w:fill="1764AC"/>
          </w:tcPr>
          <w:p>
            <w:pPr>
              <w:spacing w:after="0"/>
              <w:rPr>
                <w:sz w:val="7"/>
                <w:szCs w:val="7"/>
                <w:color w:val="auto"/>
              </w:rPr>
            </w:pPr>
          </w:p>
        </w:tc>
        <w:tc>
          <w:tcPr>
            <w:tcW w:w="840" w:type="dxa"/>
            <w:vAlign w:val="bottom"/>
            <w:shd w:val="clear" w:color="auto" w:fill="1764AC"/>
          </w:tcPr>
          <w:p>
            <w:pPr>
              <w:spacing w:after="0"/>
              <w:rPr>
                <w:sz w:val="7"/>
                <w:szCs w:val="7"/>
                <w:color w:val="auto"/>
              </w:rPr>
            </w:pPr>
          </w:p>
        </w:tc>
        <w:tc>
          <w:tcPr>
            <w:tcW w:w="800" w:type="dxa"/>
            <w:vAlign w:val="bottom"/>
            <w:shd w:val="clear" w:color="auto" w:fill="1764AC"/>
          </w:tcPr>
          <w:p>
            <w:pPr>
              <w:spacing w:after="0"/>
              <w:rPr>
                <w:sz w:val="7"/>
                <w:szCs w:val="7"/>
                <w:color w:val="auto"/>
              </w:rPr>
            </w:pPr>
          </w:p>
        </w:tc>
        <w:tc>
          <w:tcPr>
            <w:tcW w:w="1220" w:type="dxa"/>
            <w:vAlign w:val="bottom"/>
            <w:gridSpan w:val="2"/>
            <w:vMerge w:val="continue"/>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700" w:type="dxa"/>
            <w:vAlign w:val="bottom"/>
            <w:shd w:val="clear" w:color="auto" w:fill="1764AC"/>
          </w:tcPr>
          <w:p>
            <w:pPr>
              <w:spacing w:after="0"/>
              <w:rPr>
                <w:sz w:val="6"/>
                <w:szCs w:val="6"/>
                <w:color w:val="auto"/>
              </w:rPr>
            </w:pPr>
          </w:p>
        </w:tc>
        <w:tc>
          <w:tcPr>
            <w:tcW w:w="660" w:type="dxa"/>
            <w:vAlign w:val="bottom"/>
            <w:vMerge w:val="continue"/>
            <w:shd w:val="clear" w:color="auto" w:fill="1764AC"/>
          </w:tcPr>
          <w:p>
            <w:pPr>
              <w:spacing w:after="0"/>
              <w:rPr>
                <w:sz w:val="6"/>
                <w:szCs w:val="6"/>
                <w:color w:val="auto"/>
              </w:rPr>
            </w:pPr>
          </w:p>
        </w:tc>
        <w:tc>
          <w:tcPr>
            <w:tcW w:w="660" w:type="dxa"/>
            <w:vAlign w:val="bottom"/>
            <w:tcBorders>
              <w:right w:val="single" w:sz="8" w:color="1764AC"/>
            </w:tcBorders>
            <w:vMerge w:val="continue"/>
            <w:shd w:val="clear" w:color="auto" w:fill="1764AC"/>
          </w:tcPr>
          <w:p>
            <w:pPr>
              <w:spacing w:after="0"/>
              <w:rPr>
                <w:sz w:val="6"/>
                <w:szCs w:val="6"/>
                <w:color w:val="auto"/>
              </w:rPr>
            </w:pPr>
          </w:p>
        </w:tc>
        <w:tc>
          <w:tcPr>
            <w:tcW w:w="500" w:type="dxa"/>
            <w:vAlign w:val="bottom"/>
            <w:vMerge w:val="restart"/>
            <w:shd w:val="clear" w:color="auto" w:fill="1764AC"/>
          </w:tcPr>
          <w:p>
            <w:pPr>
              <w:jc w:val="center"/>
              <w:ind w:left="120"/>
              <w:spacing w:after="0"/>
              <w:rPr>
                <w:sz w:val="20"/>
                <w:szCs w:val="20"/>
                <w:color w:val="auto"/>
              </w:rPr>
            </w:pPr>
            <w:r>
              <w:rPr>
                <w:rFonts w:ascii="Times New Roman" w:cs="Times New Roman" w:eastAsia="Times New Roman" w:hAnsi="Times New Roman"/>
                <w:sz w:val="12"/>
                <w:szCs w:val="12"/>
                <w:color w:val="FFFFFF"/>
                <w:w w:val="99"/>
              </w:rPr>
              <w:t>2024</w:t>
            </w:r>
          </w:p>
        </w:tc>
        <w:tc>
          <w:tcPr>
            <w:tcW w:w="740" w:type="dxa"/>
            <w:vAlign w:val="bottom"/>
            <w:vMerge w:val="restart"/>
            <w:shd w:val="clear" w:color="auto" w:fill="1764AC"/>
          </w:tcPr>
          <w:p>
            <w:pPr>
              <w:jc w:val="center"/>
              <w:ind w:left="280"/>
              <w:spacing w:after="0"/>
              <w:rPr>
                <w:sz w:val="20"/>
                <w:szCs w:val="20"/>
                <w:color w:val="auto"/>
              </w:rPr>
            </w:pPr>
            <w:r>
              <w:rPr>
                <w:rFonts w:ascii="Times New Roman" w:cs="Times New Roman" w:eastAsia="Times New Roman" w:hAnsi="Times New Roman"/>
                <w:sz w:val="12"/>
                <w:szCs w:val="12"/>
                <w:color w:val="FFFFFF"/>
                <w:w w:val="99"/>
              </w:rPr>
              <w:t>2023</w:t>
            </w:r>
          </w:p>
        </w:tc>
        <w:tc>
          <w:tcPr>
            <w:tcW w:w="10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640" w:type="dxa"/>
            <w:vAlign w:val="bottom"/>
            <w:vMerge w:val="restart"/>
            <w:shd w:val="clear" w:color="auto" w:fill="1764AC"/>
          </w:tcPr>
          <w:p>
            <w:pPr>
              <w:jc w:val="center"/>
              <w:ind w:right="180"/>
              <w:spacing w:after="0"/>
              <w:rPr>
                <w:sz w:val="20"/>
                <w:szCs w:val="20"/>
                <w:color w:val="auto"/>
              </w:rPr>
            </w:pPr>
            <w:r>
              <w:rPr>
                <w:rFonts w:ascii="Times New Roman" w:cs="Times New Roman" w:eastAsia="Times New Roman" w:hAnsi="Times New Roman"/>
                <w:sz w:val="12"/>
                <w:szCs w:val="12"/>
                <w:color w:val="FFFFFF"/>
                <w:w w:val="99"/>
              </w:rPr>
              <w:t>2023</w:t>
            </w:r>
          </w:p>
        </w:tc>
        <w:tc>
          <w:tcPr>
            <w:tcW w:w="580" w:type="dxa"/>
            <w:vAlign w:val="bottom"/>
            <w:vMerge w:val="restart"/>
            <w:shd w:val="clear" w:color="auto" w:fill="1764AC"/>
          </w:tcPr>
          <w:p>
            <w:pPr>
              <w:jc w:val="center"/>
              <w:ind w:right="40"/>
              <w:spacing w:after="0"/>
              <w:rPr>
                <w:sz w:val="20"/>
                <w:szCs w:val="20"/>
                <w:color w:val="auto"/>
              </w:rPr>
            </w:pPr>
            <w:r>
              <w:rPr>
                <w:rFonts w:ascii="Times New Roman" w:cs="Times New Roman" w:eastAsia="Times New Roman" w:hAnsi="Times New Roman"/>
                <w:sz w:val="12"/>
                <w:szCs w:val="12"/>
                <w:color w:val="FFFFFF"/>
                <w:w w:val="99"/>
              </w:rPr>
              <w:t>2024</w:t>
            </w:r>
          </w:p>
        </w:tc>
        <w:tc>
          <w:tcPr>
            <w:tcW w:w="72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2023</w:t>
            </w:r>
          </w:p>
        </w:tc>
        <w:tc>
          <w:tcPr>
            <w:tcW w:w="480" w:type="dxa"/>
            <w:vAlign w:val="bottom"/>
            <w:vMerge w:val="restart"/>
            <w:shd w:val="clear" w:color="auto" w:fill="1764AC"/>
          </w:tcPr>
          <w:p>
            <w:pPr>
              <w:jc w:val="center"/>
              <w:ind w:left="100"/>
              <w:spacing w:after="0"/>
              <w:rPr>
                <w:sz w:val="20"/>
                <w:szCs w:val="20"/>
                <w:color w:val="auto"/>
              </w:rPr>
            </w:pPr>
            <w:r>
              <w:rPr>
                <w:rFonts w:ascii="Times New Roman" w:cs="Times New Roman" w:eastAsia="Times New Roman" w:hAnsi="Times New Roman"/>
                <w:sz w:val="12"/>
                <w:szCs w:val="12"/>
                <w:color w:val="FFFFFF"/>
                <w:w w:val="99"/>
              </w:rPr>
              <w:t>2024</w:t>
            </w:r>
          </w:p>
        </w:tc>
        <w:tc>
          <w:tcPr>
            <w:tcW w:w="700" w:type="dxa"/>
            <w:vAlign w:val="bottom"/>
            <w:vMerge w:val="restart"/>
            <w:shd w:val="clear" w:color="auto" w:fill="1764AC"/>
          </w:tcPr>
          <w:p>
            <w:pPr>
              <w:jc w:val="center"/>
              <w:ind w:left="280"/>
              <w:spacing w:after="0"/>
              <w:rPr>
                <w:sz w:val="20"/>
                <w:szCs w:val="20"/>
                <w:color w:val="auto"/>
              </w:rPr>
            </w:pPr>
            <w:r>
              <w:rPr>
                <w:rFonts w:ascii="Times New Roman" w:cs="Times New Roman" w:eastAsia="Times New Roman" w:hAnsi="Times New Roman"/>
                <w:sz w:val="12"/>
                <w:szCs w:val="12"/>
                <w:color w:val="FFFFFF"/>
                <w:w w:val="99"/>
              </w:rPr>
              <w:t>2023</w:t>
            </w:r>
          </w:p>
        </w:tc>
        <w:tc>
          <w:tcPr>
            <w:tcW w:w="840" w:type="dxa"/>
            <w:vAlign w:val="bottom"/>
            <w:vMerge w:val="restart"/>
            <w:shd w:val="clear" w:color="auto" w:fill="1764AC"/>
          </w:tcPr>
          <w:p>
            <w:pPr>
              <w:jc w:val="center"/>
              <w:ind w:left="100"/>
              <w:spacing w:after="0"/>
              <w:rPr>
                <w:sz w:val="20"/>
                <w:szCs w:val="20"/>
                <w:color w:val="auto"/>
              </w:rPr>
            </w:pPr>
            <w:r>
              <w:rPr>
                <w:rFonts w:ascii="Times New Roman" w:cs="Times New Roman" w:eastAsia="Times New Roman" w:hAnsi="Times New Roman"/>
                <w:sz w:val="12"/>
                <w:szCs w:val="12"/>
                <w:color w:val="FFFFFF"/>
                <w:w w:val="99"/>
              </w:rPr>
              <w:t>2024</w:t>
            </w:r>
          </w:p>
        </w:tc>
        <w:tc>
          <w:tcPr>
            <w:tcW w:w="800" w:type="dxa"/>
            <w:vAlign w:val="bottom"/>
            <w:vMerge w:val="restart"/>
            <w:shd w:val="clear" w:color="auto" w:fill="1764AC"/>
          </w:tcPr>
          <w:p>
            <w:pPr>
              <w:jc w:val="center"/>
              <w:ind w:right="100"/>
              <w:spacing w:after="0"/>
              <w:rPr>
                <w:sz w:val="20"/>
                <w:szCs w:val="20"/>
                <w:color w:val="auto"/>
              </w:rPr>
            </w:pPr>
            <w:r>
              <w:rPr>
                <w:rFonts w:ascii="Times New Roman" w:cs="Times New Roman" w:eastAsia="Times New Roman" w:hAnsi="Times New Roman"/>
                <w:sz w:val="12"/>
                <w:szCs w:val="12"/>
                <w:color w:val="FFFFFF"/>
                <w:w w:val="99"/>
              </w:rPr>
              <w:t>2023</w:t>
            </w:r>
          </w:p>
        </w:tc>
        <w:tc>
          <w:tcPr>
            <w:tcW w:w="560" w:type="dxa"/>
            <w:vAlign w:val="bottom"/>
            <w:vMerge w:val="restart"/>
            <w:shd w:val="clear" w:color="auto" w:fill="1764AC"/>
          </w:tcPr>
          <w:p>
            <w:pPr>
              <w:jc w:val="center"/>
              <w:ind w:right="100"/>
              <w:spacing w:after="0"/>
              <w:rPr>
                <w:sz w:val="20"/>
                <w:szCs w:val="20"/>
                <w:color w:val="auto"/>
              </w:rPr>
            </w:pPr>
            <w:r>
              <w:rPr>
                <w:rFonts w:ascii="Times New Roman" w:cs="Times New Roman" w:eastAsia="Times New Roman" w:hAnsi="Times New Roman"/>
                <w:sz w:val="12"/>
                <w:szCs w:val="12"/>
                <w:color w:val="FFFFFF"/>
                <w:w w:val="99"/>
              </w:rPr>
              <w:t>2024</w:t>
            </w:r>
          </w:p>
        </w:tc>
        <w:tc>
          <w:tcPr>
            <w:tcW w:w="6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2023</w:t>
            </w:r>
          </w:p>
        </w:tc>
        <w:tc>
          <w:tcPr>
            <w:tcW w:w="0" w:type="dxa"/>
            <w:vAlign w:val="bottom"/>
          </w:tcPr>
          <w:p>
            <w:pPr>
              <w:spacing w:after="0"/>
              <w:rPr>
                <w:sz w:val="1"/>
                <w:szCs w:val="1"/>
                <w:color w:val="auto"/>
              </w:rPr>
            </w:pPr>
          </w:p>
        </w:tc>
      </w:tr>
      <w:tr>
        <w:trPr>
          <w:trHeight w:val="162"/>
        </w:trPr>
        <w:tc>
          <w:tcPr>
            <w:tcW w:w="1700" w:type="dxa"/>
            <w:vAlign w:val="bottom"/>
            <w:shd w:val="clear" w:color="auto" w:fill="1764AC"/>
          </w:tcPr>
          <w:p>
            <w:pPr>
              <w:spacing w:after="0"/>
              <w:rPr>
                <w:sz w:val="14"/>
                <w:szCs w:val="14"/>
                <w:color w:val="auto"/>
              </w:rPr>
            </w:pPr>
          </w:p>
        </w:tc>
        <w:tc>
          <w:tcPr>
            <w:tcW w:w="660" w:type="dxa"/>
            <w:vAlign w:val="bottom"/>
            <w:shd w:val="clear" w:color="auto" w:fill="1764AC"/>
          </w:tcPr>
          <w:p>
            <w:pPr>
              <w:spacing w:after="0"/>
              <w:rPr>
                <w:sz w:val="14"/>
                <w:szCs w:val="14"/>
                <w:color w:val="auto"/>
              </w:rPr>
            </w:pPr>
          </w:p>
        </w:tc>
        <w:tc>
          <w:tcPr>
            <w:tcW w:w="660" w:type="dxa"/>
            <w:vAlign w:val="bottom"/>
            <w:tcBorders>
              <w:right w:val="single" w:sz="8" w:color="1764AC"/>
            </w:tcBorders>
            <w:shd w:val="clear" w:color="auto" w:fill="1764AC"/>
          </w:tcPr>
          <w:p>
            <w:pPr>
              <w:spacing w:after="0"/>
              <w:rPr>
                <w:sz w:val="14"/>
                <w:szCs w:val="14"/>
                <w:color w:val="auto"/>
              </w:rPr>
            </w:pPr>
          </w:p>
        </w:tc>
        <w:tc>
          <w:tcPr>
            <w:tcW w:w="500" w:type="dxa"/>
            <w:vAlign w:val="bottom"/>
            <w:vMerge w:val="continue"/>
            <w:shd w:val="clear" w:color="auto" w:fill="1764AC"/>
          </w:tcPr>
          <w:p>
            <w:pPr>
              <w:spacing w:after="0"/>
              <w:rPr>
                <w:sz w:val="14"/>
                <w:szCs w:val="14"/>
                <w:color w:val="auto"/>
              </w:rPr>
            </w:pPr>
          </w:p>
        </w:tc>
        <w:tc>
          <w:tcPr>
            <w:tcW w:w="740" w:type="dxa"/>
            <w:vAlign w:val="bottom"/>
            <w:vMerge w:val="continue"/>
            <w:shd w:val="clear" w:color="auto" w:fill="1764AC"/>
          </w:tcPr>
          <w:p>
            <w:pPr>
              <w:spacing w:after="0"/>
              <w:rPr>
                <w:sz w:val="14"/>
                <w:szCs w:val="14"/>
                <w:color w:val="auto"/>
              </w:rPr>
            </w:pPr>
          </w:p>
        </w:tc>
        <w:tc>
          <w:tcPr>
            <w:tcW w:w="1060" w:type="dxa"/>
            <w:vAlign w:val="bottom"/>
            <w:vMerge w:val="continue"/>
            <w:shd w:val="clear" w:color="auto" w:fill="1764AC"/>
          </w:tcPr>
          <w:p>
            <w:pPr>
              <w:spacing w:after="0"/>
              <w:rPr>
                <w:sz w:val="14"/>
                <w:szCs w:val="14"/>
                <w:color w:val="auto"/>
              </w:rPr>
            </w:pPr>
          </w:p>
        </w:tc>
        <w:tc>
          <w:tcPr>
            <w:tcW w:w="640" w:type="dxa"/>
            <w:vAlign w:val="bottom"/>
            <w:vMerge w:val="continue"/>
            <w:shd w:val="clear" w:color="auto" w:fill="1764AC"/>
          </w:tcPr>
          <w:p>
            <w:pPr>
              <w:spacing w:after="0"/>
              <w:rPr>
                <w:sz w:val="14"/>
                <w:szCs w:val="14"/>
                <w:color w:val="auto"/>
              </w:rPr>
            </w:pPr>
          </w:p>
        </w:tc>
        <w:tc>
          <w:tcPr>
            <w:tcW w:w="580" w:type="dxa"/>
            <w:vAlign w:val="bottom"/>
            <w:vMerge w:val="continue"/>
            <w:shd w:val="clear" w:color="auto" w:fill="1764AC"/>
          </w:tcPr>
          <w:p>
            <w:pPr>
              <w:spacing w:after="0"/>
              <w:rPr>
                <w:sz w:val="14"/>
                <w:szCs w:val="14"/>
                <w:color w:val="auto"/>
              </w:rPr>
            </w:pPr>
          </w:p>
        </w:tc>
        <w:tc>
          <w:tcPr>
            <w:tcW w:w="720" w:type="dxa"/>
            <w:vAlign w:val="bottom"/>
            <w:vMerge w:val="continue"/>
            <w:shd w:val="clear" w:color="auto" w:fill="1764AC"/>
          </w:tcPr>
          <w:p>
            <w:pPr>
              <w:spacing w:after="0"/>
              <w:rPr>
                <w:sz w:val="14"/>
                <w:szCs w:val="14"/>
                <w:color w:val="auto"/>
              </w:rPr>
            </w:pPr>
          </w:p>
        </w:tc>
        <w:tc>
          <w:tcPr>
            <w:tcW w:w="480" w:type="dxa"/>
            <w:vAlign w:val="bottom"/>
            <w:vMerge w:val="continue"/>
            <w:shd w:val="clear" w:color="auto" w:fill="1764AC"/>
          </w:tcPr>
          <w:p>
            <w:pPr>
              <w:spacing w:after="0"/>
              <w:rPr>
                <w:sz w:val="14"/>
                <w:szCs w:val="14"/>
                <w:color w:val="auto"/>
              </w:rPr>
            </w:pPr>
          </w:p>
        </w:tc>
        <w:tc>
          <w:tcPr>
            <w:tcW w:w="700" w:type="dxa"/>
            <w:vAlign w:val="bottom"/>
            <w:vMerge w:val="continue"/>
            <w:shd w:val="clear" w:color="auto" w:fill="1764AC"/>
          </w:tcPr>
          <w:p>
            <w:pPr>
              <w:spacing w:after="0"/>
              <w:rPr>
                <w:sz w:val="14"/>
                <w:szCs w:val="14"/>
                <w:color w:val="auto"/>
              </w:rPr>
            </w:pPr>
          </w:p>
        </w:tc>
        <w:tc>
          <w:tcPr>
            <w:tcW w:w="840" w:type="dxa"/>
            <w:vAlign w:val="bottom"/>
            <w:vMerge w:val="continue"/>
            <w:shd w:val="clear" w:color="auto" w:fill="1764AC"/>
          </w:tcPr>
          <w:p>
            <w:pPr>
              <w:spacing w:after="0"/>
              <w:rPr>
                <w:sz w:val="14"/>
                <w:szCs w:val="14"/>
                <w:color w:val="auto"/>
              </w:rPr>
            </w:pPr>
          </w:p>
        </w:tc>
        <w:tc>
          <w:tcPr>
            <w:tcW w:w="800" w:type="dxa"/>
            <w:vAlign w:val="bottom"/>
            <w:vMerge w:val="continue"/>
            <w:shd w:val="clear" w:color="auto" w:fill="1764AC"/>
          </w:tcPr>
          <w:p>
            <w:pPr>
              <w:spacing w:after="0"/>
              <w:rPr>
                <w:sz w:val="14"/>
                <w:szCs w:val="14"/>
                <w:color w:val="auto"/>
              </w:rPr>
            </w:pPr>
          </w:p>
        </w:tc>
        <w:tc>
          <w:tcPr>
            <w:tcW w:w="560" w:type="dxa"/>
            <w:vAlign w:val="bottom"/>
            <w:vMerge w:val="continue"/>
            <w:shd w:val="clear" w:color="auto" w:fill="1764AC"/>
          </w:tcPr>
          <w:p>
            <w:pPr>
              <w:spacing w:after="0"/>
              <w:rPr>
                <w:sz w:val="14"/>
                <w:szCs w:val="14"/>
                <w:color w:val="auto"/>
              </w:rPr>
            </w:pPr>
          </w:p>
        </w:tc>
        <w:tc>
          <w:tcPr>
            <w:tcW w:w="660" w:type="dxa"/>
            <w:vAlign w:val="bottom"/>
            <w:vMerge w:val="continue"/>
            <w:shd w:val="clear" w:color="auto" w:fill="1764A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MENA</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652</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625</w:t>
            </w:r>
          </w:p>
        </w:tc>
        <w:tc>
          <w:tcPr>
            <w:tcW w:w="50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6"/>
              </w:rPr>
              <w:t>1,297</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627</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155,693</w:t>
            </w:r>
          </w:p>
        </w:tc>
        <w:tc>
          <w:tcPr>
            <w:tcW w:w="64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6"/>
              </w:rPr>
              <w:t>67,687</w:t>
            </w: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123,724</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66,680</w:t>
            </w:r>
          </w:p>
        </w:tc>
        <w:tc>
          <w:tcPr>
            <w:tcW w:w="48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285</w:t>
            </w: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209</w:t>
            </w:r>
          </w:p>
        </w:tc>
        <w:tc>
          <w:tcPr>
            <w:tcW w:w="84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34,086</w:t>
            </w: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20,738</w:t>
            </w:r>
          </w:p>
        </w:tc>
        <w:tc>
          <w:tcPr>
            <w:tcW w:w="5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24,065</w:t>
            </w:r>
          </w:p>
        </w:tc>
        <w:tc>
          <w:tcPr>
            <w:tcW w:w="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12,794</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Europe</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1,327</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0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6"/>
              </w:rPr>
              <w:t>2,766</w:t>
            </w:r>
          </w:p>
        </w:tc>
        <w:tc>
          <w:tcPr>
            <w:tcW w:w="74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6"/>
              </w:rPr>
              <w:t>2,321</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197,143</w:t>
            </w:r>
          </w:p>
        </w:tc>
        <w:tc>
          <w:tcPr>
            <w:tcW w:w="64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rPr>
              <w:t>177,471</w:t>
            </w: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165,383</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150,677</w:t>
            </w:r>
          </w:p>
        </w:tc>
        <w:tc>
          <w:tcPr>
            <w:tcW w:w="48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772</w:t>
            </w:r>
          </w:p>
        </w:tc>
        <w:tc>
          <w:tcPr>
            <w:tcW w:w="70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w w:val="88"/>
              </w:rPr>
              <w:t>711</w:t>
            </w:r>
          </w:p>
        </w:tc>
        <w:tc>
          <w:tcPr>
            <w:tcW w:w="84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49,979</w:t>
            </w:r>
          </w:p>
        </w:tc>
        <w:tc>
          <w:tcPr>
            <w:tcW w:w="8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50,770</w:t>
            </w:r>
          </w:p>
        </w:tc>
        <w:tc>
          <w:tcPr>
            <w:tcW w:w="5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35,997</w:t>
            </w:r>
          </w:p>
        </w:tc>
        <w:tc>
          <w:tcPr>
            <w:tcW w:w="6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37,473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USA</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470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1,200</w:t>
            </w:r>
          </w:p>
        </w:tc>
        <w:tc>
          <w:tcPr>
            <w:tcW w:w="50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2"/>
                <w:szCs w:val="12"/>
                <w:color w:val="auto"/>
                <w:w w:val="99"/>
              </w:rPr>
              <w:t>392</w:t>
            </w:r>
          </w:p>
        </w:tc>
        <w:tc>
          <w:tcPr>
            <w:tcW w:w="74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9"/>
              </w:rPr>
              <w:t>73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36,608</w:t>
            </w:r>
          </w:p>
        </w:tc>
        <w:tc>
          <w:tcPr>
            <w:tcW w:w="6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rPr>
              <w:t>7,712</w:t>
            </w:r>
          </w:p>
        </w:tc>
        <w:tc>
          <w:tcPr>
            <w:tcW w:w="5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6"/>
              </w:rPr>
              <w:t>33,539</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6,956</w:t>
            </w:r>
          </w:p>
        </w:tc>
        <w:tc>
          <w:tcPr>
            <w:tcW w:w="48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9"/>
              </w:rPr>
              <w:t>166</w:t>
            </w:r>
          </w:p>
        </w:tc>
        <w:tc>
          <w:tcPr>
            <w:tcW w:w="70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w w:val="99"/>
              </w:rPr>
              <w:t>19</w:t>
            </w:r>
          </w:p>
        </w:tc>
        <w:tc>
          <w:tcPr>
            <w:tcW w:w="84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color w:val="auto"/>
              </w:rPr>
              <w:t>17,894</w:t>
            </w:r>
          </w:p>
        </w:tc>
        <w:tc>
          <w:tcPr>
            <w:tcW w:w="8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6"/>
              </w:rPr>
              <w:t>3,571</w:t>
            </w:r>
          </w:p>
        </w:tc>
        <w:tc>
          <w:tcPr>
            <w:tcW w:w="5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6"/>
              </w:rPr>
              <w:t>17,573</w:t>
            </w:r>
          </w:p>
        </w:tc>
        <w:tc>
          <w:tcPr>
            <w:tcW w:w="6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2,803</w:t>
            </w:r>
          </w:p>
        </w:tc>
        <w:tc>
          <w:tcPr>
            <w:tcW w:w="0" w:type="dxa"/>
            <w:vAlign w:val="bottom"/>
          </w:tcPr>
          <w:p>
            <w:pPr>
              <w:spacing w:after="0"/>
              <w:rPr>
                <w:sz w:val="1"/>
                <w:szCs w:val="1"/>
                <w:color w:val="auto"/>
              </w:rPr>
            </w:pPr>
          </w:p>
        </w:tc>
      </w:tr>
      <w:tr>
        <w:trPr>
          <w:trHeight w:val="153"/>
        </w:trPr>
        <w:tc>
          <w:tcPr>
            <w:tcW w:w="170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6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2,449</w:t>
            </w:r>
          </w:p>
        </w:tc>
        <w:tc>
          <w:tcPr>
            <w:tcW w:w="6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1,825</w:t>
            </w:r>
          </w:p>
        </w:tc>
        <w:tc>
          <w:tcPr>
            <w:tcW w:w="500" w:type="dxa"/>
            <w:vAlign w:val="bottom"/>
            <w:tcBorders>
              <w:bottom w:val="single" w:sz="8" w:color="auto"/>
            </w:tcBorders>
            <w:shd w:val="clear" w:color="auto" w:fill="BDD6EE"/>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6"/>
              </w:rPr>
              <w:t>4,455</w:t>
            </w:r>
          </w:p>
        </w:tc>
        <w:tc>
          <w:tcPr>
            <w:tcW w:w="740" w:type="dxa"/>
            <w:vAlign w:val="bottom"/>
            <w:tcBorders>
              <w:bottom w:val="single" w:sz="8" w:color="auto"/>
            </w:tcBorders>
            <w:shd w:val="clear" w:color="auto" w:fill="BDD6EE"/>
          </w:tcPr>
          <w:p>
            <w:pPr>
              <w:jc w:val="center"/>
              <w:ind w:left="260"/>
              <w:spacing w:after="0"/>
              <w:rPr>
                <w:sz w:val="20"/>
                <w:szCs w:val="20"/>
                <w:color w:val="auto"/>
              </w:rPr>
            </w:pPr>
            <w:r>
              <w:rPr>
                <w:rFonts w:ascii="Times New Roman" w:cs="Times New Roman" w:eastAsia="Times New Roman" w:hAnsi="Times New Roman"/>
                <w:sz w:val="12"/>
                <w:szCs w:val="12"/>
                <w:b w:val="1"/>
                <w:bCs w:val="1"/>
                <w:color w:val="auto"/>
                <w:w w:val="96"/>
              </w:rPr>
              <w:t>3,021</w:t>
            </w:r>
          </w:p>
        </w:tc>
        <w:tc>
          <w:tcPr>
            <w:tcW w:w="10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389,444</w:t>
            </w:r>
          </w:p>
        </w:tc>
        <w:tc>
          <w:tcPr>
            <w:tcW w:w="640" w:type="dxa"/>
            <w:vAlign w:val="bottom"/>
            <w:tcBorders>
              <w:bottom w:val="single" w:sz="8" w:color="auto"/>
            </w:tcBorders>
            <w:shd w:val="clear" w:color="auto" w:fill="BDD6EE"/>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252,870</w:t>
            </w:r>
          </w:p>
        </w:tc>
        <w:tc>
          <w:tcPr>
            <w:tcW w:w="580" w:type="dxa"/>
            <w:vAlign w:val="bottom"/>
            <w:tcBorders>
              <w:bottom w:val="single" w:sz="8" w:color="auto"/>
            </w:tcBorders>
            <w:shd w:val="clear" w:color="auto" w:fill="BDD6EE"/>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322,646</w:t>
            </w:r>
          </w:p>
        </w:tc>
        <w:tc>
          <w:tcPr>
            <w:tcW w:w="7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224,313</w:t>
            </w:r>
          </w:p>
        </w:tc>
        <w:tc>
          <w:tcPr>
            <w:tcW w:w="480" w:type="dxa"/>
            <w:vAlign w:val="bottom"/>
            <w:tcBorders>
              <w:bottom w:val="single" w:sz="8" w:color="auto"/>
            </w:tcBorders>
            <w:shd w:val="clear" w:color="auto" w:fill="BDD6EE"/>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1,223</w:t>
            </w:r>
          </w:p>
        </w:tc>
        <w:tc>
          <w:tcPr>
            <w:tcW w:w="700" w:type="dxa"/>
            <w:vAlign w:val="bottom"/>
            <w:tcBorders>
              <w:bottom w:val="single" w:sz="8" w:color="auto"/>
            </w:tcBorders>
            <w:shd w:val="clear" w:color="auto" w:fill="BDD6EE"/>
          </w:tcPr>
          <w:p>
            <w:pPr>
              <w:jc w:val="center"/>
              <w:ind w:left="260"/>
              <w:spacing w:after="0"/>
              <w:rPr>
                <w:sz w:val="20"/>
                <w:szCs w:val="20"/>
                <w:color w:val="auto"/>
              </w:rPr>
            </w:pPr>
            <w:r>
              <w:rPr>
                <w:rFonts w:ascii="Times New Roman" w:cs="Times New Roman" w:eastAsia="Times New Roman" w:hAnsi="Times New Roman"/>
                <w:sz w:val="12"/>
                <w:szCs w:val="12"/>
                <w:b w:val="1"/>
                <w:bCs w:val="1"/>
                <w:color w:val="auto"/>
                <w:w w:val="99"/>
              </w:rPr>
              <w:t>939</w:t>
            </w:r>
          </w:p>
        </w:tc>
        <w:tc>
          <w:tcPr>
            <w:tcW w:w="840" w:type="dxa"/>
            <w:vAlign w:val="bottom"/>
            <w:tcBorders>
              <w:bottom w:val="single" w:sz="8" w:color="auto"/>
            </w:tcBorders>
            <w:shd w:val="clear" w:color="auto" w:fill="BDD6EE"/>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7"/>
              </w:rPr>
              <w:t>101,959</w:t>
            </w:r>
          </w:p>
        </w:tc>
        <w:tc>
          <w:tcPr>
            <w:tcW w:w="800" w:type="dxa"/>
            <w:vAlign w:val="bottom"/>
            <w:tcBorders>
              <w:bottom w:val="single" w:sz="8" w:color="auto"/>
            </w:tcBorders>
            <w:shd w:val="clear" w:color="auto" w:fill="BDD6EE"/>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75,079</w:t>
            </w:r>
          </w:p>
        </w:tc>
        <w:tc>
          <w:tcPr>
            <w:tcW w:w="560" w:type="dxa"/>
            <w:vAlign w:val="bottom"/>
            <w:tcBorders>
              <w:bottom w:val="single" w:sz="8" w:color="auto"/>
            </w:tcBorders>
            <w:shd w:val="clear" w:color="auto" w:fill="BDD6EE"/>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77,635</w:t>
            </w:r>
          </w:p>
        </w:tc>
        <w:tc>
          <w:tcPr>
            <w:tcW w:w="66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53,070</w:t>
            </w:r>
          </w:p>
        </w:tc>
        <w:tc>
          <w:tcPr>
            <w:tcW w:w="0" w:type="dxa"/>
            <w:vAlign w:val="bottom"/>
          </w:tcPr>
          <w:p>
            <w:pPr>
              <w:spacing w:after="0"/>
              <w:rPr>
                <w:sz w:val="1"/>
                <w:szCs w:val="1"/>
                <w:color w:val="auto"/>
              </w:rPr>
            </w:pPr>
          </w:p>
        </w:tc>
      </w:tr>
      <w:tr>
        <w:trPr>
          <w:trHeight w:val="140"/>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Unconsolidated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41</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7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at Share</w:t>
            </w:r>
          </w:p>
        </w:tc>
        <w:tc>
          <w:tcPr>
            <w:tcW w:w="660" w:type="dxa"/>
            <w:vAlign w:val="bottom"/>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70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70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2,492</w:t>
            </w:r>
          </w:p>
        </w:tc>
        <w:tc>
          <w:tcPr>
            <w:tcW w:w="6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1,866</w:t>
            </w:r>
          </w:p>
        </w:tc>
        <w:tc>
          <w:tcPr>
            <w:tcW w:w="500" w:type="dxa"/>
            <w:vAlign w:val="bottom"/>
            <w:tcBorders>
              <w:bottom w:val="single" w:sz="8" w:color="auto"/>
            </w:tcBorders>
            <w:shd w:val="clear" w:color="auto" w:fill="BDD6EE"/>
          </w:tcPr>
          <w:p>
            <w:pPr>
              <w:spacing w:after="0"/>
              <w:rPr>
                <w:sz w:val="13"/>
                <w:szCs w:val="13"/>
                <w:color w:val="auto"/>
              </w:rPr>
            </w:pPr>
          </w:p>
        </w:tc>
        <w:tc>
          <w:tcPr>
            <w:tcW w:w="740" w:type="dxa"/>
            <w:vAlign w:val="bottom"/>
            <w:tcBorders>
              <w:bottom w:val="single" w:sz="8" w:color="auto"/>
            </w:tcBorders>
            <w:shd w:val="clear" w:color="auto" w:fill="BDD6EE"/>
          </w:tcPr>
          <w:p>
            <w:pPr>
              <w:spacing w:after="0"/>
              <w:rPr>
                <w:sz w:val="13"/>
                <w:szCs w:val="13"/>
                <w:color w:val="auto"/>
              </w:rPr>
            </w:pPr>
          </w:p>
        </w:tc>
        <w:tc>
          <w:tcPr>
            <w:tcW w:w="1060" w:type="dxa"/>
            <w:vAlign w:val="bottom"/>
            <w:tcBorders>
              <w:bottom w:val="single" w:sz="8" w:color="auto"/>
            </w:tcBorders>
            <w:shd w:val="clear" w:color="auto" w:fill="BDD6EE"/>
          </w:tcPr>
          <w:p>
            <w:pPr>
              <w:spacing w:after="0"/>
              <w:rPr>
                <w:sz w:val="13"/>
                <w:szCs w:val="13"/>
                <w:color w:val="auto"/>
              </w:rPr>
            </w:pPr>
          </w:p>
        </w:tc>
        <w:tc>
          <w:tcPr>
            <w:tcW w:w="640" w:type="dxa"/>
            <w:vAlign w:val="bottom"/>
            <w:tcBorders>
              <w:bottom w:val="single" w:sz="8" w:color="auto"/>
            </w:tcBorders>
            <w:shd w:val="clear" w:color="auto" w:fill="BDD6EE"/>
          </w:tcPr>
          <w:p>
            <w:pPr>
              <w:spacing w:after="0"/>
              <w:rPr>
                <w:sz w:val="13"/>
                <w:szCs w:val="13"/>
                <w:color w:val="auto"/>
              </w:rPr>
            </w:pPr>
          </w:p>
        </w:tc>
        <w:tc>
          <w:tcPr>
            <w:tcW w:w="580" w:type="dxa"/>
            <w:vAlign w:val="bottom"/>
            <w:tcBorders>
              <w:bottom w:val="single" w:sz="8" w:color="auto"/>
            </w:tcBorders>
            <w:shd w:val="clear" w:color="auto" w:fill="BDD6EE"/>
          </w:tcPr>
          <w:p>
            <w:pPr>
              <w:spacing w:after="0"/>
              <w:rPr>
                <w:sz w:val="13"/>
                <w:szCs w:val="13"/>
                <w:color w:val="auto"/>
              </w:rPr>
            </w:pPr>
          </w:p>
        </w:tc>
        <w:tc>
          <w:tcPr>
            <w:tcW w:w="720" w:type="dxa"/>
            <w:vAlign w:val="bottom"/>
            <w:tcBorders>
              <w:bottom w:val="single" w:sz="8" w:color="auto"/>
            </w:tcBorders>
            <w:shd w:val="clear" w:color="auto" w:fill="BDD6EE"/>
          </w:tcPr>
          <w:p>
            <w:pPr>
              <w:spacing w:after="0"/>
              <w:rPr>
                <w:sz w:val="13"/>
                <w:szCs w:val="13"/>
                <w:color w:val="auto"/>
              </w:rPr>
            </w:pPr>
          </w:p>
        </w:tc>
        <w:tc>
          <w:tcPr>
            <w:tcW w:w="480" w:type="dxa"/>
            <w:vAlign w:val="bottom"/>
            <w:tcBorders>
              <w:bottom w:val="single" w:sz="8" w:color="auto"/>
            </w:tcBorders>
            <w:shd w:val="clear" w:color="auto" w:fill="BDD6EE"/>
          </w:tcPr>
          <w:p>
            <w:pPr>
              <w:spacing w:after="0"/>
              <w:rPr>
                <w:sz w:val="13"/>
                <w:szCs w:val="13"/>
                <w:color w:val="auto"/>
              </w:rPr>
            </w:pPr>
          </w:p>
        </w:tc>
        <w:tc>
          <w:tcPr>
            <w:tcW w:w="700" w:type="dxa"/>
            <w:vAlign w:val="bottom"/>
            <w:tcBorders>
              <w:bottom w:val="single" w:sz="8" w:color="auto"/>
            </w:tcBorders>
            <w:shd w:val="clear" w:color="auto" w:fill="BDD6EE"/>
          </w:tcPr>
          <w:p>
            <w:pPr>
              <w:spacing w:after="0"/>
              <w:rPr>
                <w:sz w:val="13"/>
                <w:szCs w:val="13"/>
                <w:color w:val="auto"/>
              </w:rPr>
            </w:pPr>
          </w:p>
        </w:tc>
        <w:tc>
          <w:tcPr>
            <w:tcW w:w="840" w:type="dxa"/>
            <w:vAlign w:val="bottom"/>
            <w:tcBorders>
              <w:bottom w:val="single" w:sz="8" w:color="auto"/>
            </w:tcBorders>
            <w:shd w:val="clear" w:color="auto" w:fill="BDD6EE"/>
          </w:tcPr>
          <w:p>
            <w:pPr>
              <w:spacing w:after="0"/>
              <w:rPr>
                <w:sz w:val="13"/>
                <w:szCs w:val="13"/>
                <w:color w:val="auto"/>
              </w:rPr>
            </w:pPr>
          </w:p>
        </w:tc>
        <w:tc>
          <w:tcPr>
            <w:tcW w:w="800" w:type="dxa"/>
            <w:vAlign w:val="bottom"/>
            <w:tcBorders>
              <w:bottom w:val="single" w:sz="8" w:color="auto"/>
            </w:tcBorders>
            <w:shd w:val="clear" w:color="auto" w:fill="BDD6EE"/>
          </w:tcPr>
          <w:p>
            <w:pPr>
              <w:spacing w:after="0"/>
              <w:rPr>
                <w:sz w:val="13"/>
                <w:szCs w:val="13"/>
                <w:color w:val="auto"/>
              </w:rPr>
            </w:pPr>
          </w:p>
        </w:tc>
        <w:tc>
          <w:tcPr>
            <w:tcW w:w="560" w:type="dxa"/>
            <w:vAlign w:val="bottom"/>
            <w:tcBorders>
              <w:bottom w:val="single" w:sz="8" w:color="auto"/>
            </w:tcBorders>
            <w:shd w:val="clear" w:color="auto" w:fill="BDD6EE"/>
          </w:tcPr>
          <w:p>
            <w:pPr>
              <w:spacing w:after="0"/>
              <w:rPr>
                <w:sz w:val="13"/>
                <w:szCs w:val="13"/>
                <w:color w:val="auto"/>
              </w:rPr>
            </w:pPr>
          </w:p>
        </w:tc>
        <w:tc>
          <w:tcPr>
            <w:tcW w:w="660" w:type="dxa"/>
            <w:vAlign w:val="bottom"/>
            <w:tcBorders>
              <w:bottom w:val="single" w:sz="8" w:color="auto"/>
            </w:tcBorders>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7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2" w:right="299" w:bottom="1440" w:gutter="0" w:footer="0" w:header="0"/>
        </w:sectPr>
      </w:pPr>
    </w:p>
    <w:bookmarkStart w:id="24" w:name="page25"/>
    <w:bookmarkEnd w:id="2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  Operational Projects Further Detail</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20" w:type="dxa"/>
            <w:vAlign w:val="bottom"/>
            <w:gridSpan w:val="2"/>
          </w:tcPr>
          <w:p>
            <w:pPr>
              <w:spacing w:after="0"/>
              <w:rPr>
                <w:sz w:val="12"/>
                <w:szCs w:val="12"/>
                <w:color w:val="auto"/>
              </w:rPr>
            </w:pPr>
          </w:p>
        </w:tc>
        <w:tc>
          <w:tcPr>
            <w:tcW w:w="2440" w:type="dxa"/>
            <w:vAlign w:val="bottom"/>
            <w:gridSpan w:val="2"/>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i w:val="1"/>
                <w:iCs w:val="1"/>
                <w:color w:val="FFFFFF"/>
              </w:rPr>
              <w:t>($ thousands)</w:t>
            </w:r>
          </w:p>
        </w:tc>
        <w:tc>
          <w:tcPr>
            <w:tcW w:w="800" w:type="dxa"/>
            <w:vAlign w:val="bottom"/>
            <w:shd w:val="clear" w:color="auto" w:fill="1764AC"/>
          </w:tcPr>
          <w:p>
            <w:pPr>
              <w:spacing w:after="0"/>
              <w:rPr>
                <w:sz w:val="13"/>
                <w:szCs w:val="13"/>
                <w:color w:val="auto"/>
              </w:rPr>
            </w:pPr>
          </w:p>
        </w:tc>
        <w:tc>
          <w:tcPr>
            <w:tcW w:w="900" w:type="dxa"/>
            <w:vAlign w:val="bottom"/>
            <w:shd w:val="clear" w:color="auto" w:fill="1764AC"/>
          </w:tcPr>
          <w:p>
            <w:pPr>
              <w:spacing w:after="0"/>
              <w:rPr>
                <w:sz w:val="13"/>
                <w:szCs w:val="13"/>
                <w:color w:val="auto"/>
              </w:rPr>
            </w:pPr>
          </w:p>
        </w:tc>
        <w:tc>
          <w:tcPr>
            <w:tcW w:w="860" w:type="dxa"/>
            <w:vAlign w:val="bottom"/>
            <w:tcBorders>
              <w:right w:val="single" w:sz="8" w:color="1764AC"/>
            </w:tcBorders>
            <w:shd w:val="clear" w:color="auto" w:fill="1764AC"/>
          </w:tcPr>
          <w:p>
            <w:pPr>
              <w:spacing w:after="0"/>
              <w:rPr>
                <w:sz w:val="13"/>
                <w:szCs w:val="13"/>
                <w:color w:val="auto"/>
              </w:rPr>
            </w:pPr>
          </w:p>
        </w:tc>
        <w:tc>
          <w:tcPr>
            <w:tcW w:w="2320" w:type="dxa"/>
            <w:vAlign w:val="bottom"/>
            <w:tcBorders>
              <w:right w:val="single" w:sz="8" w:color="1764AC"/>
            </w:tcBorders>
            <w:gridSpan w:val="2"/>
            <w:shd w:val="clear" w:color="auto" w:fill="1764AC"/>
          </w:tcPr>
          <w:p>
            <w:pPr>
              <w:ind w:left="220"/>
              <w:spacing w:after="0"/>
              <w:rPr>
                <w:sz w:val="20"/>
                <w:szCs w:val="20"/>
                <w:color w:val="auto"/>
              </w:rPr>
            </w:pPr>
            <w:r>
              <w:rPr>
                <w:rFonts w:ascii="Times New Roman" w:cs="Times New Roman" w:eastAsia="Times New Roman" w:hAnsi="Times New Roman"/>
                <w:sz w:val="12"/>
                <w:szCs w:val="12"/>
                <w:b w:val="1"/>
                <w:bCs w:val="1"/>
                <w:color w:val="FFFFFF"/>
              </w:rPr>
              <w:t>12 Months ended December 31, 2024</w:t>
            </w:r>
          </w:p>
        </w:tc>
        <w:tc>
          <w:tcPr>
            <w:tcW w:w="2440" w:type="dxa"/>
            <w:vAlign w:val="bottom"/>
            <w:tcBorders>
              <w:right w:val="single" w:sz="8" w:color="1764AC"/>
            </w:tcBorders>
            <w:gridSpan w:val="2"/>
            <w:shd w:val="clear" w:color="auto" w:fill="1764AC"/>
          </w:tcPr>
          <w:p>
            <w:pPr>
              <w:ind w:left="320"/>
              <w:spacing w:after="0"/>
              <w:rPr>
                <w:sz w:val="20"/>
                <w:szCs w:val="20"/>
                <w:color w:val="auto"/>
              </w:rPr>
            </w:pPr>
            <w:r>
              <w:rPr>
                <w:rFonts w:ascii="Times New Roman" w:cs="Times New Roman" w:eastAsia="Times New Roman" w:hAnsi="Times New Roman"/>
                <w:sz w:val="12"/>
                <w:szCs w:val="12"/>
                <w:b w:val="1"/>
                <w:bCs w:val="1"/>
                <w:color w:val="FFFFFF"/>
              </w:rPr>
              <w:t>3 Months ended December 31, 2024</w:t>
            </w:r>
          </w:p>
        </w:tc>
        <w:tc>
          <w:tcPr>
            <w:tcW w:w="1280" w:type="dxa"/>
            <w:vAlign w:val="bottom"/>
            <w:shd w:val="clear" w:color="auto" w:fill="1764AC"/>
          </w:tcPr>
          <w:p>
            <w:pPr>
              <w:spacing w:after="0"/>
              <w:rPr>
                <w:sz w:val="13"/>
                <w:szCs w:val="13"/>
                <w:color w:val="auto"/>
              </w:rPr>
            </w:pPr>
          </w:p>
        </w:tc>
        <w:tc>
          <w:tcPr>
            <w:tcW w:w="11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40" w:type="dxa"/>
            <w:vAlign w:val="bottom"/>
            <w:vMerge w:val="restart"/>
            <w:shd w:val="clear" w:color="auto" w:fill="1764AC"/>
          </w:tcPr>
          <w:p>
            <w:pPr>
              <w:spacing w:after="0"/>
              <w:rPr>
                <w:sz w:val="20"/>
                <w:szCs w:val="20"/>
                <w:color w:val="auto"/>
              </w:rPr>
            </w:pPr>
            <w:r>
              <w:rPr>
                <w:rFonts w:ascii="Times New Roman" w:cs="Times New Roman" w:eastAsia="Times New Roman" w:hAnsi="Times New Roman"/>
                <w:sz w:val="12"/>
                <w:szCs w:val="12"/>
                <w:b w:val="1"/>
                <w:bCs w:val="1"/>
                <w:color w:val="FFFFFF"/>
              </w:rPr>
              <w:t>Operational Project</w:t>
            </w:r>
          </w:p>
        </w:tc>
        <w:tc>
          <w:tcPr>
            <w:tcW w:w="800" w:type="dxa"/>
            <w:vAlign w:val="bottom"/>
            <w:vMerge w:val="restart"/>
            <w:shd w:val="clear" w:color="auto" w:fill="1764AC"/>
          </w:tcPr>
          <w:p>
            <w:pPr>
              <w:jc w:val="center"/>
              <w:ind w:left="60"/>
              <w:spacing w:after="0"/>
              <w:rPr>
                <w:sz w:val="20"/>
                <w:szCs w:val="20"/>
                <w:color w:val="auto"/>
              </w:rPr>
            </w:pPr>
            <w:r>
              <w:rPr>
                <w:rFonts w:ascii="Times New Roman" w:cs="Times New Roman" w:eastAsia="Times New Roman" w:hAnsi="Times New Roman"/>
                <w:sz w:val="12"/>
                <w:szCs w:val="12"/>
                <w:b w:val="1"/>
                <w:bCs w:val="1"/>
                <w:color w:val="FFFFFF"/>
                <w:w w:val="99"/>
              </w:rPr>
              <w:t>Segment</w:t>
            </w:r>
          </w:p>
        </w:tc>
        <w:tc>
          <w:tcPr>
            <w:tcW w:w="900" w:type="dxa"/>
            <w:vAlign w:val="bottom"/>
            <w:shd w:val="clear" w:color="auto" w:fill="1764AC"/>
          </w:tcPr>
          <w:p>
            <w:pPr>
              <w:jc w:val="center"/>
              <w:ind w:left="60"/>
              <w:spacing w:after="0"/>
              <w:rPr>
                <w:sz w:val="20"/>
                <w:szCs w:val="20"/>
                <w:color w:val="auto"/>
              </w:rPr>
            </w:pPr>
            <w:r>
              <w:rPr>
                <w:rFonts w:ascii="Times New Roman" w:cs="Times New Roman" w:eastAsia="Times New Roman" w:hAnsi="Times New Roman"/>
                <w:sz w:val="12"/>
                <w:szCs w:val="12"/>
                <w:color w:val="FFFFFF"/>
              </w:rPr>
              <w:t>Installed</w:t>
            </w:r>
          </w:p>
        </w:tc>
        <w:tc>
          <w:tcPr>
            <w:tcW w:w="86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Installed Storage</w:t>
            </w:r>
          </w:p>
        </w:tc>
        <w:tc>
          <w:tcPr>
            <w:tcW w:w="1120" w:type="dxa"/>
            <w:vAlign w:val="bottom"/>
            <w:shd w:val="clear" w:color="auto" w:fill="1764AC"/>
          </w:tcPr>
          <w:p>
            <w:pPr>
              <w:jc w:val="center"/>
              <w:ind w:left="20"/>
              <w:spacing w:after="0"/>
              <w:rPr>
                <w:sz w:val="20"/>
                <w:szCs w:val="20"/>
                <w:color w:val="auto"/>
              </w:rPr>
            </w:pPr>
            <w:r>
              <w:rPr>
                <w:rFonts w:ascii="Times New Roman" w:cs="Times New Roman" w:eastAsia="Times New Roman" w:hAnsi="Times New Roman"/>
                <w:sz w:val="12"/>
                <w:szCs w:val="12"/>
                <w:color w:val="FFFFFF"/>
              </w:rPr>
              <w:t>Revenues and</w:t>
            </w:r>
          </w:p>
        </w:tc>
        <w:tc>
          <w:tcPr>
            <w:tcW w:w="1200" w:type="dxa"/>
            <w:vAlign w:val="bottom"/>
            <w:tcBorders>
              <w:right w:val="single" w:sz="8" w:color="1764AC"/>
            </w:tcBorders>
            <w:shd w:val="clear" w:color="auto" w:fill="1764AC"/>
          </w:tcPr>
          <w:p>
            <w:pPr>
              <w:jc w:val="center"/>
              <w:ind w:left="20"/>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1260" w:type="dxa"/>
            <w:vAlign w:val="bottom"/>
            <w:vMerge w:val="restart"/>
            <w:shd w:val="clear" w:color="auto" w:fill="1764AC"/>
          </w:tcPr>
          <w:p>
            <w:pPr>
              <w:ind w:left="200"/>
              <w:spacing w:after="0"/>
              <w:rPr>
                <w:sz w:val="20"/>
                <w:szCs w:val="20"/>
                <w:color w:val="auto"/>
              </w:rPr>
            </w:pPr>
            <w:r>
              <w:rPr>
                <w:rFonts w:ascii="Times New Roman" w:cs="Times New Roman" w:eastAsia="Times New Roman" w:hAnsi="Times New Roman"/>
                <w:sz w:val="12"/>
                <w:szCs w:val="12"/>
                <w:color w:val="FFFFFF"/>
              </w:rPr>
              <w:t>Reported Revenue</w:t>
            </w:r>
          </w:p>
        </w:tc>
        <w:tc>
          <w:tcPr>
            <w:tcW w:w="118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Segment Adjusted</w:t>
            </w:r>
          </w:p>
        </w:tc>
        <w:tc>
          <w:tcPr>
            <w:tcW w:w="128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Debt balance as of</w:t>
            </w:r>
          </w:p>
        </w:tc>
        <w:tc>
          <w:tcPr>
            <w:tcW w:w="1160" w:type="dxa"/>
            <w:vAlign w:val="bottom"/>
            <w:vMerge w:val="restart"/>
            <w:shd w:val="clear" w:color="auto" w:fill="1764AC"/>
          </w:tcPr>
          <w:p>
            <w:pPr>
              <w:ind w:left="160"/>
              <w:spacing w:after="0"/>
              <w:rPr>
                <w:sz w:val="20"/>
                <w:szCs w:val="20"/>
                <w:color w:val="auto"/>
              </w:rPr>
            </w:pPr>
            <w:r>
              <w:rPr>
                <w:rFonts w:ascii="Times New Roman" w:cs="Times New Roman" w:eastAsia="Times New Roman" w:hAnsi="Times New Roman"/>
                <w:sz w:val="12"/>
                <w:szCs w:val="12"/>
                <w:color w:val="FFFFFF"/>
              </w:rPr>
              <w:t>Ownership %**</w:t>
            </w:r>
          </w:p>
        </w:tc>
        <w:tc>
          <w:tcPr>
            <w:tcW w:w="0" w:type="dxa"/>
            <w:vAlign w:val="bottom"/>
          </w:tcPr>
          <w:p>
            <w:pPr>
              <w:spacing w:after="0"/>
              <w:rPr>
                <w:sz w:val="1"/>
                <w:szCs w:val="1"/>
                <w:color w:val="auto"/>
              </w:rPr>
            </w:pPr>
          </w:p>
        </w:tc>
      </w:tr>
      <w:tr>
        <w:trPr>
          <w:trHeight w:val="74"/>
        </w:trPr>
        <w:tc>
          <w:tcPr>
            <w:tcW w:w="1540" w:type="dxa"/>
            <w:vAlign w:val="bottom"/>
            <w:vMerge w:val="continue"/>
            <w:shd w:val="clear" w:color="auto" w:fill="1764AC"/>
          </w:tcPr>
          <w:p>
            <w:pPr>
              <w:spacing w:after="0"/>
              <w:rPr>
                <w:sz w:val="6"/>
                <w:szCs w:val="6"/>
                <w:color w:val="auto"/>
              </w:rPr>
            </w:pPr>
          </w:p>
        </w:tc>
        <w:tc>
          <w:tcPr>
            <w:tcW w:w="800" w:type="dxa"/>
            <w:vAlign w:val="bottom"/>
            <w:vMerge w:val="continue"/>
            <w:shd w:val="clear" w:color="auto" w:fill="1764AC"/>
          </w:tcPr>
          <w:p>
            <w:pPr>
              <w:spacing w:after="0"/>
              <w:rPr>
                <w:sz w:val="6"/>
                <w:szCs w:val="6"/>
                <w:color w:val="auto"/>
              </w:rPr>
            </w:pPr>
          </w:p>
        </w:tc>
        <w:tc>
          <w:tcPr>
            <w:tcW w:w="900" w:type="dxa"/>
            <w:vAlign w:val="bottom"/>
            <w:vMerge w:val="restart"/>
            <w:shd w:val="clear" w:color="auto" w:fill="1764AC"/>
          </w:tcPr>
          <w:p>
            <w:pPr>
              <w:jc w:val="center"/>
              <w:ind w:left="60"/>
              <w:spacing w:after="0"/>
              <w:rPr>
                <w:sz w:val="20"/>
                <w:szCs w:val="20"/>
                <w:color w:val="auto"/>
              </w:rPr>
            </w:pPr>
            <w:r>
              <w:rPr>
                <w:rFonts w:ascii="Times New Roman" w:cs="Times New Roman" w:eastAsia="Times New Roman" w:hAnsi="Times New Roman"/>
                <w:sz w:val="12"/>
                <w:szCs w:val="12"/>
                <w:color w:val="FFFFFF"/>
                <w:w w:val="97"/>
              </w:rPr>
              <w:t>Capacity (MW)</w:t>
            </w:r>
          </w:p>
        </w:tc>
        <w:tc>
          <w:tcPr>
            <w:tcW w:w="86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(MWh)</w:t>
            </w:r>
          </w:p>
        </w:tc>
        <w:tc>
          <w:tcPr>
            <w:tcW w:w="1120" w:type="dxa"/>
            <w:vAlign w:val="bottom"/>
            <w:vMerge w:val="restart"/>
            <w:shd w:val="clear" w:color="auto" w:fill="1764AC"/>
          </w:tcPr>
          <w:p>
            <w:pPr>
              <w:jc w:val="center"/>
              <w:ind w:left="20"/>
              <w:spacing w:after="0"/>
              <w:rPr>
                <w:sz w:val="20"/>
                <w:szCs w:val="20"/>
                <w:color w:val="auto"/>
              </w:rPr>
            </w:pPr>
            <w:r>
              <w:rPr>
                <w:rFonts w:ascii="Times New Roman" w:cs="Times New Roman" w:eastAsia="Times New Roman" w:hAnsi="Times New Roman"/>
                <w:sz w:val="12"/>
                <w:szCs w:val="12"/>
                <w:color w:val="FFFFFF"/>
              </w:rPr>
              <w:t>income</w:t>
            </w:r>
          </w:p>
        </w:tc>
        <w:tc>
          <w:tcPr>
            <w:tcW w:w="1200" w:type="dxa"/>
            <w:vAlign w:val="bottom"/>
            <w:tcBorders>
              <w:right w:val="single" w:sz="8" w:color="1764AC"/>
            </w:tcBorders>
            <w:vMerge w:val="restart"/>
            <w:shd w:val="clear" w:color="auto" w:fill="1764AC"/>
          </w:tcPr>
          <w:p>
            <w:pPr>
              <w:jc w:val="center"/>
              <w:ind w:left="40"/>
              <w:spacing w:after="0"/>
              <w:rPr>
                <w:sz w:val="20"/>
                <w:szCs w:val="20"/>
                <w:color w:val="auto"/>
              </w:rPr>
            </w:pPr>
            <w:r>
              <w:rPr>
                <w:rFonts w:ascii="Times New Roman" w:cs="Times New Roman" w:eastAsia="Times New Roman" w:hAnsi="Times New Roman"/>
                <w:sz w:val="12"/>
                <w:szCs w:val="12"/>
                <w:color w:val="FFFFFF"/>
                <w:w w:val="99"/>
              </w:rPr>
              <w:t>EBITDA*</w:t>
            </w:r>
          </w:p>
        </w:tc>
        <w:tc>
          <w:tcPr>
            <w:tcW w:w="1260" w:type="dxa"/>
            <w:vAlign w:val="bottom"/>
            <w:vMerge w:val="continue"/>
            <w:shd w:val="clear" w:color="auto" w:fill="1764AC"/>
          </w:tcPr>
          <w:p>
            <w:pPr>
              <w:spacing w:after="0"/>
              <w:rPr>
                <w:sz w:val="6"/>
                <w:szCs w:val="6"/>
                <w:color w:val="auto"/>
              </w:rPr>
            </w:pPr>
          </w:p>
        </w:tc>
        <w:tc>
          <w:tcPr>
            <w:tcW w:w="1180" w:type="dxa"/>
            <w:vAlign w:val="bottom"/>
            <w:tcBorders>
              <w:right w:val="single" w:sz="8" w:color="1764AC"/>
            </w:tcBorders>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128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September 30, 2024</w:t>
            </w:r>
          </w:p>
        </w:tc>
        <w:tc>
          <w:tcPr>
            <w:tcW w:w="1160" w:type="dxa"/>
            <w:vAlign w:val="bottom"/>
            <w:vMerge w:val="continue"/>
            <w:shd w:val="clear" w:color="auto" w:fill="1764AC"/>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1764AC"/>
          </w:tcPr>
          <w:p>
            <w:pPr>
              <w:spacing w:after="0"/>
              <w:rPr>
                <w:sz w:val="7"/>
                <w:szCs w:val="7"/>
                <w:color w:val="auto"/>
              </w:rPr>
            </w:pPr>
          </w:p>
        </w:tc>
        <w:tc>
          <w:tcPr>
            <w:tcW w:w="800" w:type="dxa"/>
            <w:vAlign w:val="bottom"/>
            <w:shd w:val="clear" w:color="auto" w:fill="1764AC"/>
          </w:tcPr>
          <w:p>
            <w:pPr>
              <w:spacing w:after="0"/>
              <w:rPr>
                <w:sz w:val="7"/>
                <w:szCs w:val="7"/>
                <w:color w:val="auto"/>
              </w:rPr>
            </w:pPr>
          </w:p>
        </w:tc>
        <w:tc>
          <w:tcPr>
            <w:tcW w:w="900" w:type="dxa"/>
            <w:vAlign w:val="bottom"/>
            <w:vMerge w:val="continue"/>
            <w:shd w:val="clear" w:color="auto" w:fill="1764AC"/>
          </w:tcPr>
          <w:p>
            <w:pPr>
              <w:spacing w:after="0"/>
              <w:rPr>
                <w:sz w:val="7"/>
                <w:szCs w:val="7"/>
                <w:color w:val="auto"/>
              </w:rPr>
            </w:pPr>
          </w:p>
        </w:tc>
        <w:tc>
          <w:tcPr>
            <w:tcW w:w="860" w:type="dxa"/>
            <w:vAlign w:val="bottom"/>
            <w:tcBorders>
              <w:right w:val="single" w:sz="8" w:color="1764AC"/>
            </w:tcBorders>
            <w:vMerge w:val="continue"/>
            <w:shd w:val="clear" w:color="auto" w:fill="1764AC"/>
          </w:tcPr>
          <w:p>
            <w:pPr>
              <w:spacing w:after="0"/>
              <w:rPr>
                <w:sz w:val="7"/>
                <w:szCs w:val="7"/>
                <w:color w:val="auto"/>
              </w:rPr>
            </w:pPr>
          </w:p>
        </w:tc>
        <w:tc>
          <w:tcPr>
            <w:tcW w:w="1120" w:type="dxa"/>
            <w:vAlign w:val="bottom"/>
            <w:vMerge w:val="continue"/>
            <w:shd w:val="clear" w:color="auto" w:fill="1764AC"/>
          </w:tcPr>
          <w:p>
            <w:pPr>
              <w:spacing w:after="0"/>
              <w:rPr>
                <w:sz w:val="7"/>
                <w:szCs w:val="7"/>
                <w:color w:val="auto"/>
              </w:rPr>
            </w:pPr>
          </w:p>
        </w:tc>
        <w:tc>
          <w:tcPr>
            <w:tcW w:w="1200" w:type="dxa"/>
            <w:vAlign w:val="bottom"/>
            <w:tcBorders>
              <w:right w:val="single" w:sz="8" w:color="1764AC"/>
            </w:tcBorders>
            <w:vMerge w:val="continue"/>
            <w:shd w:val="clear" w:color="auto" w:fill="1764AC"/>
          </w:tcPr>
          <w:p>
            <w:pPr>
              <w:spacing w:after="0"/>
              <w:rPr>
                <w:sz w:val="7"/>
                <w:szCs w:val="7"/>
                <w:color w:val="auto"/>
              </w:rPr>
            </w:pPr>
          </w:p>
        </w:tc>
        <w:tc>
          <w:tcPr>
            <w:tcW w:w="1260" w:type="dxa"/>
            <w:vAlign w:val="bottom"/>
            <w:shd w:val="clear" w:color="auto" w:fill="1764AC"/>
          </w:tcPr>
          <w:p>
            <w:pPr>
              <w:spacing w:after="0"/>
              <w:rPr>
                <w:sz w:val="7"/>
                <w:szCs w:val="7"/>
                <w:color w:val="auto"/>
              </w:rPr>
            </w:pPr>
          </w:p>
        </w:tc>
        <w:tc>
          <w:tcPr>
            <w:tcW w:w="1180" w:type="dxa"/>
            <w:vAlign w:val="bottom"/>
            <w:tcBorders>
              <w:right w:val="single" w:sz="8" w:color="1764AC"/>
            </w:tcBorders>
            <w:vMerge w:val="continue"/>
            <w:shd w:val="clear" w:color="auto" w:fill="1764AC"/>
          </w:tcPr>
          <w:p>
            <w:pPr>
              <w:spacing w:after="0"/>
              <w:rPr>
                <w:sz w:val="7"/>
                <w:szCs w:val="7"/>
                <w:color w:val="auto"/>
              </w:rPr>
            </w:pPr>
          </w:p>
        </w:tc>
        <w:tc>
          <w:tcPr>
            <w:tcW w:w="1280" w:type="dxa"/>
            <w:vAlign w:val="bottom"/>
            <w:vMerge w:val="continue"/>
            <w:shd w:val="clear" w:color="auto" w:fill="1764AC"/>
          </w:tcPr>
          <w:p>
            <w:pPr>
              <w:spacing w:after="0"/>
              <w:rPr>
                <w:sz w:val="7"/>
                <w:szCs w:val="7"/>
                <w:color w:val="auto"/>
              </w:rPr>
            </w:pPr>
          </w:p>
        </w:tc>
        <w:tc>
          <w:tcPr>
            <w:tcW w:w="116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MENA Wind</w:t>
            </w:r>
          </w:p>
        </w:tc>
        <w:tc>
          <w:tcPr>
            <w:tcW w:w="80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MENA</w:t>
            </w:r>
          </w:p>
        </w:tc>
        <w:tc>
          <w:tcPr>
            <w:tcW w:w="90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316</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6"/>
              </w:rPr>
              <w:t>73,158</w:t>
            </w:r>
          </w:p>
        </w:tc>
        <w:tc>
          <w:tcPr>
            <w:tcW w:w="1200" w:type="dxa"/>
            <w:vAlign w:val="bottom"/>
            <w:tcBorders>
              <w:right w:val="single" w:sz="8" w:color="auto"/>
            </w:tcBorders>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15,339</w:t>
            </w:r>
          </w:p>
        </w:tc>
        <w:tc>
          <w:tcPr>
            <w:tcW w:w="1180" w:type="dxa"/>
            <w:vAlign w:val="bottom"/>
            <w:tcBorders>
              <w:right w:val="single" w:sz="8" w:color="auto"/>
            </w:tcBorders>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461,628</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MENA PV</w:t>
            </w:r>
          </w:p>
        </w:tc>
        <w:tc>
          <w:tcPr>
            <w:tcW w:w="80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rPr>
              <w:t>MENA</w:t>
            </w:r>
          </w:p>
        </w:tc>
        <w:tc>
          <w:tcPr>
            <w:tcW w:w="90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w w:val="99"/>
              </w:rPr>
              <w:t>336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625</w:t>
            </w:r>
          </w:p>
        </w:tc>
        <w:tc>
          <w:tcPr>
            <w:tcW w:w="11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82,535</w:t>
            </w:r>
          </w:p>
        </w:tc>
        <w:tc>
          <w:tcPr>
            <w:tcW w:w="12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18,747</w:t>
            </w:r>
          </w:p>
        </w:tc>
        <w:tc>
          <w:tcPr>
            <w:tcW w:w="11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500,537</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0" w:type="dxa"/>
            <w:vAlign w:val="bottom"/>
          </w:tcPr>
          <w:p>
            <w:pPr>
              <w:spacing w:after="0"/>
              <w:rPr>
                <w:sz w:val="1"/>
                <w:szCs w:val="1"/>
                <w:color w:val="auto"/>
              </w:rPr>
            </w:pPr>
          </w:p>
        </w:tc>
      </w:tr>
      <w:tr>
        <w:trPr>
          <w:trHeight w:val="153"/>
        </w:trPr>
        <w:tc>
          <w:tcPr>
            <w:tcW w:w="154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MENA</w:t>
            </w:r>
          </w:p>
        </w:tc>
        <w:tc>
          <w:tcPr>
            <w:tcW w:w="800" w:type="dxa"/>
            <w:vAlign w:val="bottom"/>
            <w:tcBorders>
              <w:bottom w:val="single" w:sz="8" w:color="auto"/>
            </w:tcBorders>
            <w:shd w:val="clear" w:color="auto" w:fill="BDD6EE"/>
          </w:tcPr>
          <w:p>
            <w:pPr>
              <w:spacing w:after="0"/>
              <w:rPr>
                <w:sz w:val="13"/>
                <w:szCs w:val="13"/>
                <w:color w:val="auto"/>
              </w:rPr>
            </w:pPr>
          </w:p>
        </w:tc>
        <w:tc>
          <w:tcPr>
            <w:tcW w:w="900" w:type="dxa"/>
            <w:vAlign w:val="bottom"/>
            <w:tcBorders>
              <w:bottom w:val="single" w:sz="8" w:color="auto"/>
            </w:tcBorders>
            <w:shd w:val="clear" w:color="auto" w:fill="BDD6EE"/>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652</w:t>
            </w:r>
          </w:p>
        </w:tc>
        <w:tc>
          <w:tcPr>
            <w:tcW w:w="8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625</w:t>
            </w:r>
          </w:p>
        </w:tc>
        <w:tc>
          <w:tcPr>
            <w:tcW w:w="11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155,693</w:t>
            </w:r>
          </w:p>
        </w:tc>
        <w:tc>
          <w:tcPr>
            <w:tcW w:w="1200" w:type="dxa"/>
            <w:vAlign w:val="bottom"/>
            <w:tcBorders>
              <w:bottom w:val="single" w:sz="8" w:color="auto"/>
              <w:right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123,724</w:t>
            </w:r>
          </w:p>
        </w:tc>
        <w:tc>
          <w:tcPr>
            <w:tcW w:w="12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34,086</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24,065</w:t>
            </w:r>
          </w:p>
        </w:tc>
        <w:tc>
          <w:tcPr>
            <w:tcW w:w="12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962,165</w:t>
            </w:r>
          </w:p>
        </w:tc>
        <w:tc>
          <w:tcPr>
            <w:tcW w:w="1160" w:type="dxa"/>
            <w:vAlign w:val="bottom"/>
            <w:tcBorders>
              <w:bottom w:val="single" w:sz="8" w:color="auto"/>
            </w:tcBorders>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Europe Wind</w:t>
            </w:r>
          </w:p>
        </w:tc>
        <w:tc>
          <w:tcPr>
            <w:tcW w:w="80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Europe</w:t>
            </w:r>
          </w:p>
        </w:tc>
        <w:tc>
          <w:tcPr>
            <w:tcW w:w="90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6"/>
              </w:rPr>
              <w:t>1,184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184,208</w:t>
            </w:r>
          </w:p>
        </w:tc>
        <w:tc>
          <w:tcPr>
            <w:tcW w:w="1200" w:type="dxa"/>
            <w:vAlign w:val="bottom"/>
            <w:tcBorders>
              <w:right w:val="single" w:sz="8" w:color="auto"/>
            </w:tcBorders>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47,867</w:t>
            </w:r>
          </w:p>
        </w:tc>
        <w:tc>
          <w:tcPr>
            <w:tcW w:w="1180" w:type="dxa"/>
            <w:vAlign w:val="bottom"/>
            <w:tcBorders>
              <w:right w:val="single" w:sz="8" w:color="auto"/>
            </w:tcBorders>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622,867</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61%</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Europe PV</w:t>
            </w:r>
          </w:p>
        </w:tc>
        <w:tc>
          <w:tcPr>
            <w:tcW w:w="80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rPr>
              <w:t>Europe</w:t>
            </w:r>
          </w:p>
        </w:tc>
        <w:tc>
          <w:tcPr>
            <w:tcW w:w="90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w w:val="99"/>
              </w:rPr>
              <w:t>143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12,935</w:t>
            </w:r>
          </w:p>
        </w:tc>
        <w:tc>
          <w:tcPr>
            <w:tcW w:w="12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2,112</w:t>
            </w:r>
          </w:p>
        </w:tc>
        <w:tc>
          <w:tcPr>
            <w:tcW w:w="11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63,055</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w:t>
            </w:r>
          </w:p>
        </w:tc>
        <w:tc>
          <w:tcPr>
            <w:tcW w:w="0" w:type="dxa"/>
            <w:vAlign w:val="bottom"/>
          </w:tcPr>
          <w:p>
            <w:pPr>
              <w:spacing w:after="0"/>
              <w:rPr>
                <w:sz w:val="1"/>
                <w:szCs w:val="1"/>
                <w:color w:val="auto"/>
              </w:rPr>
            </w:pPr>
          </w:p>
        </w:tc>
      </w:tr>
      <w:tr>
        <w:trPr>
          <w:trHeight w:val="153"/>
        </w:trPr>
        <w:tc>
          <w:tcPr>
            <w:tcW w:w="154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Europe</w:t>
            </w:r>
          </w:p>
        </w:tc>
        <w:tc>
          <w:tcPr>
            <w:tcW w:w="800" w:type="dxa"/>
            <w:vAlign w:val="bottom"/>
            <w:tcBorders>
              <w:bottom w:val="single" w:sz="8" w:color="auto"/>
            </w:tcBorders>
            <w:shd w:val="clear" w:color="auto" w:fill="BDD6EE"/>
          </w:tcPr>
          <w:p>
            <w:pPr>
              <w:spacing w:after="0"/>
              <w:rPr>
                <w:sz w:val="13"/>
                <w:szCs w:val="13"/>
                <w:color w:val="auto"/>
              </w:rPr>
            </w:pPr>
          </w:p>
        </w:tc>
        <w:tc>
          <w:tcPr>
            <w:tcW w:w="900" w:type="dxa"/>
            <w:vAlign w:val="bottom"/>
            <w:tcBorders>
              <w:bottom w:val="single" w:sz="8" w:color="auto"/>
            </w:tcBorders>
            <w:shd w:val="clear" w:color="auto" w:fill="BDD6EE"/>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6"/>
              </w:rPr>
              <w:t>1,327</w:t>
            </w:r>
          </w:p>
        </w:tc>
        <w:tc>
          <w:tcPr>
            <w:tcW w:w="8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11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197,143</w:t>
            </w:r>
          </w:p>
        </w:tc>
        <w:tc>
          <w:tcPr>
            <w:tcW w:w="1200" w:type="dxa"/>
            <w:vAlign w:val="bottom"/>
            <w:tcBorders>
              <w:bottom w:val="single" w:sz="8" w:color="auto"/>
              <w:right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165,383</w:t>
            </w:r>
          </w:p>
        </w:tc>
        <w:tc>
          <w:tcPr>
            <w:tcW w:w="12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49,979</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35,997</w:t>
            </w:r>
          </w:p>
        </w:tc>
        <w:tc>
          <w:tcPr>
            <w:tcW w:w="12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685,922</w:t>
            </w:r>
          </w:p>
        </w:tc>
        <w:tc>
          <w:tcPr>
            <w:tcW w:w="1160" w:type="dxa"/>
            <w:vAlign w:val="bottom"/>
            <w:tcBorders>
              <w:bottom w:val="single" w:sz="8" w:color="auto"/>
            </w:tcBorders>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USA PV</w:t>
            </w:r>
          </w:p>
        </w:tc>
        <w:tc>
          <w:tcPr>
            <w:tcW w:w="80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w w:val="99"/>
              </w:rPr>
              <w:t>USA</w:t>
            </w:r>
          </w:p>
        </w:tc>
        <w:tc>
          <w:tcPr>
            <w:tcW w:w="90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2"/>
                <w:szCs w:val="12"/>
                <w:color w:val="auto"/>
                <w:w w:val="99"/>
              </w:rPr>
              <w:t>470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1,200</w:t>
            </w:r>
          </w:p>
        </w:tc>
        <w:tc>
          <w:tcPr>
            <w:tcW w:w="11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6"/>
              </w:rPr>
              <w:t>36,608</w:t>
            </w:r>
          </w:p>
        </w:tc>
        <w:tc>
          <w:tcPr>
            <w:tcW w:w="12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17,894</w:t>
            </w:r>
          </w:p>
        </w:tc>
        <w:tc>
          <w:tcPr>
            <w:tcW w:w="11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288,858</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54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USA</w:t>
            </w:r>
          </w:p>
        </w:tc>
        <w:tc>
          <w:tcPr>
            <w:tcW w:w="800" w:type="dxa"/>
            <w:vAlign w:val="bottom"/>
            <w:tcBorders>
              <w:bottom w:val="single" w:sz="8" w:color="auto"/>
            </w:tcBorders>
            <w:shd w:val="clear" w:color="auto" w:fill="BDD6EE"/>
          </w:tcPr>
          <w:p>
            <w:pPr>
              <w:spacing w:after="0"/>
              <w:rPr>
                <w:sz w:val="13"/>
                <w:szCs w:val="13"/>
                <w:color w:val="auto"/>
              </w:rPr>
            </w:pPr>
          </w:p>
        </w:tc>
        <w:tc>
          <w:tcPr>
            <w:tcW w:w="900" w:type="dxa"/>
            <w:vAlign w:val="bottom"/>
            <w:tcBorders>
              <w:bottom w:val="single" w:sz="8" w:color="auto"/>
            </w:tcBorders>
            <w:shd w:val="clear" w:color="auto" w:fill="BDD6EE"/>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470</w:t>
            </w:r>
          </w:p>
        </w:tc>
        <w:tc>
          <w:tcPr>
            <w:tcW w:w="8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1,200</w:t>
            </w:r>
          </w:p>
        </w:tc>
        <w:tc>
          <w:tcPr>
            <w:tcW w:w="11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36,608</w:t>
            </w:r>
          </w:p>
        </w:tc>
        <w:tc>
          <w:tcPr>
            <w:tcW w:w="1200" w:type="dxa"/>
            <w:vAlign w:val="bottom"/>
            <w:tcBorders>
              <w:bottom w:val="single" w:sz="8" w:color="auto"/>
              <w:right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33,539</w:t>
            </w:r>
          </w:p>
        </w:tc>
        <w:tc>
          <w:tcPr>
            <w:tcW w:w="12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17,894</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17,573</w:t>
            </w:r>
          </w:p>
        </w:tc>
        <w:tc>
          <w:tcPr>
            <w:tcW w:w="12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288,858</w:t>
            </w:r>
          </w:p>
        </w:tc>
        <w:tc>
          <w:tcPr>
            <w:tcW w:w="1160" w:type="dxa"/>
            <w:vAlign w:val="bottom"/>
            <w:tcBorders>
              <w:bottom w:val="single" w:sz="8" w:color="auto"/>
            </w:tcBorders>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4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Consolidated Projects</w:t>
            </w:r>
          </w:p>
        </w:tc>
        <w:tc>
          <w:tcPr>
            <w:tcW w:w="800" w:type="dxa"/>
            <w:vAlign w:val="bottom"/>
            <w:tcBorders>
              <w:bottom w:val="single" w:sz="8" w:color="auto"/>
            </w:tcBorders>
            <w:shd w:val="clear" w:color="auto" w:fill="BDD6EE"/>
          </w:tcPr>
          <w:p>
            <w:pPr>
              <w:spacing w:after="0"/>
              <w:rPr>
                <w:sz w:val="13"/>
                <w:szCs w:val="13"/>
                <w:color w:val="auto"/>
              </w:rPr>
            </w:pPr>
          </w:p>
        </w:tc>
        <w:tc>
          <w:tcPr>
            <w:tcW w:w="900" w:type="dxa"/>
            <w:vAlign w:val="bottom"/>
            <w:tcBorders>
              <w:bottom w:val="single" w:sz="8" w:color="auto"/>
            </w:tcBorders>
            <w:shd w:val="clear" w:color="auto" w:fill="BDD6EE"/>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6"/>
              </w:rPr>
              <w:t>2,449</w:t>
            </w:r>
          </w:p>
        </w:tc>
        <w:tc>
          <w:tcPr>
            <w:tcW w:w="86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1,825</w:t>
            </w:r>
          </w:p>
        </w:tc>
        <w:tc>
          <w:tcPr>
            <w:tcW w:w="112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389,444</w:t>
            </w:r>
          </w:p>
        </w:tc>
        <w:tc>
          <w:tcPr>
            <w:tcW w:w="1200" w:type="dxa"/>
            <w:vAlign w:val="bottom"/>
            <w:tcBorders>
              <w:bottom w:val="single" w:sz="8" w:color="auto"/>
              <w:right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322,646</w:t>
            </w:r>
          </w:p>
        </w:tc>
        <w:tc>
          <w:tcPr>
            <w:tcW w:w="126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101,959</w:t>
            </w:r>
          </w:p>
        </w:tc>
        <w:tc>
          <w:tcPr>
            <w:tcW w:w="11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77,635</w:t>
            </w:r>
          </w:p>
        </w:tc>
        <w:tc>
          <w:tcPr>
            <w:tcW w:w="12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1,936,945</w:t>
            </w:r>
          </w:p>
        </w:tc>
        <w:tc>
          <w:tcPr>
            <w:tcW w:w="1160" w:type="dxa"/>
            <w:vAlign w:val="bottom"/>
            <w:tcBorders>
              <w:bottom w:val="single" w:sz="8" w:color="auto"/>
            </w:tcBorders>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Uncons. Projects at share</w:t>
            </w: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w w:val="99"/>
              </w:rPr>
              <w:t>43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41</w:t>
            </w:r>
          </w:p>
        </w:tc>
        <w:tc>
          <w:tcPr>
            <w:tcW w:w="11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8"/>
              </w:rPr>
              <w:t>-</w:t>
            </w:r>
          </w:p>
        </w:tc>
        <w:tc>
          <w:tcPr>
            <w:tcW w:w="12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0" w:type="dxa"/>
            <w:vAlign w:val="bottom"/>
          </w:tcPr>
          <w:p>
            <w:pPr>
              <w:spacing w:after="0"/>
              <w:rPr>
                <w:sz w:val="1"/>
                <w:szCs w:val="1"/>
                <w:color w:val="auto"/>
              </w:rPr>
            </w:pPr>
          </w:p>
        </w:tc>
      </w:tr>
      <w:tr>
        <w:trPr>
          <w:trHeight w:val="151"/>
        </w:trPr>
        <w:tc>
          <w:tcPr>
            <w:tcW w:w="1540" w:type="dxa"/>
            <w:vAlign w:val="bottom"/>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shd w:val="clear" w:color="auto" w:fill="BDD6EE"/>
          </w:tcPr>
          <w:p>
            <w:pPr>
              <w:spacing w:after="0"/>
              <w:rPr>
                <w:sz w:val="13"/>
                <w:szCs w:val="13"/>
                <w:color w:val="auto"/>
              </w:rPr>
            </w:pPr>
          </w:p>
        </w:tc>
        <w:tc>
          <w:tcPr>
            <w:tcW w:w="900" w:type="dxa"/>
            <w:vAlign w:val="bottom"/>
            <w:shd w:val="clear" w:color="auto" w:fill="BDD6EE"/>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6"/>
              </w:rPr>
              <w:t>2,492</w:t>
            </w:r>
          </w:p>
        </w:tc>
        <w:tc>
          <w:tcPr>
            <w:tcW w:w="860" w:type="dxa"/>
            <w:vAlign w:val="bottom"/>
            <w:tcBorders>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1,866</w:t>
            </w:r>
          </w:p>
        </w:tc>
        <w:tc>
          <w:tcPr>
            <w:tcW w:w="1120" w:type="dxa"/>
            <w:vAlign w:val="bottom"/>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389,444</w:t>
            </w:r>
          </w:p>
        </w:tc>
        <w:tc>
          <w:tcPr>
            <w:tcW w:w="1200" w:type="dxa"/>
            <w:vAlign w:val="bottom"/>
            <w:tcBorders>
              <w:right w:val="single" w:sz="8" w:color="BDD6EE"/>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322,646</w:t>
            </w:r>
          </w:p>
        </w:tc>
        <w:tc>
          <w:tcPr>
            <w:tcW w:w="12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101,959</w:t>
            </w:r>
          </w:p>
        </w:tc>
        <w:tc>
          <w:tcPr>
            <w:tcW w:w="1180" w:type="dxa"/>
            <w:vAlign w:val="bottom"/>
            <w:tcBorders>
              <w:right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77,635</w:t>
            </w:r>
          </w:p>
        </w:tc>
        <w:tc>
          <w:tcPr>
            <w:tcW w:w="12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1,936,945</w:t>
            </w:r>
          </w:p>
        </w:tc>
        <w:tc>
          <w:tcPr>
            <w:tcW w:w="1160" w:type="dxa"/>
            <w:vAlign w:val="bottom"/>
            <w:shd w:val="clear" w:color="auto" w:fill="BDD6EE"/>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8" w:right="400" w:hanging="8"/>
        <w:spacing w:after="0" w:line="295" w:lineRule="auto"/>
        <w:tabs>
          <w:tab w:leader="none" w:pos="99"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results included $12m in the 12 months ended December 24 and $1m in the 3-month ended December 24, of compensation recognized due to the delay in reaching full production at Projects Björnberget, Atrisco and Emek Habacha</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Ownership % is calculated based on the project's share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w:t>
            </w:r>
          </w:p>
        </w:tc>
        <w:tc>
          <w:tcPr>
            <w:tcW w:w="16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Projects under construction</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0" w:type="dxa"/>
            <w:vAlign w:val="bottom"/>
            <w:shd w:val="clear" w:color="auto" w:fill="1764AC"/>
          </w:tcPr>
          <w:p>
            <w:pPr>
              <w:spacing w:after="0"/>
              <w:rPr>
                <w:sz w:val="11"/>
                <w:szCs w:val="11"/>
                <w:color w:val="auto"/>
              </w:rPr>
            </w:pPr>
          </w:p>
        </w:tc>
        <w:tc>
          <w:tcPr>
            <w:tcW w:w="1600" w:type="dxa"/>
            <w:vAlign w:val="bottom"/>
            <w:tcBorders>
              <w:right w:val="single" w:sz="8" w:color="1764AC"/>
            </w:tcBorders>
            <w:shd w:val="clear" w:color="auto" w:fill="1764AC"/>
          </w:tcPr>
          <w:p>
            <w:pPr>
              <w:spacing w:after="0"/>
              <w:rPr>
                <w:sz w:val="11"/>
                <w:szCs w:val="11"/>
                <w:color w:val="auto"/>
              </w:rPr>
            </w:pPr>
          </w:p>
        </w:tc>
        <w:tc>
          <w:tcPr>
            <w:tcW w:w="520" w:type="dxa"/>
            <w:vAlign w:val="bottom"/>
            <w:shd w:val="clear" w:color="auto" w:fill="1764AC"/>
          </w:tcPr>
          <w:p>
            <w:pPr>
              <w:spacing w:after="0"/>
              <w:rPr>
                <w:sz w:val="11"/>
                <w:szCs w:val="11"/>
                <w:color w:val="auto"/>
              </w:rPr>
            </w:pPr>
          </w:p>
        </w:tc>
        <w:tc>
          <w:tcPr>
            <w:tcW w:w="86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Generation and</w:t>
            </w:r>
          </w:p>
        </w:tc>
        <w:tc>
          <w:tcPr>
            <w:tcW w:w="1000" w:type="dxa"/>
            <w:vAlign w:val="bottom"/>
            <w:tcBorders>
              <w:right w:val="single" w:sz="8" w:color="1764AC"/>
            </w:tcBorders>
            <w:shd w:val="clear" w:color="auto" w:fill="1764AC"/>
          </w:tcPr>
          <w:p>
            <w:pPr>
              <w:spacing w:after="0"/>
              <w:rPr>
                <w:sz w:val="11"/>
                <w:szCs w:val="11"/>
                <w:color w:val="auto"/>
              </w:rPr>
            </w:pPr>
          </w:p>
        </w:tc>
        <w:tc>
          <w:tcPr>
            <w:tcW w:w="720" w:type="dxa"/>
            <w:vAlign w:val="bottom"/>
            <w:shd w:val="clear" w:color="auto" w:fill="1764AC"/>
          </w:tcPr>
          <w:p>
            <w:pPr>
              <w:spacing w:after="0"/>
              <w:rPr>
                <w:sz w:val="11"/>
                <w:szCs w:val="11"/>
                <w:color w:val="auto"/>
              </w:rPr>
            </w:pPr>
          </w:p>
        </w:tc>
        <w:tc>
          <w:tcPr>
            <w:tcW w:w="60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7"/>
              </w:rPr>
              <w:t>Tax credit</w:t>
            </w:r>
          </w:p>
        </w:tc>
        <w:tc>
          <w:tcPr>
            <w:tcW w:w="640" w:type="dxa"/>
            <w:vAlign w:val="bottom"/>
            <w:shd w:val="clear" w:color="auto" w:fill="1764AC"/>
          </w:tcPr>
          <w:p>
            <w:pPr>
              <w:spacing w:after="0"/>
              <w:rPr>
                <w:sz w:val="11"/>
                <w:szCs w:val="11"/>
                <w:color w:val="auto"/>
              </w:rPr>
            </w:pPr>
          </w:p>
        </w:tc>
        <w:tc>
          <w:tcPr>
            <w:tcW w:w="680" w:type="dxa"/>
            <w:vAlign w:val="bottom"/>
            <w:shd w:val="clear" w:color="auto" w:fill="1764AC"/>
          </w:tcPr>
          <w:p>
            <w:pPr>
              <w:spacing w:after="0"/>
              <w:rPr>
                <w:sz w:val="11"/>
                <w:szCs w:val="11"/>
                <w:color w:val="auto"/>
              </w:rPr>
            </w:pPr>
          </w:p>
        </w:tc>
        <w:tc>
          <w:tcPr>
            <w:tcW w:w="64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580" w:type="dxa"/>
            <w:vAlign w:val="bottom"/>
            <w:shd w:val="clear" w:color="auto" w:fill="1764AC"/>
          </w:tcPr>
          <w:p>
            <w:pPr>
              <w:jc w:val="center"/>
              <w:spacing w:after="0" w:line="133" w:lineRule="exact"/>
              <w:rPr>
                <w:sz w:val="20"/>
                <w:szCs w:val="20"/>
                <w:color w:val="auto"/>
              </w:rPr>
            </w:pPr>
            <w:r>
              <w:rPr>
                <w:rFonts w:ascii="Times New Roman" w:cs="Times New Roman" w:eastAsia="Times New Roman" w:hAnsi="Times New Roman"/>
                <w:sz w:val="12"/>
                <w:szCs w:val="12"/>
                <w:color w:val="FFFFFF"/>
                <w:w w:val="97"/>
              </w:rPr>
              <w:t>Capital</w:t>
            </w:r>
          </w:p>
        </w:tc>
        <w:tc>
          <w:tcPr>
            <w:tcW w:w="580" w:type="dxa"/>
            <w:vAlign w:val="bottom"/>
            <w:shd w:val="clear" w:color="auto" w:fill="1764AC"/>
          </w:tcPr>
          <w:p>
            <w:pPr>
              <w:spacing w:after="0"/>
              <w:rPr>
                <w:sz w:val="11"/>
                <w:szCs w:val="11"/>
                <w:color w:val="auto"/>
              </w:rPr>
            </w:pPr>
          </w:p>
        </w:tc>
        <w:tc>
          <w:tcPr>
            <w:tcW w:w="74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Equity</w:t>
            </w:r>
          </w:p>
        </w:tc>
        <w:tc>
          <w:tcPr>
            <w:tcW w:w="540" w:type="dxa"/>
            <w:vAlign w:val="bottom"/>
            <w:shd w:val="clear" w:color="auto" w:fill="1764AC"/>
          </w:tcPr>
          <w:p>
            <w:pPr>
              <w:spacing w:after="0"/>
              <w:rPr>
                <w:sz w:val="11"/>
                <w:szCs w:val="11"/>
                <w:color w:val="auto"/>
              </w:rPr>
            </w:pPr>
          </w:p>
        </w:tc>
        <w:tc>
          <w:tcPr>
            <w:tcW w:w="720" w:type="dxa"/>
            <w:vAlign w:val="bottom"/>
            <w:shd w:val="clear" w:color="auto" w:fill="1764AC"/>
          </w:tcPr>
          <w:p>
            <w:pPr>
              <w:spacing w:after="0"/>
              <w:rPr>
                <w:sz w:val="11"/>
                <w:szCs w:val="11"/>
                <w:color w:val="auto"/>
              </w:rPr>
            </w:pPr>
          </w:p>
        </w:tc>
        <w:tc>
          <w:tcPr>
            <w:tcW w:w="540" w:type="dxa"/>
            <w:vAlign w:val="bottom"/>
            <w:shd w:val="clear" w:color="auto" w:fill="1764AC"/>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40" w:type="dxa"/>
            <w:vAlign w:val="bottom"/>
            <w:tcBorders>
              <w:right w:val="single" w:sz="8" w:color="1764AC"/>
            </w:tcBorders>
            <w:gridSpan w:val="2"/>
            <w:vMerge w:val="restart"/>
            <w:shd w:val="clear" w:color="auto" w:fill="1764AC"/>
          </w:tcPr>
          <w:p>
            <w:pPr>
              <w:spacing w:after="0"/>
              <w:rPr>
                <w:sz w:val="20"/>
                <w:szCs w:val="20"/>
                <w:color w:val="auto"/>
              </w:rPr>
            </w:pPr>
            <w:r>
              <w:rPr>
                <w:rFonts w:ascii="Times New Roman" w:cs="Times New Roman" w:eastAsia="Times New Roman" w:hAnsi="Times New Roman"/>
                <w:sz w:val="12"/>
                <w:szCs w:val="12"/>
                <w:b w:val="1"/>
                <w:bCs w:val="1"/>
                <w:color w:val="FFFFFF"/>
              </w:rPr>
              <w:t>($ millions)</w:t>
            </w:r>
          </w:p>
        </w:tc>
        <w:tc>
          <w:tcPr>
            <w:tcW w:w="520" w:type="dxa"/>
            <w:vAlign w:val="bottom"/>
            <w:shd w:val="clear" w:color="auto" w:fill="1764AC"/>
          </w:tcPr>
          <w:p>
            <w:pPr>
              <w:spacing w:after="0"/>
              <w:rPr>
                <w:sz w:val="7"/>
                <w:szCs w:val="7"/>
                <w:color w:val="auto"/>
              </w:rPr>
            </w:pPr>
          </w:p>
        </w:tc>
        <w:tc>
          <w:tcPr>
            <w:tcW w:w="860" w:type="dxa"/>
            <w:vAlign w:val="bottom"/>
            <w:vMerge w:val="continue"/>
            <w:shd w:val="clear" w:color="auto" w:fill="1764AC"/>
          </w:tcPr>
          <w:p>
            <w:pPr>
              <w:spacing w:after="0"/>
              <w:rPr>
                <w:sz w:val="7"/>
                <w:szCs w:val="7"/>
                <w:color w:val="auto"/>
              </w:rPr>
            </w:pPr>
          </w:p>
        </w:tc>
        <w:tc>
          <w:tcPr>
            <w:tcW w:w="1000" w:type="dxa"/>
            <w:vAlign w:val="bottom"/>
            <w:tcBorders>
              <w:right w:val="single" w:sz="8" w:color="1764AC"/>
            </w:tcBorders>
            <w:shd w:val="clear" w:color="auto" w:fill="1764AC"/>
          </w:tcPr>
          <w:p>
            <w:pPr>
              <w:spacing w:after="0"/>
              <w:rPr>
                <w:sz w:val="7"/>
                <w:szCs w:val="7"/>
                <w:color w:val="auto"/>
              </w:rPr>
            </w:pPr>
          </w:p>
        </w:tc>
        <w:tc>
          <w:tcPr>
            <w:tcW w:w="720" w:type="dxa"/>
            <w:vAlign w:val="bottom"/>
            <w:shd w:val="clear" w:color="auto" w:fill="1764AC"/>
          </w:tcPr>
          <w:p>
            <w:pPr>
              <w:spacing w:after="0"/>
              <w:rPr>
                <w:sz w:val="7"/>
                <w:szCs w:val="7"/>
                <w:color w:val="auto"/>
              </w:rPr>
            </w:pPr>
          </w:p>
        </w:tc>
        <w:tc>
          <w:tcPr>
            <w:tcW w:w="600" w:type="dxa"/>
            <w:vAlign w:val="bottom"/>
            <w:vMerge w:val="continue"/>
            <w:shd w:val="clear" w:color="auto" w:fill="1764AC"/>
          </w:tcPr>
          <w:p>
            <w:pPr>
              <w:spacing w:after="0"/>
              <w:rPr>
                <w:sz w:val="7"/>
                <w:szCs w:val="7"/>
                <w:color w:val="auto"/>
              </w:rPr>
            </w:pPr>
          </w:p>
        </w:tc>
        <w:tc>
          <w:tcPr>
            <w:tcW w:w="64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7"/>
              </w:rPr>
              <w:t>Tax credit</w:t>
            </w:r>
          </w:p>
        </w:tc>
        <w:tc>
          <w:tcPr>
            <w:tcW w:w="680" w:type="dxa"/>
            <w:vAlign w:val="bottom"/>
            <w:vMerge w:val="restart"/>
            <w:shd w:val="clear" w:color="auto" w:fill="1764AC"/>
          </w:tcPr>
          <w:p>
            <w:pPr>
              <w:jc w:val="right"/>
              <w:spacing w:after="0"/>
              <w:rPr>
                <w:sz w:val="20"/>
                <w:szCs w:val="20"/>
                <w:color w:val="auto"/>
              </w:rPr>
            </w:pPr>
            <w:r>
              <w:rPr>
                <w:rFonts w:ascii="Times New Roman" w:cs="Times New Roman" w:eastAsia="Times New Roman" w:hAnsi="Times New Roman"/>
                <w:sz w:val="12"/>
                <w:szCs w:val="12"/>
                <w:color w:val="FFFFFF"/>
              </w:rPr>
              <w:t>Discounted</w:t>
            </w:r>
          </w:p>
        </w:tc>
        <w:tc>
          <w:tcPr>
            <w:tcW w:w="640" w:type="dxa"/>
            <w:vAlign w:val="bottom"/>
            <w:vMerge w:val="continue"/>
            <w:shd w:val="clear" w:color="auto" w:fill="1764AC"/>
          </w:tcPr>
          <w:p>
            <w:pPr>
              <w:spacing w:after="0"/>
              <w:rPr>
                <w:sz w:val="7"/>
                <w:szCs w:val="7"/>
                <w:color w:val="auto"/>
              </w:rPr>
            </w:pPr>
          </w:p>
        </w:tc>
        <w:tc>
          <w:tcPr>
            <w:tcW w:w="1160" w:type="dxa"/>
            <w:vAlign w:val="bottom"/>
            <w:gridSpan w:val="2"/>
            <w:vMerge w:val="restart"/>
            <w:shd w:val="clear" w:color="auto" w:fill="1764AC"/>
          </w:tcPr>
          <w:p>
            <w:pPr>
              <w:ind w:left="20"/>
              <w:spacing w:after="0"/>
              <w:rPr>
                <w:sz w:val="20"/>
                <w:szCs w:val="20"/>
                <w:color w:val="auto"/>
              </w:rPr>
            </w:pPr>
            <w:r>
              <w:rPr>
                <w:rFonts w:ascii="Times New Roman" w:cs="Times New Roman" w:eastAsia="Times New Roman" w:hAnsi="Times New Roman"/>
                <w:sz w:val="12"/>
                <w:szCs w:val="12"/>
                <w:color w:val="FFFFFF"/>
              </w:rPr>
              <w:t>Invested as Est. Equity</w:t>
            </w:r>
          </w:p>
        </w:tc>
        <w:tc>
          <w:tcPr>
            <w:tcW w:w="740" w:type="dxa"/>
            <w:vAlign w:val="bottom"/>
            <w:vMerge w:val="continue"/>
            <w:shd w:val="clear" w:color="auto" w:fill="1764AC"/>
          </w:tcPr>
          <w:p>
            <w:pPr>
              <w:spacing w:after="0"/>
              <w:rPr>
                <w:sz w:val="7"/>
                <w:szCs w:val="7"/>
                <w:color w:val="auto"/>
              </w:rPr>
            </w:pPr>
          </w:p>
        </w:tc>
        <w:tc>
          <w:tcPr>
            <w:tcW w:w="540" w:type="dxa"/>
            <w:vAlign w:val="bottom"/>
            <w:vMerge w:val="restart"/>
            <w:shd w:val="clear" w:color="auto" w:fill="1764AC"/>
          </w:tcPr>
          <w:p>
            <w:pPr>
              <w:ind w:left="60"/>
              <w:spacing w:after="0"/>
              <w:rPr>
                <w:sz w:val="20"/>
                <w:szCs w:val="20"/>
                <w:color w:val="auto"/>
              </w:rPr>
            </w:pPr>
            <w:r>
              <w:rPr>
                <w:rFonts w:ascii="Times New Roman" w:cs="Times New Roman" w:eastAsia="Times New Roman" w:hAnsi="Times New Roman"/>
                <w:sz w:val="12"/>
                <w:szCs w:val="12"/>
                <w:color w:val="FFFFFF"/>
              </w:rPr>
              <w:t>Est. First</w:t>
            </w:r>
          </w:p>
        </w:tc>
        <w:tc>
          <w:tcPr>
            <w:tcW w:w="720" w:type="dxa"/>
            <w:vAlign w:val="bottom"/>
            <w:vMerge w:val="restart"/>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Est. First Full</w:t>
            </w:r>
          </w:p>
        </w:tc>
        <w:tc>
          <w:tcPr>
            <w:tcW w:w="54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940" w:type="dxa"/>
            <w:vAlign w:val="bottom"/>
            <w:tcBorders>
              <w:right w:val="single" w:sz="8" w:color="1764AC"/>
            </w:tcBorders>
            <w:gridSpan w:val="2"/>
            <w:vMerge w:val="continue"/>
            <w:shd w:val="clear" w:color="auto" w:fill="1764AC"/>
          </w:tcPr>
          <w:p>
            <w:pPr>
              <w:spacing w:after="0"/>
              <w:rPr>
                <w:sz w:val="10"/>
                <w:szCs w:val="10"/>
                <w:color w:val="auto"/>
              </w:rPr>
            </w:pPr>
          </w:p>
        </w:tc>
        <w:tc>
          <w:tcPr>
            <w:tcW w:w="520" w:type="dxa"/>
            <w:vAlign w:val="bottom"/>
            <w:shd w:val="clear" w:color="auto" w:fill="1764AC"/>
          </w:tcPr>
          <w:p>
            <w:pPr>
              <w:spacing w:after="0"/>
              <w:rPr>
                <w:sz w:val="10"/>
                <w:szCs w:val="10"/>
                <w:color w:val="auto"/>
              </w:rPr>
            </w:pPr>
          </w:p>
        </w:tc>
        <w:tc>
          <w:tcPr>
            <w:tcW w:w="860" w:type="dxa"/>
            <w:vAlign w:val="bottom"/>
            <w:shd w:val="clear" w:color="auto" w:fill="1764AC"/>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energy storage</w:t>
            </w:r>
          </w:p>
        </w:tc>
        <w:tc>
          <w:tcPr>
            <w:tcW w:w="1000" w:type="dxa"/>
            <w:vAlign w:val="bottom"/>
            <w:tcBorders>
              <w:right w:val="single" w:sz="8" w:color="1764AC"/>
            </w:tcBorders>
            <w:shd w:val="clear" w:color="auto" w:fill="1764AC"/>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7"/>
              </w:rPr>
              <w:t>Est.</w:t>
            </w:r>
          </w:p>
        </w:tc>
        <w:tc>
          <w:tcPr>
            <w:tcW w:w="720" w:type="dxa"/>
            <w:vAlign w:val="bottom"/>
            <w:shd w:val="clear" w:color="auto" w:fill="1764AC"/>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8"/>
              </w:rPr>
              <w:t>Est. Total</w:t>
            </w:r>
          </w:p>
        </w:tc>
        <w:tc>
          <w:tcPr>
            <w:tcW w:w="600" w:type="dxa"/>
            <w:vAlign w:val="bottom"/>
            <w:shd w:val="clear" w:color="auto" w:fill="1764AC"/>
          </w:tcPr>
          <w:p>
            <w:pPr>
              <w:jc w:val="center"/>
              <w:spacing w:after="0" w:line="119" w:lineRule="exact"/>
              <w:rPr>
                <w:sz w:val="20"/>
                <w:szCs w:val="20"/>
                <w:color w:val="auto"/>
              </w:rPr>
            </w:pPr>
            <w:r>
              <w:rPr>
                <w:rFonts w:ascii="Times New Roman" w:cs="Times New Roman" w:eastAsia="Times New Roman" w:hAnsi="Times New Roman"/>
                <w:sz w:val="12"/>
                <w:szCs w:val="12"/>
                <w:color w:val="FFFFFF"/>
              </w:rPr>
              <w:t>benefit-</w:t>
            </w:r>
          </w:p>
        </w:tc>
        <w:tc>
          <w:tcPr>
            <w:tcW w:w="640" w:type="dxa"/>
            <w:vAlign w:val="bottom"/>
            <w:vMerge w:val="continue"/>
            <w:shd w:val="clear" w:color="auto" w:fill="1764AC"/>
          </w:tcPr>
          <w:p>
            <w:pPr>
              <w:spacing w:after="0"/>
              <w:rPr>
                <w:sz w:val="10"/>
                <w:szCs w:val="10"/>
                <w:color w:val="auto"/>
              </w:rPr>
            </w:pPr>
          </w:p>
        </w:tc>
        <w:tc>
          <w:tcPr>
            <w:tcW w:w="680" w:type="dxa"/>
            <w:vAlign w:val="bottom"/>
            <w:vMerge w:val="continue"/>
            <w:shd w:val="clear" w:color="auto" w:fill="1764AC"/>
          </w:tcPr>
          <w:p>
            <w:pPr>
              <w:spacing w:after="0"/>
              <w:rPr>
                <w:sz w:val="10"/>
                <w:szCs w:val="10"/>
                <w:color w:val="auto"/>
              </w:rPr>
            </w:pPr>
          </w:p>
        </w:tc>
        <w:tc>
          <w:tcPr>
            <w:tcW w:w="640" w:type="dxa"/>
            <w:vAlign w:val="bottom"/>
            <w:shd w:val="clear" w:color="auto" w:fill="1764AC"/>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8"/>
              </w:rPr>
              <w:t>Project Cost</w:t>
            </w:r>
          </w:p>
        </w:tc>
        <w:tc>
          <w:tcPr>
            <w:tcW w:w="1160" w:type="dxa"/>
            <w:vAlign w:val="bottom"/>
            <w:gridSpan w:val="2"/>
            <w:vMerge w:val="continue"/>
            <w:shd w:val="clear" w:color="auto" w:fill="1764AC"/>
          </w:tcPr>
          <w:p>
            <w:pPr>
              <w:spacing w:after="0"/>
              <w:rPr>
                <w:sz w:val="10"/>
                <w:szCs w:val="10"/>
                <w:color w:val="auto"/>
              </w:rPr>
            </w:pPr>
          </w:p>
        </w:tc>
        <w:tc>
          <w:tcPr>
            <w:tcW w:w="740" w:type="dxa"/>
            <w:vAlign w:val="bottom"/>
            <w:shd w:val="clear" w:color="auto" w:fill="1764AC"/>
          </w:tcPr>
          <w:p>
            <w:pPr>
              <w:jc w:val="center"/>
              <w:spacing w:after="0" w:line="119" w:lineRule="exact"/>
              <w:rPr>
                <w:sz w:val="20"/>
                <w:szCs w:val="20"/>
                <w:color w:val="auto"/>
              </w:rPr>
            </w:pPr>
            <w:r>
              <w:rPr>
                <w:rFonts w:ascii="Times New Roman" w:cs="Times New Roman" w:eastAsia="Times New Roman" w:hAnsi="Times New Roman"/>
                <w:sz w:val="12"/>
                <w:szCs w:val="12"/>
                <w:color w:val="FFFFFF"/>
              </w:rPr>
              <w:t>Invested as of</w:t>
            </w:r>
          </w:p>
        </w:tc>
        <w:tc>
          <w:tcPr>
            <w:tcW w:w="540" w:type="dxa"/>
            <w:vAlign w:val="bottom"/>
            <w:vMerge w:val="continue"/>
            <w:shd w:val="clear" w:color="auto" w:fill="1764AC"/>
          </w:tcPr>
          <w:p>
            <w:pPr>
              <w:spacing w:after="0"/>
              <w:rPr>
                <w:sz w:val="10"/>
                <w:szCs w:val="10"/>
                <w:color w:val="auto"/>
              </w:rPr>
            </w:pPr>
          </w:p>
        </w:tc>
        <w:tc>
          <w:tcPr>
            <w:tcW w:w="720" w:type="dxa"/>
            <w:vAlign w:val="bottom"/>
            <w:vMerge w:val="continue"/>
            <w:shd w:val="clear" w:color="auto" w:fill="1764AC"/>
          </w:tcPr>
          <w:p>
            <w:pPr>
              <w:spacing w:after="0"/>
              <w:rPr>
                <w:sz w:val="10"/>
                <w:szCs w:val="10"/>
                <w:color w:val="auto"/>
              </w:rPr>
            </w:pPr>
          </w:p>
        </w:tc>
        <w:tc>
          <w:tcPr>
            <w:tcW w:w="540" w:type="dxa"/>
            <w:vAlign w:val="bottom"/>
            <w:shd w:val="clear" w:color="auto" w:fill="1764A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40" w:type="dxa"/>
            <w:vAlign w:val="bottom"/>
            <w:tcBorders>
              <w:right w:val="single" w:sz="8" w:color="1764AC"/>
            </w:tcBorders>
            <w:gridSpan w:val="2"/>
            <w:shd w:val="clear" w:color="auto" w:fill="1764AC"/>
          </w:tcPr>
          <w:p>
            <w:pPr>
              <w:spacing w:after="0"/>
              <w:rPr>
                <w:sz w:val="20"/>
                <w:szCs w:val="20"/>
                <w:color w:val="auto"/>
              </w:rPr>
            </w:pPr>
            <w:r>
              <w:rPr>
                <w:rFonts w:ascii="Times New Roman" w:cs="Times New Roman" w:eastAsia="Times New Roman" w:hAnsi="Times New Roman"/>
                <w:sz w:val="12"/>
                <w:szCs w:val="12"/>
                <w:b w:val="1"/>
                <w:bCs w:val="1"/>
                <w:color w:val="FFFFFF"/>
              </w:rPr>
              <w:t>Consolidated Projects</w:t>
            </w:r>
          </w:p>
        </w:tc>
        <w:tc>
          <w:tcPr>
            <w:tcW w:w="5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Country</w:t>
            </w:r>
          </w:p>
        </w:tc>
        <w:tc>
          <w:tcPr>
            <w:tcW w:w="8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Capacity</w:t>
            </w:r>
          </w:p>
        </w:tc>
        <w:tc>
          <w:tcPr>
            <w:tcW w:w="1000" w:type="dxa"/>
            <w:vAlign w:val="bottom"/>
            <w:tcBorders>
              <w:right w:val="single" w:sz="8" w:color="1764AC"/>
            </w:tcBorders>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4"/>
              </w:rPr>
              <w:t>COD</w:t>
            </w:r>
          </w:p>
        </w:tc>
        <w:tc>
          <w:tcPr>
            <w:tcW w:w="7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8"/>
              </w:rPr>
              <w:t>Project Cost</w:t>
            </w: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Qualifying</w:t>
            </w:r>
          </w:p>
        </w:tc>
        <w:tc>
          <w:tcPr>
            <w:tcW w:w="6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6"/>
              </w:rPr>
              <w:t>benefit-</w:t>
            </w:r>
          </w:p>
        </w:tc>
        <w:tc>
          <w:tcPr>
            <w:tcW w:w="680" w:type="dxa"/>
            <w:vAlign w:val="bottom"/>
            <w:shd w:val="clear" w:color="auto" w:fill="1764AC"/>
          </w:tcPr>
          <w:p>
            <w:pPr>
              <w:jc w:val="right"/>
              <w:spacing w:after="0"/>
              <w:rPr>
                <w:sz w:val="20"/>
                <w:szCs w:val="20"/>
                <w:color w:val="auto"/>
              </w:rPr>
            </w:pPr>
            <w:r>
              <w:rPr>
                <w:rFonts w:ascii="Times New Roman" w:cs="Times New Roman" w:eastAsia="Times New Roman" w:hAnsi="Times New Roman"/>
                <w:sz w:val="12"/>
                <w:szCs w:val="12"/>
                <w:color w:val="FFFFFF"/>
              </w:rPr>
              <w:t>Value of Tax</w:t>
            </w:r>
          </w:p>
        </w:tc>
        <w:tc>
          <w:tcPr>
            <w:tcW w:w="6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net of tax</w:t>
            </w:r>
          </w:p>
        </w:tc>
        <w:tc>
          <w:tcPr>
            <w:tcW w:w="58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of</w:t>
            </w:r>
          </w:p>
        </w:tc>
        <w:tc>
          <w:tcPr>
            <w:tcW w:w="580" w:type="dxa"/>
            <w:vAlign w:val="bottom"/>
            <w:shd w:val="clear" w:color="auto" w:fill="1764AC"/>
          </w:tcPr>
          <w:p>
            <w:pPr>
              <w:ind w:left="80"/>
              <w:spacing w:after="0"/>
              <w:rPr>
                <w:sz w:val="20"/>
                <w:szCs w:val="20"/>
                <w:color w:val="auto"/>
              </w:rPr>
            </w:pPr>
            <w:r>
              <w:rPr>
                <w:rFonts w:ascii="Times New Roman" w:cs="Times New Roman" w:eastAsia="Times New Roman" w:hAnsi="Times New Roman"/>
                <w:sz w:val="12"/>
                <w:szCs w:val="12"/>
                <w:color w:val="FFFFFF"/>
              </w:rPr>
              <w:t>Required</w:t>
            </w:r>
          </w:p>
        </w:tc>
        <w:tc>
          <w:tcPr>
            <w:tcW w:w="7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December 31,</w:t>
            </w:r>
          </w:p>
        </w:tc>
        <w:tc>
          <w:tcPr>
            <w:tcW w:w="540" w:type="dxa"/>
            <w:vAlign w:val="bottom"/>
            <w:shd w:val="clear" w:color="auto" w:fill="1764AC"/>
          </w:tcPr>
          <w:p>
            <w:pPr>
              <w:ind w:left="60"/>
              <w:spacing w:after="0"/>
              <w:rPr>
                <w:sz w:val="20"/>
                <w:szCs w:val="20"/>
                <w:color w:val="auto"/>
              </w:rPr>
            </w:pPr>
            <w:r>
              <w:rPr>
                <w:rFonts w:ascii="Times New Roman" w:cs="Times New Roman" w:eastAsia="Times New Roman" w:hAnsi="Times New Roman"/>
                <w:sz w:val="12"/>
                <w:szCs w:val="12"/>
                <w:color w:val="FFFFFF"/>
              </w:rPr>
              <w:t>Full Year</w:t>
            </w:r>
          </w:p>
        </w:tc>
        <w:tc>
          <w:tcPr>
            <w:tcW w:w="7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4"/>
              </w:rPr>
              <w:t>Year</w:t>
            </w:r>
          </w:p>
        </w:tc>
        <w:tc>
          <w:tcPr>
            <w:tcW w:w="54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color w:val="FFFFFF"/>
                <w:w w:val="98"/>
              </w:rPr>
              <w:t>Ownership</w:t>
            </w:r>
          </w:p>
        </w:tc>
        <w:tc>
          <w:tcPr>
            <w:tcW w:w="0" w:type="dxa"/>
            <w:vAlign w:val="bottom"/>
          </w:tcPr>
          <w:p>
            <w:pPr>
              <w:spacing w:after="0"/>
              <w:rPr>
                <w:sz w:val="1"/>
                <w:szCs w:val="1"/>
                <w:color w:val="auto"/>
              </w:rPr>
            </w:pPr>
          </w:p>
        </w:tc>
      </w:tr>
      <w:tr>
        <w:trPr>
          <w:trHeight w:val="144"/>
        </w:trPr>
        <w:tc>
          <w:tcPr>
            <w:tcW w:w="340" w:type="dxa"/>
            <w:vAlign w:val="bottom"/>
            <w:shd w:val="clear" w:color="auto" w:fill="1764AC"/>
          </w:tcPr>
          <w:p>
            <w:pPr>
              <w:spacing w:after="0"/>
              <w:rPr>
                <w:sz w:val="12"/>
                <w:szCs w:val="12"/>
                <w:color w:val="auto"/>
              </w:rPr>
            </w:pPr>
          </w:p>
        </w:tc>
        <w:tc>
          <w:tcPr>
            <w:tcW w:w="1600" w:type="dxa"/>
            <w:vAlign w:val="bottom"/>
            <w:tcBorders>
              <w:right w:val="single" w:sz="8" w:color="1764AC"/>
            </w:tcBorders>
            <w:shd w:val="clear" w:color="auto" w:fill="1764AC"/>
          </w:tcPr>
          <w:p>
            <w:pPr>
              <w:spacing w:after="0"/>
              <w:rPr>
                <w:sz w:val="12"/>
                <w:szCs w:val="12"/>
                <w:color w:val="auto"/>
              </w:rPr>
            </w:pPr>
          </w:p>
        </w:tc>
        <w:tc>
          <w:tcPr>
            <w:tcW w:w="520" w:type="dxa"/>
            <w:vAlign w:val="bottom"/>
            <w:shd w:val="clear" w:color="auto" w:fill="1764AC"/>
          </w:tcPr>
          <w:p>
            <w:pPr>
              <w:spacing w:after="0"/>
              <w:rPr>
                <w:sz w:val="12"/>
                <w:szCs w:val="12"/>
                <w:color w:val="auto"/>
              </w:rPr>
            </w:pPr>
          </w:p>
        </w:tc>
        <w:tc>
          <w:tcPr>
            <w:tcW w:w="86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(MW/MWh(</w:t>
            </w:r>
          </w:p>
        </w:tc>
        <w:tc>
          <w:tcPr>
            <w:tcW w:w="1000" w:type="dxa"/>
            <w:vAlign w:val="bottom"/>
            <w:tcBorders>
              <w:right w:val="single" w:sz="8" w:color="1764AC"/>
            </w:tcBorders>
            <w:shd w:val="clear" w:color="auto" w:fill="1764AC"/>
          </w:tcPr>
          <w:p>
            <w:pPr>
              <w:spacing w:after="0"/>
              <w:rPr>
                <w:sz w:val="12"/>
                <w:szCs w:val="12"/>
                <w:color w:val="auto"/>
              </w:rPr>
            </w:pPr>
          </w:p>
        </w:tc>
        <w:tc>
          <w:tcPr>
            <w:tcW w:w="720" w:type="dxa"/>
            <w:vAlign w:val="bottom"/>
            <w:shd w:val="clear" w:color="auto" w:fill="1764AC"/>
          </w:tcPr>
          <w:p>
            <w:pPr>
              <w:spacing w:after="0"/>
              <w:rPr>
                <w:sz w:val="12"/>
                <w:szCs w:val="12"/>
                <w:color w:val="auto"/>
              </w:rPr>
            </w:pPr>
          </w:p>
        </w:tc>
        <w:tc>
          <w:tcPr>
            <w:tcW w:w="60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category</w:t>
            </w:r>
          </w:p>
        </w:tc>
        <w:tc>
          <w:tcPr>
            <w:tcW w:w="1320" w:type="dxa"/>
            <w:vAlign w:val="bottom"/>
            <w:gridSpan w:val="2"/>
            <w:shd w:val="clear" w:color="auto" w:fill="1764AC"/>
          </w:tcPr>
          <w:p>
            <w:pPr>
              <w:jc w:val="right"/>
              <w:spacing w:after="0"/>
              <w:rPr>
                <w:sz w:val="20"/>
                <w:szCs w:val="20"/>
                <w:color w:val="auto"/>
              </w:rPr>
            </w:pPr>
            <w:r>
              <w:rPr>
                <w:rFonts w:ascii="Times New Roman" w:cs="Times New Roman" w:eastAsia="Times New Roman" w:hAnsi="Times New Roman"/>
                <w:sz w:val="12"/>
                <w:szCs w:val="12"/>
                <w:color w:val="FFFFFF"/>
              </w:rPr>
              <w:t>Adders***** Benefit***</w:t>
            </w:r>
          </w:p>
        </w:tc>
        <w:tc>
          <w:tcPr>
            <w:tcW w:w="6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benefit</w:t>
            </w:r>
          </w:p>
        </w:tc>
        <w:tc>
          <w:tcPr>
            <w:tcW w:w="58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rPr>
              <w:t>December</w:t>
            </w:r>
          </w:p>
        </w:tc>
        <w:tc>
          <w:tcPr>
            <w:tcW w:w="58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w:t>
            </w:r>
          </w:p>
        </w:tc>
        <w:tc>
          <w:tcPr>
            <w:tcW w:w="7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540" w:type="dxa"/>
            <w:vAlign w:val="bottom"/>
            <w:shd w:val="clear" w:color="auto" w:fill="1764AC"/>
          </w:tcPr>
          <w:p>
            <w:pPr>
              <w:ind w:left="60"/>
              <w:spacing w:after="0"/>
              <w:rPr>
                <w:sz w:val="20"/>
                <w:szCs w:val="20"/>
                <w:color w:val="auto"/>
              </w:rPr>
            </w:pPr>
            <w:r>
              <w:rPr>
                <w:rFonts w:ascii="Times New Roman" w:cs="Times New Roman" w:eastAsia="Times New Roman" w:hAnsi="Times New Roman"/>
                <w:sz w:val="12"/>
                <w:szCs w:val="12"/>
                <w:color w:val="FFFFFF"/>
              </w:rPr>
              <w:t>Revenue</w:t>
            </w:r>
          </w:p>
        </w:tc>
        <w:tc>
          <w:tcPr>
            <w:tcW w:w="72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540" w:type="dxa"/>
            <w:vAlign w:val="bottom"/>
            <w:shd w:val="clear" w:color="auto" w:fill="1764AC"/>
          </w:tcPr>
          <w:p>
            <w:pPr>
              <w:jc w:val="center"/>
              <w:spacing w:after="0"/>
              <w:rPr>
                <w:sz w:val="20"/>
                <w:szCs w:val="20"/>
                <w:color w:val="auto"/>
              </w:rPr>
            </w:pPr>
            <w:r>
              <w:rPr>
                <w:rFonts w:ascii="Times New Roman" w:cs="Times New Roman" w:eastAsia="Times New Roman" w:hAnsi="Times New Roman"/>
                <w:sz w:val="12"/>
                <w:szCs w:val="12"/>
                <w:color w:val="FFFFFF"/>
                <w:w w:val="99"/>
              </w:rPr>
              <w:t>%*</w:t>
            </w:r>
          </w:p>
        </w:tc>
        <w:tc>
          <w:tcPr>
            <w:tcW w:w="0" w:type="dxa"/>
            <w:vAlign w:val="bottom"/>
          </w:tcPr>
          <w:p>
            <w:pPr>
              <w:spacing w:after="0"/>
              <w:rPr>
                <w:sz w:val="1"/>
                <w:szCs w:val="1"/>
                <w:color w:val="auto"/>
              </w:rPr>
            </w:pPr>
          </w:p>
        </w:tc>
      </w:tr>
      <w:tr>
        <w:trPr>
          <w:trHeight w:val="117"/>
        </w:trPr>
        <w:tc>
          <w:tcPr>
            <w:tcW w:w="340" w:type="dxa"/>
            <w:vAlign w:val="bottom"/>
            <w:shd w:val="clear" w:color="auto" w:fill="1764AC"/>
          </w:tcPr>
          <w:p>
            <w:pPr>
              <w:spacing w:after="0"/>
              <w:rPr>
                <w:sz w:val="10"/>
                <w:szCs w:val="10"/>
                <w:color w:val="auto"/>
              </w:rPr>
            </w:pPr>
          </w:p>
        </w:tc>
        <w:tc>
          <w:tcPr>
            <w:tcW w:w="1600" w:type="dxa"/>
            <w:vAlign w:val="bottom"/>
            <w:tcBorders>
              <w:right w:val="single" w:sz="8" w:color="1764AC"/>
            </w:tcBorders>
            <w:shd w:val="clear" w:color="auto" w:fill="1764AC"/>
          </w:tcPr>
          <w:p>
            <w:pPr>
              <w:spacing w:after="0"/>
              <w:rPr>
                <w:sz w:val="10"/>
                <w:szCs w:val="10"/>
                <w:color w:val="auto"/>
              </w:rPr>
            </w:pPr>
          </w:p>
        </w:tc>
        <w:tc>
          <w:tcPr>
            <w:tcW w:w="520" w:type="dxa"/>
            <w:vAlign w:val="bottom"/>
            <w:shd w:val="clear" w:color="auto" w:fill="1764AC"/>
          </w:tcPr>
          <w:p>
            <w:pPr>
              <w:spacing w:after="0"/>
              <w:rPr>
                <w:sz w:val="10"/>
                <w:szCs w:val="10"/>
                <w:color w:val="auto"/>
              </w:rPr>
            </w:pPr>
          </w:p>
        </w:tc>
        <w:tc>
          <w:tcPr>
            <w:tcW w:w="860" w:type="dxa"/>
            <w:vAlign w:val="bottom"/>
            <w:shd w:val="clear" w:color="auto" w:fill="1764AC"/>
          </w:tcPr>
          <w:p>
            <w:pPr>
              <w:spacing w:after="0"/>
              <w:rPr>
                <w:sz w:val="10"/>
                <w:szCs w:val="10"/>
                <w:color w:val="auto"/>
              </w:rPr>
            </w:pPr>
          </w:p>
        </w:tc>
        <w:tc>
          <w:tcPr>
            <w:tcW w:w="1000" w:type="dxa"/>
            <w:vAlign w:val="bottom"/>
            <w:tcBorders>
              <w:right w:val="single" w:sz="8" w:color="1764AC"/>
            </w:tcBorders>
            <w:shd w:val="clear" w:color="auto" w:fill="1764AC"/>
          </w:tcPr>
          <w:p>
            <w:pPr>
              <w:spacing w:after="0"/>
              <w:rPr>
                <w:sz w:val="10"/>
                <w:szCs w:val="10"/>
                <w:color w:val="auto"/>
              </w:rPr>
            </w:pPr>
          </w:p>
        </w:tc>
        <w:tc>
          <w:tcPr>
            <w:tcW w:w="720" w:type="dxa"/>
            <w:vAlign w:val="bottom"/>
            <w:shd w:val="clear" w:color="auto" w:fill="1764AC"/>
          </w:tcPr>
          <w:p>
            <w:pPr>
              <w:spacing w:after="0"/>
              <w:rPr>
                <w:sz w:val="10"/>
                <w:szCs w:val="10"/>
                <w:color w:val="auto"/>
              </w:rPr>
            </w:pPr>
          </w:p>
        </w:tc>
        <w:tc>
          <w:tcPr>
            <w:tcW w:w="600" w:type="dxa"/>
            <w:vAlign w:val="bottom"/>
            <w:shd w:val="clear" w:color="auto" w:fill="1764AC"/>
          </w:tcPr>
          <w:p>
            <w:pPr>
              <w:spacing w:after="0"/>
              <w:rPr>
                <w:sz w:val="10"/>
                <w:szCs w:val="10"/>
                <w:color w:val="auto"/>
              </w:rPr>
            </w:pPr>
          </w:p>
        </w:tc>
        <w:tc>
          <w:tcPr>
            <w:tcW w:w="640" w:type="dxa"/>
            <w:vAlign w:val="bottom"/>
            <w:shd w:val="clear" w:color="auto" w:fill="1764AC"/>
          </w:tcPr>
          <w:p>
            <w:pPr>
              <w:spacing w:after="0"/>
              <w:rPr>
                <w:sz w:val="10"/>
                <w:szCs w:val="10"/>
                <w:color w:val="auto"/>
              </w:rPr>
            </w:pPr>
          </w:p>
        </w:tc>
        <w:tc>
          <w:tcPr>
            <w:tcW w:w="680" w:type="dxa"/>
            <w:vAlign w:val="bottom"/>
            <w:shd w:val="clear" w:color="auto" w:fill="1764AC"/>
          </w:tcPr>
          <w:p>
            <w:pPr>
              <w:spacing w:after="0"/>
              <w:rPr>
                <w:sz w:val="10"/>
                <w:szCs w:val="10"/>
                <w:color w:val="auto"/>
              </w:rPr>
            </w:pPr>
          </w:p>
        </w:tc>
        <w:tc>
          <w:tcPr>
            <w:tcW w:w="640" w:type="dxa"/>
            <w:vAlign w:val="bottom"/>
            <w:shd w:val="clear" w:color="auto" w:fill="1764AC"/>
          </w:tcPr>
          <w:p>
            <w:pPr>
              <w:spacing w:after="0"/>
              <w:rPr>
                <w:sz w:val="10"/>
                <w:szCs w:val="10"/>
                <w:color w:val="auto"/>
              </w:rPr>
            </w:pPr>
          </w:p>
        </w:tc>
        <w:tc>
          <w:tcPr>
            <w:tcW w:w="580" w:type="dxa"/>
            <w:vAlign w:val="bottom"/>
            <w:shd w:val="clear" w:color="auto" w:fill="1764AC"/>
          </w:tcPr>
          <w:p>
            <w:pPr>
              <w:jc w:val="center"/>
              <w:spacing w:after="0" w:line="117" w:lineRule="exact"/>
              <w:rPr>
                <w:sz w:val="20"/>
                <w:szCs w:val="20"/>
                <w:color w:val="auto"/>
              </w:rPr>
            </w:pPr>
            <w:r>
              <w:rPr>
                <w:rFonts w:ascii="Times New Roman" w:cs="Times New Roman" w:eastAsia="Times New Roman" w:hAnsi="Times New Roman"/>
                <w:sz w:val="12"/>
                <w:szCs w:val="12"/>
                <w:color w:val="FFFFFF"/>
                <w:w w:val="99"/>
              </w:rPr>
              <w:t>31, 2024</w:t>
            </w:r>
          </w:p>
        </w:tc>
        <w:tc>
          <w:tcPr>
            <w:tcW w:w="580" w:type="dxa"/>
            <w:vAlign w:val="bottom"/>
            <w:shd w:val="clear" w:color="auto" w:fill="1764AC"/>
          </w:tcPr>
          <w:p>
            <w:pPr>
              <w:spacing w:after="0"/>
              <w:rPr>
                <w:sz w:val="10"/>
                <w:szCs w:val="10"/>
                <w:color w:val="auto"/>
              </w:rPr>
            </w:pPr>
          </w:p>
        </w:tc>
        <w:tc>
          <w:tcPr>
            <w:tcW w:w="740" w:type="dxa"/>
            <w:vAlign w:val="bottom"/>
            <w:shd w:val="clear" w:color="auto" w:fill="1764AC"/>
          </w:tcPr>
          <w:p>
            <w:pPr>
              <w:spacing w:after="0"/>
              <w:rPr>
                <w:sz w:val="10"/>
                <w:szCs w:val="10"/>
                <w:color w:val="auto"/>
              </w:rPr>
            </w:pPr>
          </w:p>
        </w:tc>
        <w:tc>
          <w:tcPr>
            <w:tcW w:w="540" w:type="dxa"/>
            <w:vAlign w:val="bottom"/>
            <w:shd w:val="clear" w:color="auto" w:fill="1764AC"/>
          </w:tcPr>
          <w:p>
            <w:pPr>
              <w:spacing w:after="0"/>
              <w:rPr>
                <w:sz w:val="10"/>
                <w:szCs w:val="10"/>
                <w:color w:val="auto"/>
              </w:rPr>
            </w:pPr>
          </w:p>
        </w:tc>
        <w:tc>
          <w:tcPr>
            <w:tcW w:w="720" w:type="dxa"/>
            <w:vAlign w:val="bottom"/>
            <w:shd w:val="clear" w:color="auto" w:fill="1764AC"/>
          </w:tcPr>
          <w:p>
            <w:pPr>
              <w:spacing w:after="0"/>
              <w:rPr>
                <w:sz w:val="10"/>
                <w:szCs w:val="10"/>
                <w:color w:val="auto"/>
              </w:rPr>
            </w:pPr>
          </w:p>
        </w:tc>
        <w:tc>
          <w:tcPr>
            <w:tcW w:w="540" w:type="dxa"/>
            <w:vAlign w:val="bottom"/>
            <w:shd w:val="clear" w:color="auto" w:fill="1764A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Country Acres</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392/688</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2026</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813-855</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ITC</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DC (10%)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348-365</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466-490</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9%-11%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60-63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44-47</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Quail Ranch BESS</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0/400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H2 2025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106-111</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ITC</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51-54</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55-57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9%-11%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38</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22-23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17-19</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52"/>
        </w:trPr>
        <w:tc>
          <w:tcPr>
            <w:tcW w:w="19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color w:val="auto"/>
              </w:rPr>
              <w:t>Quail Ranch Solar</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128/0</w:t>
            </w:r>
          </w:p>
        </w:tc>
        <w:tc>
          <w:tcPr>
            <w:tcW w:w="1000" w:type="dxa"/>
            <w:vAlign w:val="bottom"/>
            <w:tcBorders>
              <w:right w:val="single" w:sz="8" w:color="auto"/>
            </w:tcBorders>
            <w:vMerge w:val="continue"/>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141-148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PTC</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69-73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71-75</w:t>
            </w:r>
          </w:p>
        </w:tc>
        <w:tc>
          <w:tcPr>
            <w:tcW w:w="5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99"/>
        </w:trPr>
        <w:tc>
          <w:tcPr>
            <w:tcW w:w="1940" w:type="dxa"/>
            <w:vAlign w:val="bottom"/>
            <w:tcBorders>
              <w:bottom w:val="single" w:sz="8" w:color="auto"/>
              <w:right w:val="single" w:sz="8" w:color="auto"/>
            </w:tcBorders>
            <w:gridSpan w:val="2"/>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Roadrunner BESS</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0/940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H2 2025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312-328</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ITC</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142-149</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170-179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78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78</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52-55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41-43</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52"/>
        </w:trPr>
        <w:tc>
          <w:tcPr>
            <w:tcW w:w="19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color w:val="auto"/>
              </w:rPr>
              <w:t>Roadrunner Solar</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USA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290/0</w:t>
            </w:r>
          </w:p>
        </w:tc>
        <w:tc>
          <w:tcPr>
            <w:tcW w:w="1000" w:type="dxa"/>
            <w:vAlign w:val="bottom"/>
            <w:tcBorders>
              <w:right w:val="single" w:sz="8" w:color="auto"/>
            </w:tcBorders>
            <w:vMerge w:val="continue"/>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284-299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PTC</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167-175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118-124</w:t>
            </w:r>
          </w:p>
        </w:tc>
        <w:tc>
          <w:tcPr>
            <w:tcW w:w="5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99"/>
        </w:trPr>
        <w:tc>
          <w:tcPr>
            <w:tcW w:w="1940" w:type="dxa"/>
            <w:vAlign w:val="bottom"/>
            <w:tcBorders>
              <w:bottom w:val="single" w:sz="8" w:color="auto"/>
              <w:right w:val="single" w:sz="8" w:color="auto"/>
            </w:tcBorders>
            <w:gridSpan w:val="2"/>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Gecama Solar</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Spain</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225/220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H1 2026</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205-215</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205-215</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33-35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26-28</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9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Israel Construction</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Israel</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6/51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H1 2026</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17-18</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17-18</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27%-33%</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940" w:type="dxa"/>
            <w:vAlign w:val="bottom"/>
            <w:tcBorders>
              <w:right w:val="single" w:sz="8" w:color="auto"/>
            </w:tcBorders>
            <w:gridSpan w:val="2"/>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 Consolidated Projects</w:t>
            </w:r>
          </w:p>
        </w:tc>
        <w:tc>
          <w:tcPr>
            <w:tcW w:w="520" w:type="dxa"/>
            <w:vAlign w:val="bottom"/>
            <w:shd w:val="clear" w:color="auto" w:fill="BDD6EE"/>
          </w:tcPr>
          <w:p>
            <w:pPr>
              <w:spacing w:after="0"/>
              <w:rPr>
                <w:sz w:val="13"/>
                <w:szCs w:val="13"/>
                <w:color w:val="auto"/>
              </w:rPr>
            </w:pPr>
          </w:p>
        </w:tc>
        <w:tc>
          <w:tcPr>
            <w:tcW w:w="8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1,041/2,299</w:t>
            </w:r>
          </w:p>
        </w:tc>
        <w:tc>
          <w:tcPr>
            <w:tcW w:w="1000" w:type="dxa"/>
            <w:vAlign w:val="bottom"/>
            <w:tcBorders>
              <w:right w:val="single" w:sz="8" w:color="auto"/>
            </w:tcBorders>
            <w:shd w:val="clear" w:color="auto" w:fill="BDD6EE"/>
          </w:tcPr>
          <w:p>
            <w:pPr>
              <w:spacing w:after="0"/>
              <w:rPr>
                <w:sz w:val="13"/>
                <w:szCs w:val="13"/>
                <w:color w:val="auto"/>
              </w:rPr>
            </w:pPr>
          </w:p>
        </w:tc>
        <w:tc>
          <w:tcPr>
            <w:tcW w:w="7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1,878-1,974</w:t>
            </w:r>
          </w:p>
        </w:tc>
        <w:tc>
          <w:tcPr>
            <w:tcW w:w="600" w:type="dxa"/>
            <w:vAlign w:val="bottom"/>
            <w:shd w:val="clear" w:color="auto" w:fill="BDD6EE"/>
          </w:tcPr>
          <w:p>
            <w:pPr>
              <w:spacing w:after="0"/>
              <w:rPr>
                <w:sz w:val="13"/>
                <w:szCs w:val="13"/>
                <w:color w:val="auto"/>
              </w:rPr>
            </w:pPr>
          </w:p>
        </w:tc>
        <w:tc>
          <w:tcPr>
            <w:tcW w:w="640" w:type="dxa"/>
            <w:vAlign w:val="bottom"/>
            <w:shd w:val="clear" w:color="auto" w:fill="BDD6EE"/>
          </w:tcPr>
          <w:p>
            <w:pPr>
              <w:spacing w:after="0"/>
              <w:rPr>
                <w:sz w:val="13"/>
                <w:szCs w:val="13"/>
                <w:color w:val="auto"/>
              </w:rPr>
            </w:pPr>
          </w:p>
        </w:tc>
        <w:tc>
          <w:tcPr>
            <w:tcW w:w="6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777-816</w:t>
            </w:r>
          </w:p>
        </w:tc>
        <w:tc>
          <w:tcPr>
            <w:tcW w:w="6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1,102-1,158</w:t>
            </w:r>
          </w:p>
        </w:tc>
        <w:tc>
          <w:tcPr>
            <w:tcW w:w="5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185</w:t>
            </w:r>
          </w:p>
        </w:tc>
        <w:tc>
          <w:tcPr>
            <w:tcW w:w="580" w:type="dxa"/>
            <w:vAlign w:val="bottom"/>
            <w:shd w:val="clear" w:color="auto" w:fill="BDD6EE"/>
          </w:tcPr>
          <w:p>
            <w:pPr>
              <w:spacing w:after="0"/>
              <w:rPr>
                <w:sz w:val="13"/>
                <w:szCs w:val="13"/>
                <w:color w:val="auto"/>
              </w:rPr>
            </w:pPr>
          </w:p>
        </w:tc>
        <w:tc>
          <w:tcPr>
            <w:tcW w:w="7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185</w:t>
            </w:r>
          </w:p>
        </w:tc>
        <w:tc>
          <w:tcPr>
            <w:tcW w:w="5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170-180</w:t>
            </w:r>
          </w:p>
        </w:tc>
        <w:tc>
          <w:tcPr>
            <w:tcW w:w="7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131-141</w:t>
            </w:r>
          </w:p>
        </w:tc>
        <w:tc>
          <w:tcPr>
            <w:tcW w:w="540" w:type="dxa"/>
            <w:vAlign w:val="bottom"/>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8"/>
              </w:rPr>
              <w:t>Unconsolidated Projects at share******</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Israel</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15/135</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2025 - H2 2026</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37-38</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40" w:type="dxa"/>
            <w:vAlign w:val="bottom"/>
            <w:shd w:val="clear" w:color="auto" w:fill="BDD6EE"/>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0" w:type="dxa"/>
            <w:vAlign w:val="bottom"/>
            <w:tcBorders>
              <w:right w:val="single" w:sz="8" w:color="auto"/>
            </w:tcBorders>
            <w:shd w:val="clear" w:color="auto" w:fill="BDD6EE"/>
          </w:tcPr>
          <w:p>
            <w:pPr>
              <w:spacing w:after="0"/>
              <w:rPr>
                <w:sz w:val="13"/>
                <w:szCs w:val="13"/>
                <w:color w:val="auto"/>
              </w:rPr>
            </w:pPr>
          </w:p>
        </w:tc>
        <w:tc>
          <w:tcPr>
            <w:tcW w:w="520" w:type="dxa"/>
            <w:vAlign w:val="bottom"/>
            <w:shd w:val="clear" w:color="auto" w:fill="BDD6EE"/>
          </w:tcPr>
          <w:p>
            <w:pPr>
              <w:spacing w:after="0"/>
              <w:rPr>
                <w:sz w:val="13"/>
                <w:szCs w:val="13"/>
                <w:color w:val="auto"/>
              </w:rPr>
            </w:pPr>
          </w:p>
        </w:tc>
        <w:tc>
          <w:tcPr>
            <w:tcW w:w="8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1,056/2,434</w:t>
            </w:r>
          </w:p>
        </w:tc>
        <w:tc>
          <w:tcPr>
            <w:tcW w:w="1000" w:type="dxa"/>
            <w:vAlign w:val="bottom"/>
            <w:tcBorders>
              <w:right w:val="single" w:sz="8" w:color="auto"/>
            </w:tcBorders>
            <w:shd w:val="clear" w:color="auto" w:fill="BDD6EE"/>
          </w:tcPr>
          <w:p>
            <w:pPr>
              <w:spacing w:after="0"/>
              <w:rPr>
                <w:sz w:val="13"/>
                <w:szCs w:val="13"/>
                <w:color w:val="auto"/>
              </w:rPr>
            </w:pPr>
          </w:p>
        </w:tc>
        <w:tc>
          <w:tcPr>
            <w:tcW w:w="7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1,915-2,012</w:t>
            </w:r>
          </w:p>
        </w:tc>
        <w:tc>
          <w:tcPr>
            <w:tcW w:w="600" w:type="dxa"/>
            <w:vAlign w:val="bottom"/>
            <w:shd w:val="clear" w:color="auto" w:fill="BDD6EE"/>
          </w:tcPr>
          <w:p>
            <w:pPr>
              <w:spacing w:after="0"/>
              <w:rPr>
                <w:sz w:val="13"/>
                <w:szCs w:val="13"/>
                <w:color w:val="auto"/>
              </w:rPr>
            </w:pPr>
          </w:p>
        </w:tc>
        <w:tc>
          <w:tcPr>
            <w:tcW w:w="640" w:type="dxa"/>
            <w:vAlign w:val="bottom"/>
            <w:shd w:val="clear" w:color="auto" w:fill="BDD6EE"/>
          </w:tcPr>
          <w:p>
            <w:pPr>
              <w:spacing w:after="0"/>
              <w:rPr>
                <w:sz w:val="13"/>
                <w:szCs w:val="13"/>
                <w:color w:val="auto"/>
              </w:rPr>
            </w:pPr>
          </w:p>
        </w:tc>
        <w:tc>
          <w:tcPr>
            <w:tcW w:w="6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777-816</w:t>
            </w:r>
          </w:p>
        </w:tc>
        <w:tc>
          <w:tcPr>
            <w:tcW w:w="6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1,102-1,152</w:t>
            </w:r>
          </w:p>
        </w:tc>
        <w:tc>
          <w:tcPr>
            <w:tcW w:w="5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204</w:t>
            </w:r>
          </w:p>
        </w:tc>
        <w:tc>
          <w:tcPr>
            <w:tcW w:w="580" w:type="dxa"/>
            <w:vAlign w:val="bottom"/>
            <w:shd w:val="clear" w:color="auto" w:fill="BDD6EE"/>
          </w:tcPr>
          <w:p>
            <w:pPr>
              <w:spacing w:after="0"/>
              <w:rPr>
                <w:sz w:val="13"/>
                <w:szCs w:val="13"/>
                <w:color w:val="auto"/>
              </w:rPr>
            </w:pPr>
          </w:p>
        </w:tc>
        <w:tc>
          <w:tcPr>
            <w:tcW w:w="7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204</w:t>
            </w:r>
          </w:p>
        </w:tc>
        <w:tc>
          <w:tcPr>
            <w:tcW w:w="5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175-185</w:t>
            </w:r>
          </w:p>
        </w:tc>
        <w:tc>
          <w:tcPr>
            <w:tcW w:w="7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134-144</w:t>
            </w:r>
          </w:p>
        </w:tc>
        <w:tc>
          <w:tcPr>
            <w:tcW w:w="540" w:type="dxa"/>
            <w:vAlign w:val="bottom"/>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8" w:right="299" w:bottom="1440" w:gutter="0" w:footer="0" w:header="0"/>
        </w:sectPr>
      </w:pPr>
    </w:p>
    <w:bookmarkStart w:id="26" w:name="page27"/>
    <w:bookmarkEnd w:id="26"/>
    <w:p>
      <w:pPr>
        <w:ind w:left="408" w:hanging="408"/>
        <w:spacing w:after="0"/>
        <w:tabs>
          <w:tab w:leader="none" w:pos="408" w:val="left"/>
        </w:tabs>
        <w:numPr>
          <w:ilvl w:val="0"/>
          <w:numId w:val="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Pre-Construction Projects (due to commence construction within 12 months of the Approval Date)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020" w:type="dxa"/>
            <w:vAlign w:val="bottom"/>
            <w:tcBorders>
              <w:right w:val="single" w:sz="8" w:color="2E74B5"/>
            </w:tcBorders>
            <w:shd w:val="clear" w:color="auto" w:fill="2E74B5"/>
          </w:tcPr>
          <w:p>
            <w:pPr>
              <w:spacing w:after="0"/>
              <w:rPr>
                <w:sz w:val="12"/>
                <w:szCs w:val="12"/>
                <w:color w:val="auto"/>
              </w:rPr>
            </w:pPr>
          </w:p>
        </w:tc>
        <w:tc>
          <w:tcPr>
            <w:tcW w:w="660" w:type="dxa"/>
            <w:vAlign w:val="bottom"/>
            <w:shd w:val="clear" w:color="auto" w:fill="2E74B5"/>
          </w:tcPr>
          <w:p>
            <w:pPr>
              <w:spacing w:after="0"/>
              <w:rPr>
                <w:sz w:val="12"/>
                <w:szCs w:val="12"/>
                <w:color w:val="auto"/>
              </w:rPr>
            </w:pPr>
          </w:p>
        </w:tc>
        <w:tc>
          <w:tcPr>
            <w:tcW w:w="820" w:type="dxa"/>
            <w:vAlign w:val="bottom"/>
            <w:shd w:val="clear" w:color="auto" w:fill="2E74B5"/>
          </w:tcPr>
          <w:p>
            <w:pPr>
              <w:spacing w:after="0"/>
              <w:rPr>
                <w:sz w:val="12"/>
                <w:szCs w:val="12"/>
                <w:color w:val="auto"/>
              </w:rPr>
            </w:pPr>
          </w:p>
        </w:tc>
        <w:tc>
          <w:tcPr>
            <w:tcW w:w="520" w:type="dxa"/>
            <w:vAlign w:val="bottom"/>
            <w:tcBorders>
              <w:right w:val="single" w:sz="8" w:color="2E74B5"/>
            </w:tcBorders>
            <w:shd w:val="clear" w:color="auto" w:fill="2E74B5"/>
          </w:tcPr>
          <w:p>
            <w:pPr>
              <w:spacing w:after="0"/>
              <w:rPr>
                <w:sz w:val="12"/>
                <w:szCs w:val="12"/>
                <w:color w:val="auto"/>
              </w:rPr>
            </w:pPr>
          </w:p>
        </w:tc>
        <w:tc>
          <w:tcPr>
            <w:tcW w:w="700" w:type="dxa"/>
            <w:vAlign w:val="bottom"/>
            <w:tcBorders>
              <w:right w:val="single" w:sz="8" w:color="2E74B5"/>
            </w:tcBorders>
            <w:shd w:val="clear" w:color="auto" w:fill="2E74B5"/>
          </w:tcPr>
          <w:p>
            <w:pPr>
              <w:spacing w:after="0"/>
              <w:rPr>
                <w:sz w:val="12"/>
                <w:szCs w:val="12"/>
                <w:color w:val="auto"/>
              </w:rPr>
            </w:pPr>
          </w:p>
        </w:tc>
        <w:tc>
          <w:tcPr>
            <w:tcW w:w="1600" w:type="dxa"/>
            <w:vAlign w:val="bottom"/>
            <w:tcBorders>
              <w:right w:val="single" w:sz="8" w:color="2E74B5"/>
            </w:tcBorders>
            <w:gridSpan w:val="2"/>
            <w:shd w:val="clear" w:color="auto" w:fill="2E74B5"/>
          </w:tcPr>
          <w:p>
            <w:pPr>
              <w:ind w:left="360"/>
              <w:spacing w:after="0"/>
              <w:rPr>
                <w:sz w:val="20"/>
                <w:szCs w:val="20"/>
                <w:color w:val="auto"/>
              </w:rPr>
            </w:pPr>
            <w:r>
              <w:rPr>
                <w:rFonts w:ascii="Times New Roman" w:cs="Times New Roman" w:eastAsia="Times New Roman" w:hAnsi="Times New Roman"/>
                <w:sz w:val="12"/>
                <w:szCs w:val="12"/>
                <w:color w:val="FFFFFF"/>
              </w:rPr>
              <w:t>Tax Credit Benefit</w:t>
            </w:r>
          </w:p>
        </w:tc>
        <w:tc>
          <w:tcPr>
            <w:tcW w:w="780" w:type="dxa"/>
            <w:vAlign w:val="bottom"/>
            <w:shd w:val="clear" w:color="auto" w:fill="2E74B5"/>
          </w:tcPr>
          <w:p>
            <w:pPr>
              <w:spacing w:after="0"/>
              <w:rPr>
                <w:sz w:val="12"/>
                <w:szCs w:val="12"/>
                <w:color w:val="auto"/>
              </w:rPr>
            </w:pPr>
          </w:p>
        </w:tc>
        <w:tc>
          <w:tcPr>
            <w:tcW w:w="6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820" w:type="dxa"/>
            <w:vAlign w:val="bottom"/>
            <w:shd w:val="clear" w:color="auto" w:fill="2E74B5"/>
          </w:tcPr>
          <w:p>
            <w:pPr>
              <w:spacing w:after="0"/>
              <w:rPr>
                <w:sz w:val="12"/>
                <w:szCs w:val="12"/>
                <w:color w:val="auto"/>
              </w:rPr>
            </w:pPr>
          </w:p>
        </w:tc>
        <w:tc>
          <w:tcPr>
            <w:tcW w:w="620" w:type="dxa"/>
            <w:vAlign w:val="bottom"/>
            <w:shd w:val="clear" w:color="auto" w:fill="2E74B5"/>
          </w:tcPr>
          <w:p>
            <w:pPr>
              <w:spacing w:after="0"/>
              <w:rPr>
                <w:sz w:val="12"/>
                <w:szCs w:val="12"/>
                <w:color w:val="auto"/>
              </w:rPr>
            </w:pPr>
          </w:p>
        </w:tc>
        <w:tc>
          <w:tcPr>
            <w:tcW w:w="820" w:type="dxa"/>
            <w:vAlign w:val="bottom"/>
            <w:shd w:val="clear" w:color="auto" w:fill="2E74B5"/>
          </w:tcPr>
          <w:p>
            <w:pPr>
              <w:spacing w:after="0"/>
              <w:rPr>
                <w:sz w:val="12"/>
                <w:szCs w:val="12"/>
                <w:color w:val="auto"/>
              </w:rPr>
            </w:pPr>
          </w:p>
        </w:tc>
        <w:tc>
          <w:tcPr>
            <w:tcW w:w="720" w:type="dxa"/>
            <w:vAlign w:val="bottom"/>
            <w:shd w:val="clear" w:color="auto" w:fill="2E74B5"/>
          </w:tcPr>
          <w:p>
            <w:pPr>
              <w:spacing w:after="0"/>
              <w:rPr>
                <w:sz w:val="12"/>
                <w:szCs w:val="12"/>
                <w:color w:val="auto"/>
              </w:rPr>
            </w:pPr>
          </w:p>
        </w:tc>
        <w:tc>
          <w:tcPr>
            <w:tcW w:w="780" w:type="dxa"/>
            <w:vAlign w:val="bottom"/>
            <w:shd w:val="clear" w:color="auto" w:fill="2E74B5"/>
          </w:tcPr>
          <w:p>
            <w:pPr>
              <w:spacing w:after="0"/>
              <w:rPr>
                <w:sz w:val="12"/>
                <w:szCs w:val="12"/>
                <w:color w:val="auto"/>
              </w:rPr>
            </w:pPr>
          </w:p>
        </w:tc>
        <w:tc>
          <w:tcPr>
            <w:tcW w:w="820" w:type="dxa"/>
            <w:vAlign w:val="bottom"/>
            <w:shd w:val="clear" w:color="auto" w:fill="2E74B5"/>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20" w:type="dxa"/>
            <w:vAlign w:val="bottom"/>
            <w:tcBorders>
              <w:right w:val="single" w:sz="8" w:color="2E74B5"/>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 millions)</w:t>
            </w:r>
          </w:p>
        </w:tc>
        <w:tc>
          <w:tcPr>
            <w:tcW w:w="66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Country</w:t>
            </w:r>
          </w:p>
        </w:tc>
        <w:tc>
          <w:tcPr>
            <w:tcW w:w="8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Generation and</w:t>
            </w:r>
          </w:p>
        </w:tc>
        <w:tc>
          <w:tcPr>
            <w:tcW w:w="52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w:t>
            </w:r>
          </w:p>
        </w:tc>
        <w:tc>
          <w:tcPr>
            <w:tcW w:w="700" w:type="dxa"/>
            <w:vAlign w:val="bottom"/>
            <w:tcBorders>
              <w:right w:val="single" w:sz="8" w:color="2E74B5"/>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740" w:type="dxa"/>
            <w:vAlign w:val="bottom"/>
            <w:shd w:val="clear" w:color="auto" w:fill="2E74B5"/>
          </w:tcPr>
          <w:p>
            <w:pPr>
              <w:spacing w:after="0"/>
              <w:rPr>
                <w:sz w:val="13"/>
                <w:szCs w:val="13"/>
                <w:color w:val="auto"/>
              </w:rPr>
            </w:pPr>
          </w:p>
        </w:tc>
        <w:tc>
          <w:tcPr>
            <w:tcW w:w="860" w:type="dxa"/>
            <w:vAlign w:val="bottom"/>
            <w:tcBorders>
              <w:right w:val="single" w:sz="8" w:color="2E74B5"/>
            </w:tcBorders>
            <w:shd w:val="clear" w:color="auto" w:fill="2E74B5"/>
          </w:tcPr>
          <w:p>
            <w:pPr>
              <w:spacing w:after="0"/>
              <w:rPr>
                <w:sz w:val="13"/>
                <w:szCs w:val="13"/>
                <w:color w:val="auto"/>
              </w:rPr>
            </w:pPr>
          </w:p>
        </w:tc>
        <w:tc>
          <w:tcPr>
            <w:tcW w:w="7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Discounted</w:t>
            </w:r>
          </w:p>
        </w:tc>
        <w:tc>
          <w:tcPr>
            <w:tcW w:w="6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Project</w:t>
            </w:r>
          </w:p>
        </w:tc>
        <w:tc>
          <w:tcPr>
            <w:tcW w:w="820" w:type="dxa"/>
            <w:vAlign w:val="bottom"/>
            <w:shd w:val="clear" w:color="auto" w:fill="2E74B5"/>
          </w:tcPr>
          <w:p>
            <w:pPr>
              <w:spacing w:after="0"/>
              <w:rPr>
                <w:sz w:val="20"/>
                <w:szCs w:val="20"/>
                <w:color w:val="auto"/>
              </w:rPr>
            </w:pPr>
            <w:r>
              <w:rPr>
                <w:rFonts w:ascii="Times New Roman" w:cs="Times New Roman" w:eastAsia="Times New Roman" w:hAnsi="Times New Roman"/>
                <w:sz w:val="12"/>
                <w:szCs w:val="12"/>
                <w:color w:val="FFFFFF"/>
              </w:rPr>
              <w:t>Capital Invested</w:t>
            </w:r>
          </w:p>
        </w:tc>
        <w:tc>
          <w:tcPr>
            <w:tcW w:w="6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Equity</w:t>
            </w:r>
          </w:p>
        </w:tc>
        <w:tc>
          <w:tcPr>
            <w:tcW w:w="820" w:type="dxa"/>
            <w:vAlign w:val="bottom"/>
            <w:shd w:val="clear" w:color="auto" w:fill="2E74B5"/>
          </w:tcPr>
          <w:p>
            <w:pPr>
              <w:ind w:left="40"/>
              <w:spacing w:after="0"/>
              <w:rPr>
                <w:sz w:val="20"/>
                <w:szCs w:val="20"/>
                <w:color w:val="auto"/>
              </w:rPr>
            </w:pPr>
            <w:r>
              <w:rPr>
                <w:rFonts w:ascii="Times New Roman" w:cs="Times New Roman" w:eastAsia="Times New Roman" w:hAnsi="Times New Roman"/>
                <w:sz w:val="12"/>
                <w:szCs w:val="12"/>
                <w:color w:val="FFFFFF"/>
              </w:rPr>
              <w:t>Equity Invested</w:t>
            </w:r>
          </w:p>
        </w:tc>
        <w:tc>
          <w:tcPr>
            <w:tcW w:w="720" w:type="dxa"/>
            <w:vAlign w:val="bottom"/>
            <w:shd w:val="clear" w:color="auto" w:fill="2E74B5"/>
          </w:tcPr>
          <w:p>
            <w:pPr>
              <w:spacing w:after="0"/>
              <w:rPr>
                <w:sz w:val="13"/>
                <w:szCs w:val="13"/>
                <w:color w:val="auto"/>
              </w:rPr>
            </w:pPr>
          </w:p>
        </w:tc>
        <w:tc>
          <w:tcPr>
            <w:tcW w:w="7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First Full</w:t>
            </w:r>
          </w:p>
        </w:tc>
        <w:tc>
          <w:tcPr>
            <w:tcW w:w="8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Ownership %*</w:t>
            </w:r>
          </w:p>
        </w:tc>
        <w:tc>
          <w:tcPr>
            <w:tcW w:w="0" w:type="dxa"/>
            <w:vAlign w:val="bottom"/>
          </w:tcPr>
          <w:p>
            <w:pPr>
              <w:spacing w:after="0"/>
              <w:rPr>
                <w:sz w:val="1"/>
                <w:szCs w:val="1"/>
                <w:color w:val="auto"/>
              </w:rPr>
            </w:pPr>
          </w:p>
        </w:tc>
      </w:tr>
      <w:tr>
        <w:trPr>
          <w:trHeight w:val="153"/>
        </w:trPr>
        <w:tc>
          <w:tcPr>
            <w:tcW w:w="1020" w:type="dxa"/>
            <w:vAlign w:val="bottom"/>
            <w:tcBorders>
              <w:right w:val="single" w:sz="8" w:color="2E74B5"/>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rPr>
              <w:t>Consolidated</w:t>
            </w:r>
          </w:p>
        </w:tc>
        <w:tc>
          <w:tcPr>
            <w:tcW w:w="660" w:type="dxa"/>
            <w:vAlign w:val="bottom"/>
            <w:vMerge w:val="continue"/>
            <w:shd w:val="clear" w:color="auto" w:fill="2E74B5"/>
          </w:tcPr>
          <w:p>
            <w:pPr>
              <w:spacing w:after="0"/>
              <w:rPr>
                <w:sz w:val="13"/>
                <w:szCs w:val="13"/>
                <w:color w:val="auto"/>
              </w:rPr>
            </w:pPr>
          </w:p>
        </w:tc>
        <w:tc>
          <w:tcPr>
            <w:tcW w:w="8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energy storage</w:t>
            </w:r>
          </w:p>
        </w:tc>
        <w:tc>
          <w:tcPr>
            <w:tcW w:w="520" w:type="dxa"/>
            <w:vAlign w:val="bottom"/>
            <w:tcBorders>
              <w:right w:val="single" w:sz="8" w:color="2E74B5"/>
            </w:tcBorders>
            <w:vMerge w:val="continue"/>
            <w:shd w:val="clear" w:color="auto" w:fill="2E74B5"/>
          </w:tcPr>
          <w:p>
            <w:pPr>
              <w:spacing w:after="0"/>
              <w:rPr>
                <w:sz w:val="13"/>
                <w:szCs w:val="13"/>
                <w:color w:val="auto"/>
              </w:rPr>
            </w:pPr>
          </w:p>
        </w:tc>
        <w:tc>
          <w:tcPr>
            <w:tcW w:w="700" w:type="dxa"/>
            <w:vAlign w:val="bottom"/>
            <w:tcBorders>
              <w:right w:val="single" w:sz="8" w:color="2E74B5"/>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Project Cost</w:t>
            </w:r>
          </w:p>
        </w:tc>
        <w:tc>
          <w:tcPr>
            <w:tcW w:w="7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Qualifying</w:t>
            </w:r>
          </w:p>
        </w:tc>
        <w:tc>
          <w:tcPr>
            <w:tcW w:w="86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Adders*****</w:t>
            </w:r>
          </w:p>
        </w:tc>
        <w:tc>
          <w:tcPr>
            <w:tcW w:w="7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Value of Tax</w:t>
            </w:r>
          </w:p>
        </w:tc>
        <w:tc>
          <w:tcPr>
            <w:tcW w:w="3600" w:type="dxa"/>
            <w:vAlign w:val="bottom"/>
            <w:gridSpan w:val="5"/>
            <w:shd w:val="clear" w:color="auto" w:fill="2E74B5"/>
          </w:tcPr>
          <w:p>
            <w:pPr>
              <w:ind w:left="80"/>
              <w:spacing w:after="0"/>
              <w:rPr>
                <w:sz w:val="20"/>
                <w:szCs w:val="20"/>
                <w:color w:val="auto"/>
              </w:rPr>
            </w:pPr>
            <w:r>
              <w:rPr>
                <w:rFonts w:ascii="Times New Roman" w:cs="Times New Roman" w:eastAsia="Times New Roman" w:hAnsi="Times New Roman"/>
                <w:sz w:val="12"/>
                <w:szCs w:val="12"/>
                <w:color w:val="FFFFFF"/>
              </w:rPr>
              <w:t>Cost net of as of December Required (%) as of December Est. First Full</w:t>
            </w:r>
          </w:p>
        </w:tc>
        <w:tc>
          <w:tcPr>
            <w:tcW w:w="780" w:type="dxa"/>
            <w:vAlign w:val="bottom"/>
            <w:vMerge w:val="continue"/>
            <w:shd w:val="clear" w:color="auto" w:fill="2E74B5"/>
          </w:tcPr>
          <w:p>
            <w:pPr>
              <w:spacing w:after="0"/>
              <w:rPr>
                <w:sz w:val="13"/>
                <w:szCs w:val="13"/>
                <w:color w:val="auto"/>
              </w:rPr>
            </w:pPr>
          </w:p>
        </w:tc>
        <w:tc>
          <w:tcPr>
            <w:tcW w:w="820" w:type="dxa"/>
            <w:vAlign w:val="bottom"/>
            <w:vMerge w:val="continue"/>
            <w:shd w:val="clear" w:color="auto" w:fill="2E74B5"/>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02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Projects</w:t>
            </w:r>
          </w:p>
        </w:tc>
        <w:tc>
          <w:tcPr>
            <w:tcW w:w="660" w:type="dxa"/>
            <w:vAlign w:val="bottom"/>
            <w:shd w:val="clear" w:color="auto" w:fill="2E74B5"/>
          </w:tcPr>
          <w:p>
            <w:pPr>
              <w:spacing w:after="0"/>
              <w:rPr>
                <w:sz w:val="2"/>
                <w:szCs w:val="2"/>
                <w:color w:val="auto"/>
              </w:rPr>
            </w:pPr>
          </w:p>
        </w:tc>
        <w:tc>
          <w:tcPr>
            <w:tcW w:w="8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Capacity</w:t>
            </w:r>
          </w:p>
        </w:tc>
        <w:tc>
          <w:tcPr>
            <w:tcW w:w="52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4"/>
              </w:rPr>
              <w:t>COD</w:t>
            </w:r>
          </w:p>
        </w:tc>
        <w:tc>
          <w:tcPr>
            <w:tcW w:w="700" w:type="dxa"/>
            <w:vAlign w:val="bottom"/>
            <w:tcBorders>
              <w:right w:val="single" w:sz="8" w:color="2E74B5"/>
            </w:tcBorders>
            <w:shd w:val="clear" w:color="auto" w:fill="2E74B5"/>
          </w:tcPr>
          <w:p>
            <w:pPr>
              <w:spacing w:after="0"/>
              <w:rPr>
                <w:sz w:val="2"/>
                <w:szCs w:val="2"/>
                <w:color w:val="auto"/>
              </w:rPr>
            </w:pPr>
          </w:p>
        </w:tc>
        <w:tc>
          <w:tcPr>
            <w:tcW w:w="740" w:type="dxa"/>
            <w:vAlign w:val="bottom"/>
            <w:vMerge w:val="continue"/>
            <w:shd w:val="clear" w:color="auto" w:fill="2E74B5"/>
          </w:tcPr>
          <w:p>
            <w:pPr>
              <w:spacing w:after="0"/>
              <w:rPr>
                <w:sz w:val="2"/>
                <w:szCs w:val="2"/>
                <w:color w:val="auto"/>
              </w:rPr>
            </w:pPr>
          </w:p>
        </w:tc>
        <w:tc>
          <w:tcPr>
            <w:tcW w:w="860" w:type="dxa"/>
            <w:vAlign w:val="bottom"/>
            <w:tcBorders>
              <w:right w:val="single" w:sz="8" w:color="2E74B5"/>
            </w:tcBorders>
            <w:vMerge w:val="continue"/>
            <w:shd w:val="clear" w:color="auto" w:fill="2E74B5"/>
          </w:tcPr>
          <w:p>
            <w:pPr>
              <w:spacing w:after="0"/>
              <w:rPr>
                <w:sz w:val="2"/>
                <w:szCs w:val="2"/>
                <w:color w:val="auto"/>
              </w:rPr>
            </w:pPr>
          </w:p>
        </w:tc>
        <w:tc>
          <w:tcPr>
            <w:tcW w:w="780" w:type="dxa"/>
            <w:vAlign w:val="bottom"/>
            <w:vMerge w:val="continue"/>
            <w:shd w:val="clear" w:color="auto" w:fill="2E74B5"/>
          </w:tcPr>
          <w:p>
            <w:pPr>
              <w:spacing w:after="0"/>
              <w:rPr>
                <w:sz w:val="2"/>
                <w:szCs w:val="2"/>
                <w:color w:val="auto"/>
              </w:rPr>
            </w:pPr>
          </w:p>
        </w:tc>
        <w:tc>
          <w:tcPr>
            <w:tcW w:w="6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tax benefit</w:t>
            </w:r>
          </w:p>
        </w:tc>
        <w:tc>
          <w:tcPr>
            <w:tcW w:w="8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5"/>
              </w:rPr>
              <w:t>31, 2024</w:t>
            </w:r>
          </w:p>
        </w:tc>
        <w:tc>
          <w:tcPr>
            <w:tcW w:w="620" w:type="dxa"/>
            <w:vAlign w:val="bottom"/>
            <w:shd w:val="clear" w:color="auto" w:fill="2E74B5"/>
          </w:tcPr>
          <w:p>
            <w:pPr>
              <w:spacing w:after="0"/>
              <w:rPr>
                <w:sz w:val="2"/>
                <w:szCs w:val="2"/>
                <w:color w:val="auto"/>
              </w:rPr>
            </w:pPr>
          </w:p>
        </w:tc>
        <w:tc>
          <w:tcPr>
            <w:tcW w:w="8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31, 2024</w:t>
            </w:r>
          </w:p>
        </w:tc>
        <w:tc>
          <w:tcPr>
            <w:tcW w:w="720" w:type="dxa"/>
            <w:vAlign w:val="bottom"/>
            <w:vMerge w:val="restart"/>
            <w:shd w:val="clear" w:color="auto" w:fill="2E74B5"/>
          </w:tcPr>
          <w:p>
            <w:pPr>
              <w:spacing w:after="0"/>
              <w:rPr>
                <w:sz w:val="20"/>
                <w:szCs w:val="20"/>
                <w:color w:val="auto"/>
              </w:rPr>
            </w:pPr>
            <w:r>
              <w:rPr>
                <w:rFonts w:ascii="Times New Roman" w:cs="Times New Roman" w:eastAsia="Times New Roman" w:hAnsi="Times New Roman"/>
                <w:sz w:val="12"/>
                <w:szCs w:val="12"/>
                <w:color w:val="FFFFFF"/>
              </w:rPr>
              <w:t>Year Revenue</w:t>
            </w:r>
          </w:p>
        </w:tc>
        <w:tc>
          <w:tcPr>
            <w:tcW w:w="7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4"/>
              </w:rPr>
              <w:t>Year</w:t>
            </w:r>
          </w:p>
        </w:tc>
        <w:tc>
          <w:tcPr>
            <w:tcW w:w="820" w:type="dxa"/>
            <w:vAlign w:val="bottom"/>
            <w:shd w:val="clear" w:color="auto" w:fill="2E74B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tcBorders>
              <w:right w:val="single" w:sz="8" w:color="2E74B5"/>
            </w:tcBorders>
            <w:vMerge w:val="continue"/>
            <w:shd w:val="clear" w:color="auto" w:fill="2E74B5"/>
          </w:tcPr>
          <w:p>
            <w:pPr>
              <w:spacing w:after="0"/>
              <w:rPr>
                <w:sz w:val="10"/>
                <w:szCs w:val="10"/>
                <w:color w:val="auto"/>
              </w:rPr>
            </w:pPr>
          </w:p>
        </w:tc>
        <w:tc>
          <w:tcPr>
            <w:tcW w:w="660" w:type="dxa"/>
            <w:vAlign w:val="bottom"/>
            <w:shd w:val="clear" w:color="auto" w:fill="2E74B5"/>
          </w:tcPr>
          <w:p>
            <w:pPr>
              <w:spacing w:after="0"/>
              <w:rPr>
                <w:sz w:val="10"/>
                <w:szCs w:val="10"/>
                <w:color w:val="auto"/>
              </w:rPr>
            </w:pPr>
          </w:p>
        </w:tc>
        <w:tc>
          <w:tcPr>
            <w:tcW w:w="820" w:type="dxa"/>
            <w:vAlign w:val="bottom"/>
            <w:vMerge w:val="continue"/>
            <w:shd w:val="clear" w:color="auto" w:fill="2E74B5"/>
          </w:tcPr>
          <w:p>
            <w:pPr>
              <w:spacing w:after="0"/>
              <w:rPr>
                <w:sz w:val="10"/>
                <w:szCs w:val="10"/>
                <w:color w:val="auto"/>
              </w:rPr>
            </w:pPr>
          </w:p>
        </w:tc>
        <w:tc>
          <w:tcPr>
            <w:tcW w:w="520" w:type="dxa"/>
            <w:vAlign w:val="bottom"/>
            <w:tcBorders>
              <w:right w:val="single" w:sz="8" w:color="2E74B5"/>
            </w:tcBorders>
            <w:vMerge w:val="continue"/>
            <w:shd w:val="clear" w:color="auto" w:fill="2E74B5"/>
          </w:tcPr>
          <w:p>
            <w:pPr>
              <w:spacing w:after="0"/>
              <w:rPr>
                <w:sz w:val="10"/>
                <w:szCs w:val="10"/>
                <w:color w:val="auto"/>
              </w:rPr>
            </w:pPr>
          </w:p>
        </w:tc>
        <w:tc>
          <w:tcPr>
            <w:tcW w:w="700" w:type="dxa"/>
            <w:vAlign w:val="bottom"/>
            <w:tcBorders>
              <w:right w:val="single" w:sz="8" w:color="2E74B5"/>
            </w:tcBorders>
            <w:shd w:val="clear" w:color="auto" w:fill="2E74B5"/>
          </w:tcPr>
          <w:p>
            <w:pPr>
              <w:spacing w:after="0"/>
              <w:rPr>
                <w:sz w:val="10"/>
                <w:szCs w:val="10"/>
                <w:color w:val="auto"/>
              </w:rPr>
            </w:pPr>
          </w:p>
        </w:tc>
        <w:tc>
          <w:tcPr>
            <w:tcW w:w="740" w:type="dxa"/>
            <w:vAlign w:val="bottom"/>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w w:val="99"/>
              </w:rPr>
              <w:t>Category</w:t>
            </w:r>
          </w:p>
        </w:tc>
        <w:tc>
          <w:tcPr>
            <w:tcW w:w="860" w:type="dxa"/>
            <w:vAlign w:val="bottom"/>
            <w:tcBorders>
              <w:right w:val="single" w:sz="8" w:color="2E74B5"/>
            </w:tcBorders>
            <w:shd w:val="clear" w:color="auto" w:fill="2E74B5"/>
          </w:tcPr>
          <w:p>
            <w:pPr>
              <w:spacing w:after="0"/>
              <w:rPr>
                <w:sz w:val="10"/>
                <w:szCs w:val="10"/>
                <w:color w:val="auto"/>
              </w:rPr>
            </w:pPr>
          </w:p>
        </w:tc>
        <w:tc>
          <w:tcPr>
            <w:tcW w:w="780" w:type="dxa"/>
            <w:vAlign w:val="bottom"/>
            <w:shd w:val="clear" w:color="auto" w:fill="2E74B5"/>
          </w:tcPr>
          <w:p>
            <w:pPr>
              <w:jc w:val="center"/>
              <w:spacing w:after="0" w:line="119" w:lineRule="exact"/>
              <w:rPr>
                <w:sz w:val="20"/>
                <w:szCs w:val="20"/>
                <w:color w:val="auto"/>
              </w:rPr>
            </w:pPr>
            <w:r>
              <w:rPr>
                <w:rFonts w:ascii="Times New Roman" w:cs="Times New Roman" w:eastAsia="Times New Roman" w:hAnsi="Times New Roman"/>
                <w:sz w:val="12"/>
                <w:szCs w:val="12"/>
                <w:color w:val="FFFFFF"/>
              </w:rPr>
              <w:t>Benefit***</w:t>
            </w:r>
          </w:p>
        </w:tc>
        <w:tc>
          <w:tcPr>
            <w:tcW w:w="620" w:type="dxa"/>
            <w:vAlign w:val="bottom"/>
            <w:vMerge w:val="continue"/>
            <w:shd w:val="clear" w:color="auto" w:fill="2E74B5"/>
          </w:tcPr>
          <w:p>
            <w:pPr>
              <w:spacing w:after="0"/>
              <w:rPr>
                <w:sz w:val="10"/>
                <w:szCs w:val="10"/>
                <w:color w:val="auto"/>
              </w:rPr>
            </w:pPr>
          </w:p>
        </w:tc>
        <w:tc>
          <w:tcPr>
            <w:tcW w:w="820" w:type="dxa"/>
            <w:vAlign w:val="bottom"/>
            <w:vMerge w:val="continue"/>
            <w:shd w:val="clear" w:color="auto" w:fill="2E74B5"/>
          </w:tcPr>
          <w:p>
            <w:pPr>
              <w:spacing w:after="0"/>
              <w:rPr>
                <w:sz w:val="10"/>
                <w:szCs w:val="10"/>
                <w:color w:val="auto"/>
              </w:rPr>
            </w:pPr>
          </w:p>
        </w:tc>
        <w:tc>
          <w:tcPr>
            <w:tcW w:w="620" w:type="dxa"/>
            <w:vAlign w:val="bottom"/>
            <w:shd w:val="clear" w:color="auto" w:fill="2E74B5"/>
          </w:tcPr>
          <w:p>
            <w:pPr>
              <w:spacing w:after="0"/>
              <w:rPr>
                <w:sz w:val="10"/>
                <w:szCs w:val="10"/>
                <w:color w:val="auto"/>
              </w:rPr>
            </w:pPr>
          </w:p>
        </w:tc>
        <w:tc>
          <w:tcPr>
            <w:tcW w:w="820" w:type="dxa"/>
            <w:vAlign w:val="bottom"/>
            <w:vMerge w:val="continue"/>
            <w:shd w:val="clear" w:color="auto" w:fill="2E74B5"/>
          </w:tcPr>
          <w:p>
            <w:pPr>
              <w:spacing w:after="0"/>
              <w:rPr>
                <w:sz w:val="10"/>
                <w:szCs w:val="10"/>
                <w:color w:val="auto"/>
              </w:rPr>
            </w:pPr>
          </w:p>
        </w:tc>
        <w:tc>
          <w:tcPr>
            <w:tcW w:w="720" w:type="dxa"/>
            <w:vAlign w:val="bottom"/>
            <w:vMerge w:val="continue"/>
            <w:shd w:val="clear" w:color="auto" w:fill="2E74B5"/>
          </w:tcPr>
          <w:p>
            <w:pPr>
              <w:spacing w:after="0"/>
              <w:rPr>
                <w:sz w:val="10"/>
                <w:szCs w:val="10"/>
                <w:color w:val="auto"/>
              </w:rPr>
            </w:pPr>
          </w:p>
        </w:tc>
        <w:tc>
          <w:tcPr>
            <w:tcW w:w="780" w:type="dxa"/>
            <w:vAlign w:val="bottom"/>
            <w:vMerge w:val="continue"/>
            <w:shd w:val="clear" w:color="auto" w:fill="2E74B5"/>
          </w:tcPr>
          <w:p>
            <w:pPr>
              <w:spacing w:after="0"/>
              <w:rPr>
                <w:sz w:val="10"/>
                <w:szCs w:val="10"/>
                <w:color w:val="auto"/>
              </w:rPr>
            </w:pPr>
          </w:p>
        </w:tc>
        <w:tc>
          <w:tcPr>
            <w:tcW w:w="820" w:type="dxa"/>
            <w:vAlign w:val="bottom"/>
            <w:shd w:val="clear" w:color="auto" w:fill="2E74B5"/>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Borders>
              <w:right w:val="single" w:sz="8" w:color="2E74B5"/>
            </w:tcBorders>
            <w:shd w:val="clear" w:color="auto" w:fill="2E74B5"/>
          </w:tcPr>
          <w:p>
            <w:pPr>
              <w:spacing w:after="0"/>
              <w:rPr>
                <w:sz w:val="13"/>
                <w:szCs w:val="13"/>
                <w:color w:val="auto"/>
              </w:rPr>
            </w:pPr>
          </w:p>
        </w:tc>
        <w:tc>
          <w:tcPr>
            <w:tcW w:w="660" w:type="dxa"/>
            <w:vAlign w:val="bottom"/>
            <w:shd w:val="clear" w:color="auto" w:fill="2E74B5"/>
          </w:tcPr>
          <w:p>
            <w:pPr>
              <w:spacing w:after="0"/>
              <w:rPr>
                <w:sz w:val="13"/>
                <w:szCs w:val="13"/>
                <w:color w:val="auto"/>
              </w:rPr>
            </w:pPr>
          </w:p>
        </w:tc>
        <w:tc>
          <w:tcPr>
            <w:tcW w:w="8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(MW/MWh)</w:t>
            </w:r>
          </w:p>
        </w:tc>
        <w:tc>
          <w:tcPr>
            <w:tcW w:w="520" w:type="dxa"/>
            <w:vAlign w:val="bottom"/>
            <w:tcBorders>
              <w:right w:val="single" w:sz="8" w:color="2E74B5"/>
            </w:tcBorders>
            <w:shd w:val="clear" w:color="auto" w:fill="2E74B5"/>
          </w:tcPr>
          <w:p>
            <w:pPr>
              <w:spacing w:after="0"/>
              <w:rPr>
                <w:sz w:val="13"/>
                <w:szCs w:val="13"/>
                <w:color w:val="auto"/>
              </w:rPr>
            </w:pPr>
          </w:p>
        </w:tc>
        <w:tc>
          <w:tcPr>
            <w:tcW w:w="700" w:type="dxa"/>
            <w:vAlign w:val="bottom"/>
            <w:tcBorders>
              <w:right w:val="single" w:sz="8" w:color="2E74B5"/>
            </w:tcBorders>
            <w:shd w:val="clear" w:color="auto" w:fill="2E74B5"/>
          </w:tcPr>
          <w:p>
            <w:pPr>
              <w:spacing w:after="0"/>
              <w:rPr>
                <w:sz w:val="13"/>
                <w:szCs w:val="13"/>
                <w:color w:val="auto"/>
              </w:rPr>
            </w:pPr>
          </w:p>
        </w:tc>
        <w:tc>
          <w:tcPr>
            <w:tcW w:w="740" w:type="dxa"/>
            <w:vAlign w:val="bottom"/>
            <w:shd w:val="clear" w:color="auto" w:fill="2E74B5"/>
          </w:tcPr>
          <w:p>
            <w:pPr>
              <w:spacing w:after="0"/>
              <w:rPr>
                <w:sz w:val="13"/>
                <w:szCs w:val="13"/>
                <w:color w:val="auto"/>
              </w:rPr>
            </w:pPr>
          </w:p>
        </w:tc>
        <w:tc>
          <w:tcPr>
            <w:tcW w:w="860" w:type="dxa"/>
            <w:vAlign w:val="bottom"/>
            <w:tcBorders>
              <w:right w:val="single" w:sz="8" w:color="2E74B5"/>
            </w:tcBorders>
            <w:shd w:val="clear" w:color="auto" w:fill="2E74B5"/>
          </w:tcPr>
          <w:p>
            <w:pPr>
              <w:spacing w:after="0"/>
              <w:rPr>
                <w:sz w:val="13"/>
                <w:szCs w:val="13"/>
                <w:color w:val="auto"/>
              </w:rPr>
            </w:pPr>
          </w:p>
        </w:tc>
        <w:tc>
          <w:tcPr>
            <w:tcW w:w="780" w:type="dxa"/>
            <w:vAlign w:val="bottom"/>
            <w:shd w:val="clear" w:color="auto" w:fill="2E74B5"/>
          </w:tcPr>
          <w:p>
            <w:pPr>
              <w:spacing w:after="0"/>
              <w:rPr>
                <w:sz w:val="13"/>
                <w:szCs w:val="13"/>
                <w:color w:val="auto"/>
              </w:rPr>
            </w:pPr>
          </w:p>
        </w:tc>
        <w:tc>
          <w:tcPr>
            <w:tcW w:w="620" w:type="dxa"/>
            <w:vAlign w:val="bottom"/>
            <w:shd w:val="clear" w:color="auto" w:fill="2E74B5"/>
          </w:tcPr>
          <w:p>
            <w:pPr>
              <w:spacing w:after="0"/>
              <w:rPr>
                <w:sz w:val="13"/>
                <w:szCs w:val="13"/>
                <w:color w:val="auto"/>
              </w:rPr>
            </w:pPr>
          </w:p>
        </w:tc>
        <w:tc>
          <w:tcPr>
            <w:tcW w:w="820" w:type="dxa"/>
            <w:vAlign w:val="bottom"/>
            <w:shd w:val="clear" w:color="auto" w:fill="2E74B5"/>
          </w:tcPr>
          <w:p>
            <w:pPr>
              <w:spacing w:after="0"/>
              <w:rPr>
                <w:sz w:val="13"/>
                <w:szCs w:val="13"/>
                <w:color w:val="auto"/>
              </w:rPr>
            </w:pPr>
          </w:p>
        </w:tc>
        <w:tc>
          <w:tcPr>
            <w:tcW w:w="620" w:type="dxa"/>
            <w:vAlign w:val="bottom"/>
            <w:shd w:val="clear" w:color="auto" w:fill="2E74B5"/>
          </w:tcPr>
          <w:p>
            <w:pPr>
              <w:spacing w:after="0"/>
              <w:rPr>
                <w:sz w:val="13"/>
                <w:szCs w:val="13"/>
                <w:color w:val="auto"/>
              </w:rPr>
            </w:pPr>
          </w:p>
        </w:tc>
        <w:tc>
          <w:tcPr>
            <w:tcW w:w="820" w:type="dxa"/>
            <w:vAlign w:val="bottom"/>
            <w:shd w:val="clear" w:color="auto" w:fill="2E74B5"/>
          </w:tcPr>
          <w:p>
            <w:pPr>
              <w:spacing w:after="0"/>
              <w:rPr>
                <w:sz w:val="13"/>
                <w:szCs w:val="13"/>
                <w:color w:val="auto"/>
              </w:rPr>
            </w:pPr>
          </w:p>
        </w:tc>
        <w:tc>
          <w:tcPr>
            <w:tcW w:w="720" w:type="dxa"/>
            <w:vAlign w:val="bottom"/>
            <w:shd w:val="clear" w:color="auto" w:fill="2E74B5"/>
          </w:tcPr>
          <w:p>
            <w:pPr>
              <w:spacing w:after="0"/>
              <w:rPr>
                <w:sz w:val="13"/>
                <w:szCs w:val="13"/>
                <w:color w:val="auto"/>
              </w:rPr>
            </w:pPr>
          </w:p>
        </w:tc>
        <w:tc>
          <w:tcPr>
            <w:tcW w:w="7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820" w:type="dxa"/>
            <w:vAlign w:val="bottom"/>
            <w:shd w:val="clear" w:color="auto" w:fill="2E74B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CoBar ITC</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258/824</w:t>
            </w:r>
          </w:p>
        </w:tc>
        <w:tc>
          <w:tcPr>
            <w:tcW w:w="520" w:type="dxa"/>
            <w:vAlign w:val="bottom"/>
            <w:tcBorders>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634-666</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277-292</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356-374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12%-15%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123-129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95-100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52"/>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CoBar PTC</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953/0</w:t>
            </w:r>
          </w:p>
        </w:tc>
        <w:tc>
          <w:tcPr>
            <w:tcW w:w="52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auto"/>
              </w:rPr>
              <w:t>H2 2027</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1,055-1,109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PTC</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544-572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511-537</w:t>
            </w:r>
          </w:p>
        </w:tc>
        <w:tc>
          <w:tcPr>
            <w:tcW w:w="8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020" w:type="dxa"/>
            <w:vAlign w:val="bottom"/>
            <w:tcBorders>
              <w:bottom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right w:val="single" w:sz="8" w:color="auto"/>
            </w:tcBorders>
            <w:vMerge w:val="continue"/>
          </w:tcPr>
          <w:p>
            <w:pPr>
              <w:spacing w:after="0"/>
              <w:rPr>
                <w:sz w:val="8"/>
                <w:szCs w:val="8"/>
                <w:color w:val="auto"/>
              </w:rPr>
            </w:pPr>
          </w:p>
        </w:tc>
        <w:tc>
          <w:tcPr>
            <w:tcW w:w="700" w:type="dxa"/>
            <w:vAlign w:val="bottom"/>
            <w:tcBorders>
              <w:bottom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right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Snowflake A</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600/1,900</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2027</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1,414-1,487</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EC (10%)</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588-618</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826-869</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11%-14%</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117-123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94-99</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Nardo Storage</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Italy</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0/920</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H2 2027</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144-151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144-151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23%-28%</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31-33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26-28</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268"/>
        </w:trPr>
        <w:tc>
          <w:tcPr>
            <w:tcW w:w="10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278" w:right="299" w:bottom="1440" w:gutter="0" w:footer="0" w:header="0"/>
        </w:sectPr>
      </w:pPr>
    </w:p>
    <w:bookmarkStart w:id="27" w:name="page28"/>
    <w:bookmarkEnd w:id="27"/>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336"/>
        </w:trPr>
        <w:tc>
          <w:tcPr>
            <w:tcW w:w="158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 millions)</w:t>
            </w:r>
          </w:p>
        </w:tc>
        <w:tc>
          <w:tcPr>
            <w:tcW w:w="440" w:type="dxa"/>
            <w:vAlign w:val="bottom"/>
            <w:shd w:val="clear" w:color="auto" w:fill="2E74B5"/>
          </w:tcPr>
          <w:p>
            <w:pPr>
              <w:spacing w:after="0"/>
              <w:rPr>
                <w:sz w:val="24"/>
                <w:szCs w:val="24"/>
                <w:color w:val="auto"/>
              </w:rPr>
            </w:pPr>
          </w:p>
        </w:tc>
        <w:tc>
          <w:tcPr>
            <w:tcW w:w="1300" w:type="dxa"/>
            <w:vAlign w:val="bottom"/>
            <w:tcBorders>
              <w:right w:val="single" w:sz="8" w:color="2E74B5"/>
            </w:tcBorders>
            <w:gridSpan w:val="2"/>
            <w:shd w:val="clear" w:color="auto" w:fill="2E74B5"/>
          </w:tcPr>
          <w:p>
            <w:pPr>
              <w:jc w:val="center"/>
              <w:ind w:right="380"/>
              <w:spacing w:after="0"/>
              <w:rPr>
                <w:sz w:val="20"/>
                <w:szCs w:val="20"/>
                <w:color w:val="auto"/>
              </w:rPr>
            </w:pPr>
            <w:r>
              <w:rPr>
                <w:rFonts w:ascii="Times New Roman" w:cs="Times New Roman" w:eastAsia="Times New Roman" w:hAnsi="Times New Roman"/>
                <w:sz w:val="12"/>
                <w:szCs w:val="12"/>
                <w:color w:val="FFFFFF"/>
              </w:rPr>
              <w:t>MW Deployment</w:t>
            </w:r>
          </w:p>
        </w:tc>
        <w:tc>
          <w:tcPr>
            <w:tcW w:w="640" w:type="dxa"/>
            <w:vAlign w:val="bottom"/>
            <w:tcBorders>
              <w:right w:val="single" w:sz="8" w:color="2E74B5"/>
            </w:tcBorders>
            <w:shd w:val="clear" w:color="auto" w:fill="2E74B5"/>
          </w:tcPr>
          <w:p>
            <w:pPr>
              <w:spacing w:after="0"/>
              <w:rPr>
                <w:sz w:val="24"/>
                <w:szCs w:val="24"/>
                <w:color w:val="auto"/>
              </w:rPr>
            </w:pPr>
          </w:p>
        </w:tc>
        <w:tc>
          <w:tcPr>
            <w:tcW w:w="580" w:type="dxa"/>
            <w:vAlign w:val="bottom"/>
            <w:shd w:val="clear" w:color="auto" w:fill="2E74B5"/>
          </w:tcPr>
          <w:p>
            <w:pPr>
              <w:spacing w:after="0"/>
              <w:rPr>
                <w:sz w:val="24"/>
                <w:szCs w:val="24"/>
                <w:color w:val="auto"/>
              </w:rPr>
            </w:pPr>
          </w:p>
        </w:tc>
        <w:tc>
          <w:tcPr>
            <w:tcW w:w="1180" w:type="dxa"/>
            <w:vAlign w:val="bottom"/>
            <w:tcBorders>
              <w:right w:val="single" w:sz="8" w:color="2E74B5"/>
            </w:tcBorders>
            <w:shd w:val="clear" w:color="auto" w:fill="2E74B5"/>
          </w:tcPr>
          <w:p>
            <w:pPr>
              <w:spacing w:after="0"/>
              <w:rPr>
                <w:sz w:val="24"/>
                <w:szCs w:val="24"/>
                <w:color w:val="auto"/>
              </w:rPr>
            </w:pPr>
          </w:p>
        </w:tc>
        <w:tc>
          <w:tcPr>
            <w:tcW w:w="720" w:type="dxa"/>
            <w:vAlign w:val="bottom"/>
            <w:shd w:val="clear" w:color="auto" w:fill="2E74B5"/>
          </w:tcPr>
          <w:p>
            <w:pPr>
              <w:spacing w:after="0"/>
              <w:rPr>
                <w:sz w:val="24"/>
                <w:szCs w:val="24"/>
                <w:color w:val="auto"/>
              </w:rPr>
            </w:pPr>
          </w:p>
        </w:tc>
        <w:tc>
          <w:tcPr>
            <w:tcW w:w="64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680" w:type="dxa"/>
            <w:vAlign w:val="bottom"/>
            <w:vMerge w:val="restart"/>
            <w:shd w:val="clear" w:color="auto" w:fill="2E74B5"/>
          </w:tcPr>
          <w:p>
            <w:pPr>
              <w:jc w:val="right"/>
              <w:ind w:right="100"/>
              <w:spacing w:after="0"/>
              <w:rPr>
                <w:sz w:val="20"/>
                <w:szCs w:val="20"/>
                <w:color w:val="auto"/>
              </w:rPr>
            </w:pPr>
            <w:r>
              <w:rPr>
                <w:rFonts w:ascii="Times New Roman" w:cs="Times New Roman" w:eastAsia="Times New Roman" w:hAnsi="Times New Roman"/>
                <w:sz w:val="12"/>
                <w:szCs w:val="12"/>
                <w:color w:val="FFFFFF"/>
              </w:rPr>
              <w:t>Capital</w:t>
            </w:r>
          </w:p>
        </w:tc>
        <w:tc>
          <w:tcPr>
            <w:tcW w:w="680" w:type="dxa"/>
            <w:vAlign w:val="bottom"/>
            <w:shd w:val="clear" w:color="auto" w:fill="2E74B5"/>
          </w:tcPr>
          <w:p>
            <w:pPr>
              <w:spacing w:after="0"/>
              <w:rPr>
                <w:sz w:val="24"/>
                <w:szCs w:val="24"/>
                <w:color w:val="auto"/>
              </w:rPr>
            </w:pPr>
          </w:p>
        </w:tc>
        <w:tc>
          <w:tcPr>
            <w:tcW w:w="6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Equity</w:t>
            </w:r>
          </w:p>
        </w:tc>
        <w:tc>
          <w:tcPr>
            <w:tcW w:w="720" w:type="dxa"/>
            <w:vAlign w:val="bottom"/>
            <w:shd w:val="clear" w:color="auto" w:fill="2E74B5"/>
          </w:tcPr>
          <w:p>
            <w:pPr>
              <w:spacing w:after="0"/>
              <w:rPr>
                <w:sz w:val="24"/>
                <w:szCs w:val="24"/>
                <w:color w:val="auto"/>
              </w:rPr>
            </w:pPr>
          </w:p>
        </w:tc>
        <w:tc>
          <w:tcPr>
            <w:tcW w:w="780" w:type="dxa"/>
            <w:vAlign w:val="bottom"/>
            <w:shd w:val="clear" w:color="auto" w:fill="2E74B5"/>
          </w:tcPr>
          <w:p>
            <w:pPr>
              <w:spacing w:after="0"/>
              <w:rPr>
                <w:sz w:val="24"/>
                <w:szCs w:val="24"/>
                <w:color w:val="auto"/>
              </w:rPr>
            </w:pPr>
          </w:p>
        </w:tc>
        <w:tc>
          <w:tcPr>
            <w:tcW w:w="680" w:type="dxa"/>
            <w:vAlign w:val="bottom"/>
            <w:shd w:val="clear" w:color="auto" w:fill="2E74B5"/>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580" w:type="dxa"/>
            <w:vAlign w:val="bottom"/>
            <w:tcBorders>
              <w:right w:val="single" w:sz="8" w:color="2E74B5"/>
            </w:tcBorders>
            <w:vMerge w:val="continue"/>
            <w:shd w:val="clear" w:color="auto" w:fill="2E74B5"/>
          </w:tcPr>
          <w:p>
            <w:pPr>
              <w:spacing w:after="0"/>
              <w:rPr>
                <w:sz w:val="8"/>
                <w:szCs w:val="8"/>
                <w:color w:val="auto"/>
              </w:rPr>
            </w:pPr>
          </w:p>
        </w:tc>
        <w:tc>
          <w:tcPr>
            <w:tcW w:w="440" w:type="dxa"/>
            <w:vAlign w:val="bottom"/>
            <w:shd w:val="clear" w:color="auto" w:fill="2E74B5"/>
          </w:tcPr>
          <w:p>
            <w:pPr>
              <w:spacing w:after="0"/>
              <w:rPr>
                <w:sz w:val="8"/>
                <w:szCs w:val="8"/>
                <w:color w:val="auto"/>
              </w:rPr>
            </w:pPr>
          </w:p>
        </w:tc>
        <w:tc>
          <w:tcPr>
            <w:tcW w:w="760" w:type="dxa"/>
            <w:vAlign w:val="bottom"/>
            <w:vMerge w:val="restart"/>
            <w:shd w:val="clear" w:color="auto" w:fill="2E74B5"/>
          </w:tcPr>
          <w:p>
            <w:pPr>
              <w:jc w:val="center"/>
              <w:ind w:left="40"/>
              <w:spacing w:after="0"/>
              <w:rPr>
                <w:sz w:val="20"/>
                <w:szCs w:val="20"/>
                <w:color w:val="auto"/>
              </w:rPr>
            </w:pPr>
            <w:r>
              <w:rPr>
                <w:rFonts w:ascii="Times New Roman" w:cs="Times New Roman" w:eastAsia="Times New Roman" w:hAnsi="Times New Roman"/>
                <w:sz w:val="12"/>
                <w:szCs w:val="12"/>
                <w:b w:val="1"/>
                <w:bCs w:val="1"/>
                <w:color w:val="FFFFFF"/>
              </w:rPr>
              <w:t>MW/MWh</w:t>
            </w:r>
          </w:p>
        </w:tc>
        <w:tc>
          <w:tcPr>
            <w:tcW w:w="540" w:type="dxa"/>
            <w:vAlign w:val="bottom"/>
            <w:tcBorders>
              <w:right w:val="single" w:sz="8" w:color="2E74B5"/>
            </w:tcBorders>
            <w:shd w:val="clear" w:color="auto" w:fill="2E74B5"/>
          </w:tcPr>
          <w:p>
            <w:pPr>
              <w:spacing w:after="0"/>
              <w:rPr>
                <w:sz w:val="8"/>
                <w:szCs w:val="8"/>
                <w:color w:val="auto"/>
              </w:rPr>
            </w:pPr>
          </w:p>
        </w:tc>
        <w:tc>
          <w:tcPr>
            <w:tcW w:w="640" w:type="dxa"/>
            <w:vAlign w:val="bottom"/>
            <w:tcBorders>
              <w:right w:val="single" w:sz="8" w:color="2E74B5"/>
            </w:tcBorders>
            <w:shd w:val="clear" w:color="auto" w:fill="2E74B5"/>
          </w:tcPr>
          <w:p>
            <w:pPr>
              <w:spacing w:after="0"/>
              <w:rPr>
                <w:sz w:val="8"/>
                <w:szCs w:val="8"/>
                <w:color w:val="auto"/>
              </w:rPr>
            </w:pPr>
          </w:p>
        </w:tc>
        <w:tc>
          <w:tcPr>
            <w:tcW w:w="1760" w:type="dxa"/>
            <w:vAlign w:val="bottom"/>
            <w:tcBorders>
              <w:right w:val="single" w:sz="8" w:color="2E74B5"/>
            </w:tcBorders>
            <w:gridSpan w:val="2"/>
            <w:vMerge w:val="restart"/>
            <w:shd w:val="clear" w:color="auto" w:fill="2E74B5"/>
          </w:tcPr>
          <w:p>
            <w:pPr>
              <w:ind w:left="440"/>
              <w:spacing w:after="0"/>
              <w:rPr>
                <w:sz w:val="20"/>
                <w:szCs w:val="20"/>
                <w:color w:val="auto"/>
              </w:rPr>
            </w:pPr>
            <w:r>
              <w:rPr>
                <w:rFonts w:ascii="Times New Roman" w:cs="Times New Roman" w:eastAsia="Times New Roman" w:hAnsi="Times New Roman"/>
                <w:sz w:val="12"/>
                <w:szCs w:val="12"/>
                <w:color w:val="FFFFFF"/>
              </w:rPr>
              <w:t>Tax Credit Benefit</w:t>
            </w:r>
          </w:p>
        </w:tc>
        <w:tc>
          <w:tcPr>
            <w:tcW w:w="720" w:type="dxa"/>
            <w:vAlign w:val="bottom"/>
            <w:shd w:val="clear" w:color="auto" w:fill="2E74B5"/>
          </w:tcPr>
          <w:p>
            <w:pPr>
              <w:spacing w:after="0"/>
              <w:rPr>
                <w:sz w:val="8"/>
                <w:szCs w:val="8"/>
                <w:color w:val="auto"/>
              </w:rPr>
            </w:pPr>
          </w:p>
        </w:tc>
        <w:tc>
          <w:tcPr>
            <w:tcW w:w="640" w:type="dxa"/>
            <w:vAlign w:val="bottom"/>
            <w:vMerge w:val="continue"/>
            <w:shd w:val="clear" w:color="auto" w:fill="2E74B5"/>
          </w:tcPr>
          <w:p>
            <w:pPr>
              <w:spacing w:after="0"/>
              <w:rPr>
                <w:sz w:val="8"/>
                <w:szCs w:val="8"/>
                <w:color w:val="auto"/>
              </w:rPr>
            </w:pPr>
          </w:p>
        </w:tc>
        <w:tc>
          <w:tcPr>
            <w:tcW w:w="680" w:type="dxa"/>
            <w:vAlign w:val="bottom"/>
            <w:vMerge w:val="continue"/>
            <w:shd w:val="clear" w:color="auto" w:fill="2E74B5"/>
          </w:tcPr>
          <w:p>
            <w:pPr>
              <w:spacing w:after="0"/>
              <w:rPr>
                <w:sz w:val="8"/>
                <w:szCs w:val="8"/>
                <w:color w:val="auto"/>
              </w:rPr>
            </w:pPr>
          </w:p>
        </w:tc>
        <w:tc>
          <w:tcPr>
            <w:tcW w:w="680" w:type="dxa"/>
            <w:vAlign w:val="bottom"/>
            <w:shd w:val="clear" w:color="auto" w:fill="2E74B5"/>
          </w:tcPr>
          <w:p>
            <w:pPr>
              <w:spacing w:after="0"/>
              <w:rPr>
                <w:sz w:val="8"/>
                <w:szCs w:val="8"/>
                <w:color w:val="auto"/>
              </w:rPr>
            </w:pPr>
          </w:p>
        </w:tc>
        <w:tc>
          <w:tcPr>
            <w:tcW w:w="680" w:type="dxa"/>
            <w:vAlign w:val="bottom"/>
            <w:vMerge w:val="continue"/>
            <w:shd w:val="clear" w:color="auto" w:fill="2E74B5"/>
          </w:tcPr>
          <w:p>
            <w:pPr>
              <w:spacing w:after="0"/>
              <w:rPr>
                <w:sz w:val="8"/>
                <w:szCs w:val="8"/>
                <w:color w:val="auto"/>
              </w:rPr>
            </w:pPr>
          </w:p>
        </w:tc>
        <w:tc>
          <w:tcPr>
            <w:tcW w:w="720" w:type="dxa"/>
            <w:vAlign w:val="bottom"/>
            <w:shd w:val="clear" w:color="auto" w:fill="2E74B5"/>
          </w:tcPr>
          <w:p>
            <w:pPr>
              <w:spacing w:after="0"/>
              <w:rPr>
                <w:sz w:val="8"/>
                <w:szCs w:val="8"/>
                <w:color w:val="auto"/>
              </w:rPr>
            </w:pPr>
          </w:p>
        </w:tc>
        <w:tc>
          <w:tcPr>
            <w:tcW w:w="780" w:type="dxa"/>
            <w:vAlign w:val="bottom"/>
            <w:shd w:val="clear" w:color="auto" w:fill="2E74B5"/>
          </w:tcPr>
          <w:p>
            <w:pPr>
              <w:spacing w:after="0"/>
              <w:rPr>
                <w:sz w:val="8"/>
                <w:szCs w:val="8"/>
                <w:color w:val="auto"/>
              </w:rPr>
            </w:pPr>
          </w:p>
        </w:tc>
        <w:tc>
          <w:tcPr>
            <w:tcW w:w="680" w:type="dxa"/>
            <w:vAlign w:val="bottom"/>
            <w:shd w:val="clear" w:color="auto" w:fill="2E74B5"/>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58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Additional Pre-Construction</w:t>
            </w:r>
          </w:p>
        </w:tc>
        <w:tc>
          <w:tcPr>
            <w:tcW w:w="440" w:type="dxa"/>
            <w:vAlign w:val="bottom"/>
            <w:shd w:val="clear" w:color="auto" w:fill="2E74B5"/>
          </w:tcPr>
          <w:p>
            <w:pPr>
              <w:spacing w:after="0"/>
              <w:rPr>
                <w:sz w:val="5"/>
                <w:szCs w:val="5"/>
                <w:color w:val="auto"/>
              </w:rPr>
            </w:pPr>
          </w:p>
        </w:tc>
        <w:tc>
          <w:tcPr>
            <w:tcW w:w="760" w:type="dxa"/>
            <w:vAlign w:val="bottom"/>
            <w:vMerge w:val="continue"/>
            <w:shd w:val="clear" w:color="auto" w:fill="2E74B5"/>
          </w:tcPr>
          <w:p>
            <w:pPr>
              <w:spacing w:after="0"/>
              <w:rPr>
                <w:sz w:val="5"/>
                <w:szCs w:val="5"/>
                <w:color w:val="auto"/>
              </w:rPr>
            </w:pPr>
          </w:p>
        </w:tc>
        <w:tc>
          <w:tcPr>
            <w:tcW w:w="540" w:type="dxa"/>
            <w:vAlign w:val="bottom"/>
            <w:tcBorders>
              <w:right w:val="single" w:sz="8" w:color="2E74B5"/>
            </w:tcBorders>
            <w:shd w:val="clear" w:color="auto" w:fill="2E74B5"/>
          </w:tcPr>
          <w:p>
            <w:pPr>
              <w:spacing w:after="0"/>
              <w:rPr>
                <w:sz w:val="5"/>
                <w:szCs w:val="5"/>
                <w:color w:val="auto"/>
              </w:rPr>
            </w:pPr>
          </w:p>
        </w:tc>
        <w:tc>
          <w:tcPr>
            <w:tcW w:w="640" w:type="dxa"/>
            <w:vAlign w:val="bottom"/>
            <w:tcBorders>
              <w:right w:val="single" w:sz="8" w:color="2E74B5"/>
            </w:tcBorders>
            <w:shd w:val="clear" w:color="auto" w:fill="2E74B5"/>
          </w:tcPr>
          <w:p>
            <w:pPr>
              <w:spacing w:after="0"/>
              <w:rPr>
                <w:sz w:val="5"/>
                <w:szCs w:val="5"/>
                <w:color w:val="auto"/>
              </w:rPr>
            </w:pPr>
          </w:p>
        </w:tc>
        <w:tc>
          <w:tcPr>
            <w:tcW w:w="1760" w:type="dxa"/>
            <w:vAlign w:val="bottom"/>
            <w:tcBorders>
              <w:right w:val="single" w:sz="8" w:color="2E74B5"/>
            </w:tcBorders>
            <w:gridSpan w:val="2"/>
            <w:vMerge w:val="continue"/>
            <w:shd w:val="clear" w:color="auto" w:fill="2E74B5"/>
          </w:tcPr>
          <w:p>
            <w:pPr>
              <w:spacing w:after="0"/>
              <w:rPr>
                <w:sz w:val="5"/>
                <w:szCs w:val="5"/>
                <w:color w:val="auto"/>
              </w:rPr>
            </w:pPr>
          </w:p>
        </w:tc>
        <w:tc>
          <w:tcPr>
            <w:tcW w:w="72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Discounted</w:t>
            </w:r>
          </w:p>
        </w:tc>
        <w:tc>
          <w:tcPr>
            <w:tcW w:w="1320" w:type="dxa"/>
            <w:vAlign w:val="bottom"/>
            <w:gridSpan w:val="2"/>
            <w:vMerge w:val="restart"/>
            <w:shd w:val="clear" w:color="auto" w:fill="2E74B5"/>
          </w:tcPr>
          <w:p>
            <w:pPr>
              <w:jc w:val="right"/>
              <w:spacing w:after="0"/>
              <w:rPr>
                <w:sz w:val="20"/>
                <w:szCs w:val="20"/>
                <w:color w:val="auto"/>
              </w:rPr>
            </w:pPr>
            <w:r>
              <w:rPr>
                <w:rFonts w:ascii="Times New Roman" w:cs="Times New Roman" w:eastAsia="Times New Roman" w:hAnsi="Times New Roman"/>
                <w:sz w:val="12"/>
                <w:szCs w:val="12"/>
                <w:color w:val="FFFFFF"/>
              </w:rPr>
              <w:t>Project Cost Invested as of</w:t>
            </w:r>
          </w:p>
        </w:tc>
        <w:tc>
          <w:tcPr>
            <w:tcW w:w="680" w:type="dxa"/>
            <w:vAlign w:val="bottom"/>
            <w:shd w:val="clear" w:color="auto" w:fill="2E74B5"/>
          </w:tcPr>
          <w:p>
            <w:pPr>
              <w:spacing w:after="0"/>
              <w:rPr>
                <w:sz w:val="5"/>
                <w:szCs w:val="5"/>
                <w:color w:val="auto"/>
              </w:rPr>
            </w:pPr>
          </w:p>
        </w:tc>
        <w:tc>
          <w:tcPr>
            <w:tcW w:w="6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Invested as of</w:t>
            </w:r>
          </w:p>
        </w:tc>
        <w:tc>
          <w:tcPr>
            <w:tcW w:w="720" w:type="dxa"/>
            <w:vAlign w:val="bottom"/>
            <w:shd w:val="clear" w:color="auto" w:fill="2E74B5"/>
          </w:tcPr>
          <w:p>
            <w:pPr>
              <w:spacing w:after="0"/>
              <w:rPr>
                <w:sz w:val="5"/>
                <w:szCs w:val="5"/>
                <w:color w:val="auto"/>
              </w:rPr>
            </w:pPr>
          </w:p>
        </w:tc>
        <w:tc>
          <w:tcPr>
            <w:tcW w:w="7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Est. First Full</w:t>
            </w:r>
          </w:p>
        </w:tc>
        <w:tc>
          <w:tcPr>
            <w:tcW w:w="680" w:type="dxa"/>
            <w:vAlign w:val="bottom"/>
            <w:vMerge w:val="restart"/>
            <w:shd w:val="clear" w:color="auto" w:fill="2E74B5"/>
          </w:tcPr>
          <w:p>
            <w:pPr>
              <w:ind w:left="60"/>
              <w:spacing w:after="0"/>
              <w:rPr>
                <w:sz w:val="20"/>
                <w:szCs w:val="20"/>
                <w:color w:val="auto"/>
              </w:rPr>
            </w:pPr>
            <w:r>
              <w:rPr>
                <w:rFonts w:ascii="Times New Roman" w:cs="Times New Roman" w:eastAsia="Times New Roman" w:hAnsi="Times New Roman"/>
                <w:sz w:val="12"/>
                <w:szCs w:val="12"/>
                <w:color w:val="FFFFFF"/>
              </w:rPr>
              <w:t>Ownership</w:t>
            </w:r>
          </w:p>
        </w:tc>
        <w:tc>
          <w:tcPr>
            <w:tcW w:w="0" w:type="dxa"/>
            <w:vAlign w:val="bottom"/>
          </w:tcPr>
          <w:p>
            <w:pPr>
              <w:spacing w:after="0"/>
              <w:rPr>
                <w:sz w:val="1"/>
                <w:szCs w:val="1"/>
                <w:color w:val="auto"/>
              </w:rPr>
            </w:pPr>
          </w:p>
        </w:tc>
      </w:tr>
      <w:tr>
        <w:trPr>
          <w:trHeight w:val="93"/>
        </w:trPr>
        <w:tc>
          <w:tcPr>
            <w:tcW w:w="1580" w:type="dxa"/>
            <w:vAlign w:val="bottom"/>
            <w:tcBorders>
              <w:right w:val="single" w:sz="8" w:color="2E74B5"/>
            </w:tcBorders>
            <w:vMerge w:val="continue"/>
            <w:shd w:val="clear" w:color="auto" w:fill="2E74B5"/>
          </w:tcPr>
          <w:p>
            <w:pPr>
              <w:spacing w:after="0"/>
              <w:rPr>
                <w:sz w:val="8"/>
                <w:szCs w:val="8"/>
                <w:color w:val="auto"/>
              </w:rPr>
            </w:pPr>
          </w:p>
        </w:tc>
        <w:tc>
          <w:tcPr>
            <w:tcW w:w="440" w:type="dxa"/>
            <w:vAlign w:val="bottom"/>
            <w:shd w:val="clear" w:color="auto" w:fill="2E74B5"/>
          </w:tcPr>
          <w:p>
            <w:pPr>
              <w:spacing w:after="0"/>
              <w:rPr>
                <w:sz w:val="8"/>
                <w:szCs w:val="8"/>
                <w:color w:val="auto"/>
              </w:rPr>
            </w:pPr>
          </w:p>
        </w:tc>
        <w:tc>
          <w:tcPr>
            <w:tcW w:w="760" w:type="dxa"/>
            <w:vAlign w:val="bottom"/>
            <w:shd w:val="clear" w:color="auto" w:fill="2E74B5"/>
          </w:tcPr>
          <w:p>
            <w:pPr>
              <w:spacing w:after="0"/>
              <w:rPr>
                <w:sz w:val="8"/>
                <w:szCs w:val="8"/>
                <w:color w:val="auto"/>
              </w:rPr>
            </w:pPr>
          </w:p>
        </w:tc>
        <w:tc>
          <w:tcPr>
            <w:tcW w:w="540" w:type="dxa"/>
            <w:vAlign w:val="bottom"/>
            <w:tcBorders>
              <w:right w:val="single" w:sz="8" w:color="2E74B5"/>
            </w:tcBorders>
            <w:shd w:val="clear" w:color="auto" w:fill="2E74B5"/>
          </w:tcPr>
          <w:p>
            <w:pPr>
              <w:spacing w:after="0"/>
              <w:rPr>
                <w:sz w:val="8"/>
                <w:szCs w:val="8"/>
                <w:color w:val="auto"/>
              </w:rPr>
            </w:pPr>
          </w:p>
        </w:tc>
        <w:tc>
          <w:tcPr>
            <w:tcW w:w="64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Est. Total</w:t>
            </w:r>
          </w:p>
        </w:tc>
        <w:tc>
          <w:tcPr>
            <w:tcW w:w="1760" w:type="dxa"/>
            <w:vAlign w:val="bottom"/>
            <w:tcBorders>
              <w:right w:val="single" w:sz="8" w:color="2E74B5"/>
            </w:tcBorders>
            <w:gridSpan w:val="2"/>
            <w:vMerge w:val="continue"/>
            <w:shd w:val="clear" w:color="auto" w:fill="2E74B5"/>
          </w:tcPr>
          <w:p>
            <w:pPr>
              <w:spacing w:after="0"/>
              <w:rPr>
                <w:sz w:val="8"/>
                <w:szCs w:val="8"/>
                <w:color w:val="auto"/>
              </w:rPr>
            </w:pPr>
          </w:p>
        </w:tc>
        <w:tc>
          <w:tcPr>
            <w:tcW w:w="720" w:type="dxa"/>
            <w:vAlign w:val="bottom"/>
            <w:vMerge w:val="continue"/>
            <w:shd w:val="clear" w:color="auto" w:fill="2E74B5"/>
          </w:tcPr>
          <w:p>
            <w:pPr>
              <w:spacing w:after="0"/>
              <w:rPr>
                <w:sz w:val="8"/>
                <w:szCs w:val="8"/>
                <w:color w:val="auto"/>
              </w:rPr>
            </w:pPr>
          </w:p>
        </w:tc>
        <w:tc>
          <w:tcPr>
            <w:tcW w:w="1320" w:type="dxa"/>
            <w:vAlign w:val="bottom"/>
            <w:gridSpan w:val="2"/>
            <w:vMerge w:val="continue"/>
            <w:shd w:val="clear" w:color="auto" w:fill="2E74B5"/>
          </w:tcPr>
          <w:p>
            <w:pPr>
              <w:spacing w:after="0"/>
              <w:rPr>
                <w:sz w:val="8"/>
                <w:szCs w:val="8"/>
                <w:color w:val="auto"/>
              </w:rPr>
            </w:pPr>
          </w:p>
        </w:tc>
        <w:tc>
          <w:tcPr>
            <w:tcW w:w="6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7"/>
              </w:rPr>
              <w:t>Est. Equity</w:t>
            </w:r>
          </w:p>
        </w:tc>
        <w:tc>
          <w:tcPr>
            <w:tcW w:w="680" w:type="dxa"/>
            <w:vAlign w:val="bottom"/>
            <w:vMerge w:val="continue"/>
            <w:shd w:val="clear" w:color="auto" w:fill="2E74B5"/>
          </w:tcPr>
          <w:p>
            <w:pPr>
              <w:spacing w:after="0"/>
              <w:rPr>
                <w:sz w:val="8"/>
                <w:szCs w:val="8"/>
                <w:color w:val="auto"/>
              </w:rPr>
            </w:pPr>
          </w:p>
        </w:tc>
        <w:tc>
          <w:tcPr>
            <w:tcW w:w="720" w:type="dxa"/>
            <w:vAlign w:val="bottom"/>
            <w:vMerge w:val="restart"/>
            <w:shd w:val="clear" w:color="auto" w:fill="2E74B5"/>
          </w:tcPr>
          <w:p>
            <w:pPr>
              <w:ind w:left="20"/>
              <w:spacing w:after="0"/>
              <w:rPr>
                <w:sz w:val="20"/>
                <w:szCs w:val="20"/>
                <w:color w:val="auto"/>
              </w:rPr>
            </w:pPr>
            <w:r>
              <w:rPr>
                <w:rFonts w:ascii="Times New Roman" w:cs="Times New Roman" w:eastAsia="Times New Roman" w:hAnsi="Times New Roman"/>
                <w:sz w:val="12"/>
                <w:szCs w:val="12"/>
                <w:color w:val="FFFFFF"/>
              </w:rPr>
              <w:t>Est. First Full</w:t>
            </w:r>
          </w:p>
        </w:tc>
        <w:tc>
          <w:tcPr>
            <w:tcW w:w="780" w:type="dxa"/>
            <w:vAlign w:val="bottom"/>
            <w:vMerge w:val="continue"/>
            <w:shd w:val="clear" w:color="auto" w:fill="2E74B5"/>
          </w:tcPr>
          <w:p>
            <w:pPr>
              <w:spacing w:after="0"/>
              <w:rPr>
                <w:sz w:val="8"/>
                <w:szCs w:val="8"/>
                <w:color w:val="auto"/>
              </w:rPr>
            </w:pPr>
          </w:p>
        </w:tc>
        <w:tc>
          <w:tcPr>
            <w:tcW w:w="680" w:type="dxa"/>
            <w:vAlign w:val="bottom"/>
            <w:vMerge w:val="continue"/>
            <w:shd w:val="clear" w:color="auto" w:fill="2E74B5"/>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80" w:type="dxa"/>
            <w:vAlign w:val="bottom"/>
            <w:tcBorders>
              <w:right w:val="single" w:sz="8" w:color="2E74B5"/>
            </w:tcBorders>
            <w:shd w:val="clear" w:color="auto" w:fill="2E74B5"/>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FFFFFF"/>
                <w:w w:val="99"/>
              </w:rPr>
              <w:t>Projects</w:t>
            </w:r>
          </w:p>
        </w:tc>
        <w:tc>
          <w:tcPr>
            <w:tcW w:w="440" w:type="dxa"/>
            <w:vAlign w:val="bottom"/>
            <w:shd w:val="clear" w:color="auto" w:fill="2E74B5"/>
          </w:tcPr>
          <w:p>
            <w:pPr>
              <w:spacing w:after="0"/>
              <w:rPr>
                <w:sz w:val="10"/>
                <w:szCs w:val="10"/>
                <w:color w:val="auto"/>
              </w:rPr>
            </w:pPr>
          </w:p>
        </w:tc>
        <w:tc>
          <w:tcPr>
            <w:tcW w:w="760" w:type="dxa"/>
            <w:vAlign w:val="bottom"/>
            <w:shd w:val="clear" w:color="auto" w:fill="2E74B5"/>
          </w:tcPr>
          <w:p>
            <w:pPr>
              <w:spacing w:after="0"/>
              <w:rPr>
                <w:sz w:val="10"/>
                <w:szCs w:val="10"/>
                <w:color w:val="auto"/>
              </w:rPr>
            </w:pPr>
          </w:p>
        </w:tc>
        <w:tc>
          <w:tcPr>
            <w:tcW w:w="540" w:type="dxa"/>
            <w:vAlign w:val="bottom"/>
            <w:tcBorders>
              <w:right w:val="single" w:sz="8" w:color="2E74B5"/>
            </w:tcBorders>
            <w:shd w:val="clear" w:color="auto" w:fill="2E74B5"/>
          </w:tcPr>
          <w:p>
            <w:pPr>
              <w:spacing w:after="0"/>
              <w:rPr>
                <w:sz w:val="10"/>
                <w:szCs w:val="10"/>
                <w:color w:val="auto"/>
              </w:rPr>
            </w:pPr>
          </w:p>
        </w:tc>
        <w:tc>
          <w:tcPr>
            <w:tcW w:w="640" w:type="dxa"/>
            <w:vAlign w:val="bottom"/>
            <w:tcBorders>
              <w:right w:val="single" w:sz="8" w:color="2E74B5"/>
            </w:tcBorders>
            <w:vMerge w:val="continue"/>
            <w:shd w:val="clear" w:color="auto" w:fill="2E74B5"/>
          </w:tcPr>
          <w:p>
            <w:pPr>
              <w:spacing w:after="0"/>
              <w:rPr>
                <w:sz w:val="10"/>
                <w:szCs w:val="10"/>
                <w:color w:val="auto"/>
              </w:rPr>
            </w:pPr>
          </w:p>
        </w:tc>
        <w:tc>
          <w:tcPr>
            <w:tcW w:w="580" w:type="dxa"/>
            <w:vAlign w:val="bottom"/>
            <w:shd w:val="clear" w:color="auto" w:fill="2E74B5"/>
          </w:tcPr>
          <w:p>
            <w:pPr>
              <w:spacing w:after="0"/>
              <w:rPr>
                <w:sz w:val="10"/>
                <w:szCs w:val="10"/>
                <w:color w:val="auto"/>
              </w:rPr>
            </w:pPr>
          </w:p>
        </w:tc>
        <w:tc>
          <w:tcPr>
            <w:tcW w:w="1180" w:type="dxa"/>
            <w:vAlign w:val="bottom"/>
            <w:tcBorders>
              <w:right w:val="single" w:sz="8" w:color="2E74B5"/>
            </w:tcBorders>
            <w:shd w:val="clear" w:color="auto" w:fill="2E74B5"/>
          </w:tcPr>
          <w:p>
            <w:pPr>
              <w:spacing w:after="0"/>
              <w:rPr>
                <w:sz w:val="10"/>
                <w:szCs w:val="10"/>
                <w:color w:val="auto"/>
              </w:rPr>
            </w:pPr>
          </w:p>
        </w:tc>
        <w:tc>
          <w:tcPr>
            <w:tcW w:w="720" w:type="dxa"/>
            <w:vAlign w:val="bottom"/>
            <w:shd w:val="clear" w:color="auto" w:fill="2E74B5"/>
          </w:tcPr>
          <w:p>
            <w:pPr>
              <w:jc w:val="center"/>
              <w:spacing w:after="0" w:line="123" w:lineRule="exact"/>
              <w:rPr>
                <w:sz w:val="20"/>
                <w:szCs w:val="20"/>
                <w:color w:val="auto"/>
              </w:rPr>
            </w:pPr>
            <w:r>
              <w:rPr>
                <w:rFonts w:ascii="Times New Roman" w:cs="Times New Roman" w:eastAsia="Times New Roman" w:hAnsi="Times New Roman"/>
                <w:sz w:val="12"/>
                <w:szCs w:val="12"/>
                <w:color w:val="FFFFFF"/>
                <w:w w:val="97"/>
              </w:rPr>
              <w:t>Value of Tax</w:t>
            </w:r>
          </w:p>
        </w:tc>
        <w:tc>
          <w:tcPr>
            <w:tcW w:w="640" w:type="dxa"/>
            <w:vAlign w:val="bottom"/>
            <w:shd w:val="clear" w:color="auto" w:fill="2E74B5"/>
          </w:tcPr>
          <w:p>
            <w:pPr>
              <w:jc w:val="center"/>
              <w:spacing w:after="0" w:line="123" w:lineRule="exact"/>
              <w:rPr>
                <w:sz w:val="20"/>
                <w:szCs w:val="20"/>
                <w:color w:val="auto"/>
              </w:rPr>
            </w:pPr>
            <w:r>
              <w:rPr>
                <w:rFonts w:ascii="Times New Roman" w:cs="Times New Roman" w:eastAsia="Times New Roman" w:hAnsi="Times New Roman"/>
                <w:sz w:val="12"/>
                <w:szCs w:val="12"/>
                <w:color w:val="FFFFFF"/>
              </w:rPr>
              <w:t>net of tax</w:t>
            </w:r>
          </w:p>
        </w:tc>
        <w:tc>
          <w:tcPr>
            <w:tcW w:w="680" w:type="dxa"/>
            <w:vAlign w:val="bottom"/>
            <w:shd w:val="clear" w:color="auto" w:fill="2E74B5"/>
          </w:tcPr>
          <w:p>
            <w:pPr>
              <w:jc w:val="right"/>
              <w:spacing w:after="0" w:line="123" w:lineRule="exact"/>
              <w:rPr>
                <w:sz w:val="20"/>
                <w:szCs w:val="20"/>
                <w:color w:val="auto"/>
              </w:rPr>
            </w:pPr>
            <w:r>
              <w:rPr>
                <w:rFonts w:ascii="Times New Roman" w:cs="Times New Roman" w:eastAsia="Times New Roman" w:hAnsi="Times New Roman"/>
                <w:sz w:val="12"/>
                <w:szCs w:val="12"/>
                <w:color w:val="FFFFFF"/>
                <w:w w:val="97"/>
              </w:rPr>
              <w:t>December 31,</w:t>
            </w:r>
          </w:p>
        </w:tc>
        <w:tc>
          <w:tcPr>
            <w:tcW w:w="680" w:type="dxa"/>
            <w:vAlign w:val="bottom"/>
            <w:vMerge w:val="continue"/>
            <w:shd w:val="clear" w:color="auto" w:fill="2E74B5"/>
          </w:tcPr>
          <w:p>
            <w:pPr>
              <w:spacing w:after="0"/>
              <w:rPr>
                <w:sz w:val="10"/>
                <w:szCs w:val="10"/>
                <w:color w:val="auto"/>
              </w:rPr>
            </w:pPr>
          </w:p>
        </w:tc>
        <w:tc>
          <w:tcPr>
            <w:tcW w:w="680" w:type="dxa"/>
            <w:vAlign w:val="bottom"/>
            <w:shd w:val="clear" w:color="auto" w:fill="2E74B5"/>
          </w:tcPr>
          <w:p>
            <w:pPr>
              <w:jc w:val="center"/>
              <w:spacing w:after="0" w:line="123" w:lineRule="exact"/>
              <w:rPr>
                <w:sz w:val="20"/>
                <w:szCs w:val="20"/>
                <w:color w:val="auto"/>
              </w:rPr>
            </w:pPr>
            <w:r>
              <w:rPr>
                <w:rFonts w:ascii="Times New Roman" w:cs="Times New Roman" w:eastAsia="Times New Roman" w:hAnsi="Times New Roman"/>
                <w:sz w:val="12"/>
                <w:szCs w:val="12"/>
                <w:color w:val="FFFFFF"/>
              </w:rPr>
              <w:t>December 31,</w:t>
            </w:r>
          </w:p>
        </w:tc>
        <w:tc>
          <w:tcPr>
            <w:tcW w:w="720" w:type="dxa"/>
            <w:vAlign w:val="bottom"/>
            <w:vMerge w:val="continue"/>
            <w:shd w:val="clear" w:color="auto" w:fill="2E74B5"/>
          </w:tcPr>
          <w:p>
            <w:pPr>
              <w:spacing w:after="0"/>
              <w:rPr>
                <w:sz w:val="10"/>
                <w:szCs w:val="10"/>
                <w:color w:val="auto"/>
              </w:rPr>
            </w:pPr>
          </w:p>
        </w:tc>
        <w:tc>
          <w:tcPr>
            <w:tcW w:w="780" w:type="dxa"/>
            <w:vAlign w:val="bottom"/>
            <w:shd w:val="clear" w:color="auto" w:fill="2E74B5"/>
          </w:tcPr>
          <w:p>
            <w:pPr>
              <w:jc w:val="center"/>
              <w:spacing w:after="0" w:line="123" w:lineRule="exact"/>
              <w:rPr>
                <w:sz w:val="20"/>
                <w:szCs w:val="20"/>
                <w:color w:val="auto"/>
              </w:rPr>
            </w:pPr>
            <w:r>
              <w:rPr>
                <w:rFonts w:ascii="Times New Roman" w:cs="Times New Roman" w:eastAsia="Times New Roman" w:hAnsi="Times New Roman"/>
                <w:sz w:val="12"/>
                <w:szCs w:val="12"/>
                <w:color w:val="FFFFFF"/>
                <w:w w:val="94"/>
              </w:rPr>
              <w:t>Year</w:t>
            </w:r>
          </w:p>
        </w:tc>
        <w:tc>
          <w:tcPr>
            <w:tcW w:w="680" w:type="dxa"/>
            <w:vAlign w:val="bottom"/>
            <w:shd w:val="clear" w:color="auto" w:fill="2E74B5"/>
          </w:tcPr>
          <w:p>
            <w:pPr>
              <w:jc w:val="center"/>
              <w:spacing w:after="0" w:line="123" w:lineRule="exact"/>
              <w:rPr>
                <w:sz w:val="20"/>
                <w:szCs w:val="20"/>
                <w:color w:val="auto"/>
              </w:rPr>
            </w:pPr>
            <w:r>
              <w:rPr>
                <w:rFonts w:ascii="Times New Roman" w:cs="Times New Roman" w:eastAsia="Times New Roman" w:hAnsi="Times New Roman"/>
                <w:sz w:val="12"/>
                <w:szCs w:val="12"/>
                <w:color w:val="FFFFFF"/>
                <w:w w:val="99"/>
              </w:rPr>
              <w:t>%*</w:t>
            </w:r>
          </w:p>
        </w:tc>
        <w:tc>
          <w:tcPr>
            <w:tcW w:w="0" w:type="dxa"/>
            <w:vAlign w:val="bottom"/>
          </w:tcPr>
          <w:p>
            <w:pPr>
              <w:spacing w:after="0"/>
              <w:rPr>
                <w:sz w:val="1"/>
                <w:szCs w:val="1"/>
                <w:color w:val="auto"/>
              </w:rPr>
            </w:pPr>
          </w:p>
        </w:tc>
      </w:tr>
      <w:tr>
        <w:trPr>
          <w:trHeight w:val="160"/>
        </w:trPr>
        <w:tc>
          <w:tcPr>
            <w:tcW w:w="1580" w:type="dxa"/>
            <w:vAlign w:val="bottom"/>
            <w:tcBorders>
              <w:right w:val="single" w:sz="8" w:color="2E74B5"/>
            </w:tcBorders>
            <w:shd w:val="clear" w:color="auto" w:fill="2E74B5"/>
          </w:tcPr>
          <w:p>
            <w:pPr>
              <w:spacing w:after="0"/>
              <w:rPr>
                <w:sz w:val="13"/>
                <w:szCs w:val="13"/>
                <w:color w:val="auto"/>
              </w:rPr>
            </w:pPr>
          </w:p>
        </w:tc>
        <w:tc>
          <w:tcPr>
            <w:tcW w:w="440" w:type="dxa"/>
            <w:vAlign w:val="bottom"/>
            <w:vMerge w:val="restart"/>
            <w:shd w:val="clear" w:color="auto" w:fill="2E74B5"/>
          </w:tcPr>
          <w:p>
            <w:pPr>
              <w:jc w:val="center"/>
              <w:ind w:left="100"/>
              <w:spacing w:after="0"/>
              <w:rPr>
                <w:sz w:val="20"/>
                <w:szCs w:val="20"/>
                <w:color w:val="auto"/>
              </w:rPr>
            </w:pPr>
            <w:r>
              <w:rPr>
                <w:rFonts w:ascii="Times New Roman" w:cs="Times New Roman" w:eastAsia="Times New Roman" w:hAnsi="Times New Roman"/>
                <w:sz w:val="12"/>
                <w:szCs w:val="12"/>
                <w:b w:val="1"/>
                <w:bCs w:val="1"/>
                <w:color w:val="FFFFFF"/>
                <w:w w:val="99"/>
              </w:rPr>
              <w:t>2025</w:t>
            </w:r>
          </w:p>
        </w:tc>
        <w:tc>
          <w:tcPr>
            <w:tcW w:w="760" w:type="dxa"/>
            <w:vAlign w:val="bottom"/>
            <w:vMerge w:val="restart"/>
            <w:shd w:val="clear" w:color="auto" w:fill="2E74B5"/>
          </w:tcPr>
          <w:p>
            <w:pPr>
              <w:jc w:val="center"/>
              <w:ind w:left="20"/>
              <w:spacing w:after="0"/>
              <w:rPr>
                <w:sz w:val="20"/>
                <w:szCs w:val="20"/>
                <w:color w:val="auto"/>
              </w:rPr>
            </w:pPr>
            <w:r>
              <w:rPr>
                <w:rFonts w:ascii="Times New Roman" w:cs="Times New Roman" w:eastAsia="Times New Roman" w:hAnsi="Times New Roman"/>
                <w:sz w:val="12"/>
                <w:szCs w:val="12"/>
                <w:b w:val="1"/>
                <w:bCs w:val="1"/>
                <w:color w:val="FFFFFF"/>
                <w:w w:val="99"/>
              </w:rPr>
              <w:t>2026</w:t>
            </w:r>
          </w:p>
        </w:tc>
        <w:tc>
          <w:tcPr>
            <w:tcW w:w="540" w:type="dxa"/>
            <w:vAlign w:val="bottom"/>
            <w:tcBorders>
              <w:right w:val="single" w:sz="8" w:color="2E74B5"/>
            </w:tcBorders>
            <w:vMerge w:val="restart"/>
            <w:shd w:val="clear" w:color="auto" w:fill="2E74B5"/>
          </w:tcPr>
          <w:p>
            <w:pPr>
              <w:jc w:val="right"/>
              <w:ind w:right="120"/>
              <w:spacing w:after="0"/>
              <w:rPr>
                <w:sz w:val="20"/>
                <w:szCs w:val="20"/>
                <w:color w:val="auto"/>
              </w:rPr>
            </w:pPr>
            <w:r>
              <w:rPr>
                <w:rFonts w:ascii="Times New Roman" w:cs="Times New Roman" w:eastAsia="Times New Roman" w:hAnsi="Times New Roman"/>
                <w:sz w:val="12"/>
                <w:szCs w:val="12"/>
                <w:b w:val="1"/>
                <w:bCs w:val="1"/>
                <w:color w:val="FFFFFF"/>
              </w:rPr>
              <w:t>2027</w:t>
            </w:r>
          </w:p>
        </w:tc>
        <w:tc>
          <w:tcPr>
            <w:tcW w:w="640" w:type="dxa"/>
            <w:vAlign w:val="bottom"/>
            <w:tcBorders>
              <w:right w:val="single" w:sz="8" w:color="2E74B5"/>
            </w:tcBorders>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Project Cost</w:t>
            </w:r>
          </w:p>
        </w:tc>
        <w:tc>
          <w:tcPr>
            <w:tcW w:w="5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Qualifying</w:t>
            </w:r>
          </w:p>
        </w:tc>
        <w:tc>
          <w:tcPr>
            <w:tcW w:w="1180" w:type="dxa"/>
            <w:vAlign w:val="bottom"/>
            <w:tcBorders>
              <w:right w:val="single" w:sz="8" w:color="2E74B5"/>
            </w:tcBorders>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Adders*****</w:t>
            </w:r>
          </w:p>
        </w:tc>
        <w:tc>
          <w:tcPr>
            <w:tcW w:w="72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Benefit***</w:t>
            </w:r>
          </w:p>
        </w:tc>
        <w:tc>
          <w:tcPr>
            <w:tcW w:w="64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rPr>
              <w:t>benefit</w:t>
            </w:r>
          </w:p>
        </w:tc>
        <w:tc>
          <w:tcPr>
            <w:tcW w:w="6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6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8"/>
              </w:rPr>
              <w:t>Required (%)</w:t>
            </w:r>
          </w:p>
        </w:tc>
        <w:tc>
          <w:tcPr>
            <w:tcW w:w="6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2024</w:t>
            </w:r>
          </w:p>
        </w:tc>
        <w:tc>
          <w:tcPr>
            <w:tcW w:w="720" w:type="dxa"/>
            <w:vAlign w:val="bottom"/>
            <w:shd w:val="clear" w:color="auto" w:fill="2E74B5"/>
          </w:tcPr>
          <w:p>
            <w:pPr>
              <w:ind w:left="20"/>
              <w:spacing w:after="0"/>
              <w:rPr>
                <w:sz w:val="20"/>
                <w:szCs w:val="20"/>
                <w:color w:val="auto"/>
              </w:rPr>
            </w:pPr>
            <w:r>
              <w:rPr>
                <w:rFonts w:ascii="Times New Roman" w:cs="Times New Roman" w:eastAsia="Times New Roman" w:hAnsi="Times New Roman"/>
                <w:sz w:val="12"/>
                <w:szCs w:val="12"/>
                <w:color w:val="FFFFFF"/>
                <w:w w:val="99"/>
              </w:rPr>
              <w:t>Year Revenue</w:t>
            </w:r>
          </w:p>
        </w:tc>
        <w:tc>
          <w:tcPr>
            <w:tcW w:w="780" w:type="dxa"/>
            <w:vAlign w:val="bottom"/>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EBITDA****</w:t>
            </w:r>
          </w:p>
        </w:tc>
        <w:tc>
          <w:tcPr>
            <w:tcW w:w="680" w:type="dxa"/>
            <w:vAlign w:val="bottom"/>
            <w:shd w:val="clear" w:color="auto" w:fill="2E74B5"/>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580" w:type="dxa"/>
            <w:vAlign w:val="bottom"/>
            <w:tcBorders>
              <w:right w:val="single" w:sz="8" w:color="2E74B5"/>
            </w:tcBorders>
            <w:shd w:val="clear" w:color="auto" w:fill="2E74B5"/>
          </w:tcPr>
          <w:p>
            <w:pPr>
              <w:spacing w:after="0"/>
              <w:rPr>
                <w:sz w:val="6"/>
                <w:szCs w:val="6"/>
                <w:color w:val="auto"/>
              </w:rPr>
            </w:pPr>
          </w:p>
        </w:tc>
        <w:tc>
          <w:tcPr>
            <w:tcW w:w="440" w:type="dxa"/>
            <w:vAlign w:val="bottom"/>
            <w:vMerge w:val="continue"/>
            <w:shd w:val="clear" w:color="auto" w:fill="2E74B5"/>
          </w:tcPr>
          <w:p>
            <w:pPr>
              <w:spacing w:after="0"/>
              <w:rPr>
                <w:sz w:val="6"/>
                <w:szCs w:val="6"/>
                <w:color w:val="auto"/>
              </w:rPr>
            </w:pPr>
          </w:p>
        </w:tc>
        <w:tc>
          <w:tcPr>
            <w:tcW w:w="760" w:type="dxa"/>
            <w:vAlign w:val="bottom"/>
            <w:vMerge w:val="continue"/>
            <w:shd w:val="clear" w:color="auto" w:fill="2E74B5"/>
          </w:tcPr>
          <w:p>
            <w:pPr>
              <w:spacing w:after="0"/>
              <w:rPr>
                <w:sz w:val="6"/>
                <w:szCs w:val="6"/>
                <w:color w:val="auto"/>
              </w:rPr>
            </w:pPr>
          </w:p>
        </w:tc>
        <w:tc>
          <w:tcPr>
            <w:tcW w:w="540" w:type="dxa"/>
            <w:vAlign w:val="bottom"/>
            <w:tcBorders>
              <w:right w:val="single" w:sz="8" w:color="2E74B5"/>
            </w:tcBorders>
            <w:vMerge w:val="continue"/>
            <w:shd w:val="clear" w:color="auto" w:fill="2E74B5"/>
          </w:tcPr>
          <w:p>
            <w:pPr>
              <w:spacing w:after="0"/>
              <w:rPr>
                <w:sz w:val="6"/>
                <w:szCs w:val="6"/>
                <w:color w:val="auto"/>
              </w:rPr>
            </w:pPr>
          </w:p>
        </w:tc>
        <w:tc>
          <w:tcPr>
            <w:tcW w:w="640" w:type="dxa"/>
            <w:vAlign w:val="bottom"/>
            <w:tcBorders>
              <w:right w:val="single" w:sz="8" w:color="2E74B5"/>
            </w:tcBorders>
            <w:shd w:val="clear" w:color="auto" w:fill="2E74B5"/>
          </w:tcPr>
          <w:p>
            <w:pPr>
              <w:spacing w:after="0"/>
              <w:rPr>
                <w:sz w:val="6"/>
                <w:szCs w:val="6"/>
                <w:color w:val="auto"/>
              </w:rPr>
            </w:pPr>
          </w:p>
        </w:tc>
        <w:tc>
          <w:tcPr>
            <w:tcW w:w="580" w:type="dxa"/>
            <w:vAlign w:val="bottom"/>
            <w:vMerge w:val="restart"/>
            <w:shd w:val="clear" w:color="auto" w:fill="2E74B5"/>
          </w:tcPr>
          <w:p>
            <w:pPr>
              <w:jc w:val="center"/>
              <w:spacing w:after="0"/>
              <w:rPr>
                <w:sz w:val="20"/>
                <w:szCs w:val="20"/>
                <w:color w:val="auto"/>
              </w:rPr>
            </w:pPr>
            <w:r>
              <w:rPr>
                <w:rFonts w:ascii="Times New Roman" w:cs="Times New Roman" w:eastAsia="Times New Roman" w:hAnsi="Times New Roman"/>
                <w:sz w:val="12"/>
                <w:szCs w:val="12"/>
                <w:color w:val="FFFFFF"/>
                <w:w w:val="99"/>
              </w:rPr>
              <w:t>Category</w:t>
            </w:r>
          </w:p>
        </w:tc>
        <w:tc>
          <w:tcPr>
            <w:tcW w:w="1180" w:type="dxa"/>
            <w:vAlign w:val="bottom"/>
            <w:tcBorders>
              <w:right w:val="single" w:sz="8" w:color="2E74B5"/>
            </w:tcBorders>
            <w:vMerge w:val="continue"/>
            <w:shd w:val="clear" w:color="auto" w:fill="2E74B5"/>
          </w:tcPr>
          <w:p>
            <w:pPr>
              <w:spacing w:after="0"/>
              <w:rPr>
                <w:sz w:val="6"/>
                <w:szCs w:val="6"/>
                <w:color w:val="auto"/>
              </w:rPr>
            </w:pPr>
          </w:p>
        </w:tc>
        <w:tc>
          <w:tcPr>
            <w:tcW w:w="720" w:type="dxa"/>
            <w:vAlign w:val="bottom"/>
            <w:shd w:val="clear" w:color="auto" w:fill="2E74B5"/>
          </w:tcPr>
          <w:p>
            <w:pPr>
              <w:spacing w:after="0"/>
              <w:rPr>
                <w:sz w:val="6"/>
                <w:szCs w:val="6"/>
                <w:color w:val="auto"/>
              </w:rPr>
            </w:pPr>
          </w:p>
        </w:tc>
        <w:tc>
          <w:tcPr>
            <w:tcW w:w="640" w:type="dxa"/>
            <w:vAlign w:val="bottom"/>
            <w:shd w:val="clear" w:color="auto" w:fill="2E74B5"/>
          </w:tcPr>
          <w:p>
            <w:pPr>
              <w:spacing w:after="0"/>
              <w:rPr>
                <w:sz w:val="6"/>
                <w:szCs w:val="6"/>
                <w:color w:val="auto"/>
              </w:rPr>
            </w:pPr>
          </w:p>
        </w:tc>
        <w:tc>
          <w:tcPr>
            <w:tcW w:w="680" w:type="dxa"/>
            <w:vAlign w:val="bottom"/>
            <w:shd w:val="clear" w:color="auto" w:fill="2E74B5"/>
          </w:tcPr>
          <w:p>
            <w:pPr>
              <w:spacing w:after="0"/>
              <w:rPr>
                <w:sz w:val="6"/>
                <w:szCs w:val="6"/>
                <w:color w:val="auto"/>
              </w:rPr>
            </w:pPr>
          </w:p>
        </w:tc>
        <w:tc>
          <w:tcPr>
            <w:tcW w:w="680" w:type="dxa"/>
            <w:vAlign w:val="bottom"/>
            <w:shd w:val="clear" w:color="auto" w:fill="2E74B5"/>
          </w:tcPr>
          <w:p>
            <w:pPr>
              <w:spacing w:after="0"/>
              <w:rPr>
                <w:sz w:val="6"/>
                <w:szCs w:val="6"/>
                <w:color w:val="auto"/>
              </w:rPr>
            </w:pPr>
          </w:p>
        </w:tc>
        <w:tc>
          <w:tcPr>
            <w:tcW w:w="680" w:type="dxa"/>
            <w:vAlign w:val="bottom"/>
            <w:shd w:val="clear" w:color="auto" w:fill="2E74B5"/>
          </w:tcPr>
          <w:p>
            <w:pPr>
              <w:spacing w:after="0"/>
              <w:rPr>
                <w:sz w:val="6"/>
                <w:szCs w:val="6"/>
                <w:color w:val="auto"/>
              </w:rPr>
            </w:pPr>
          </w:p>
        </w:tc>
        <w:tc>
          <w:tcPr>
            <w:tcW w:w="720" w:type="dxa"/>
            <w:vAlign w:val="bottom"/>
            <w:shd w:val="clear" w:color="auto" w:fill="2E74B5"/>
          </w:tcPr>
          <w:p>
            <w:pPr>
              <w:spacing w:after="0"/>
              <w:rPr>
                <w:sz w:val="6"/>
                <w:szCs w:val="6"/>
                <w:color w:val="auto"/>
              </w:rPr>
            </w:pPr>
          </w:p>
        </w:tc>
        <w:tc>
          <w:tcPr>
            <w:tcW w:w="780" w:type="dxa"/>
            <w:vAlign w:val="bottom"/>
            <w:shd w:val="clear" w:color="auto" w:fill="2E74B5"/>
          </w:tcPr>
          <w:p>
            <w:pPr>
              <w:spacing w:after="0"/>
              <w:rPr>
                <w:sz w:val="6"/>
                <w:szCs w:val="6"/>
                <w:color w:val="auto"/>
              </w:rPr>
            </w:pPr>
          </w:p>
        </w:tc>
        <w:tc>
          <w:tcPr>
            <w:tcW w:w="680" w:type="dxa"/>
            <w:vAlign w:val="bottom"/>
            <w:shd w:val="clear" w:color="auto" w:fill="2E74B5"/>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580" w:type="dxa"/>
            <w:vAlign w:val="bottom"/>
            <w:tcBorders>
              <w:bottom w:val="single" w:sz="8" w:color="2E74B5"/>
              <w:right w:val="single" w:sz="8" w:color="2E74B5"/>
            </w:tcBorders>
            <w:shd w:val="clear" w:color="auto" w:fill="2E74B5"/>
          </w:tcPr>
          <w:p>
            <w:pPr>
              <w:spacing w:after="0"/>
              <w:rPr>
                <w:sz w:val="7"/>
                <w:szCs w:val="7"/>
                <w:color w:val="auto"/>
              </w:rPr>
            </w:pPr>
          </w:p>
        </w:tc>
        <w:tc>
          <w:tcPr>
            <w:tcW w:w="440" w:type="dxa"/>
            <w:vAlign w:val="bottom"/>
            <w:tcBorders>
              <w:bottom w:val="single" w:sz="8" w:color="2E74B5"/>
            </w:tcBorders>
            <w:shd w:val="clear" w:color="auto" w:fill="2E74B5"/>
          </w:tcPr>
          <w:p>
            <w:pPr>
              <w:spacing w:after="0"/>
              <w:rPr>
                <w:sz w:val="7"/>
                <w:szCs w:val="7"/>
                <w:color w:val="auto"/>
              </w:rPr>
            </w:pPr>
          </w:p>
        </w:tc>
        <w:tc>
          <w:tcPr>
            <w:tcW w:w="760" w:type="dxa"/>
            <w:vAlign w:val="bottom"/>
            <w:tcBorders>
              <w:bottom w:val="single" w:sz="8" w:color="2E74B5"/>
            </w:tcBorders>
            <w:shd w:val="clear" w:color="auto" w:fill="2E74B5"/>
          </w:tcPr>
          <w:p>
            <w:pPr>
              <w:spacing w:after="0"/>
              <w:rPr>
                <w:sz w:val="7"/>
                <w:szCs w:val="7"/>
                <w:color w:val="auto"/>
              </w:rPr>
            </w:pPr>
          </w:p>
        </w:tc>
        <w:tc>
          <w:tcPr>
            <w:tcW w:w="540" w:type="dxa"/>
            <w:vAlign w:val="bottom"/>
            <w:tcBorders>
              <w:bottom w:val="single" w:sz="8" w:color="2E74B5"/>
              <w:right w:val="single" w:sz="8" w:color="2E74B5"/>
            </w:tcBorders>
            <w:shd w:val="clear" w:color="auto" w:fill="2E74B5"/>
          </w:tcPr>
          <w:p>
            <w:pPr>
              <w:spacing w:after="0"/>
              <w:rPr>
                <w:sz w:val="7"/>
                <w:szCs w:val="7"/>
                <w:color w:val="auto"/>
              </w:rPr>
            </w:pPr>
          </w:p>
        </w:tc>
        <w:tc>
          <w:tcPr>
            <w:tcW w:w="640" w:type="dxa"/>
            <w:vAlign w:val="bottom"/>
            <w:tcBorders>
              <w:bottom w:val="single" w:sz="8" w:color="2E74B5"/>
              <w:right w:val="single" w:sz="8" w:color="2E74B5"/>
            </w:tcBorders>
            <w:shd w:val="clear" w:color="auto" w:fill="2E74B5"/>
          </w:tcPr>
          <w:p>
            <w:pPr>
              <w:spacing w:after="0"/>
              <w:rPr>
                <w:sz w:val="7"/>
                <w:szCs w:val="7"/>
                <w:color w:val="auto"/>
              </w:rPr>
            </w:pPr>
          </w:p>
        </w:tc>
        <w:tc>
          <w:tcPr>
            <w:tcW w:w="580" w:type="dxa"/>
            <w:vAlign w:val="bottom"/>
            <w:tcBorders>
              <w:bottom w:val="single" w:sz="8" w:color="2E74B5"/>
            </w:tcBorders>
            <w:vMerge w:val="continue"/>
            <w:shd w:val="clear" w:color="auto" w:fill="2E74B5"/>
          </w:tcPr>
          <w:p>
            <w:pPr>
              <w:spacing w:after="0"/>
              <w:rPr>
                <w:sz w:val="7"/>
                <w:szCs w:val="7"/>
                <w:color w:val="auto"/>
              </w:rPr>
            </w:pPr>
          </w:p>
        </w:tc>
        <w:tc>
          <w:tcPr>
            <w:tcW w:w="1180" w:type="dxa"/>
            <w:vAlign w:val="bottom"/>
            <w:tcBorders>
              <w:bottom w:val="single" w:sz="8" w:color="2E74B5"/>
              <w:right w:val="single" w:sz="8" w:color="2E74B5"/>
            </w:tcBorders>
            <w:shd w:val="clear" w:color="auto" w:fill="2E74B5"/>
          </w:tcPr>
          <w:p>
            <w:pPr>
              <w:spacing w:after="0"/>
              <w:rPr>
                <w:sz w:val="7"/>
                <w:szCs w:val="7"/>
                <w:color w:val="auto"/>
              </w:rPr>
            </w:pPr>
          </w:p>
        </w:tc>
        <w:tc>
          <w:tcPr>
            <w:tcW w:w="720" w:type="dxa"/>
            <w:vAlign w:val="bottom"/>
            <w:tcBorders>
              <w:bottom w:val="single" w:sz="8" w:color="2E74B5"/>
            </w:tcBorders>
            <w:shd w:val="clear" w:color="auto" w:fill="2E74B5"/>
          </w:tcPr>
          <w:p>
            <w:pPr>
              <w:spacing w:after="0"/>
              <w:rPr>
                <w:sz w:val="7"/>
                <w:szCs w:val="7"/>
                <w:color w:val="auto"/>
              </w:rPr>
            </w:pPr>
          </w:p>
        </w:tc>
        <w:tc>
          <w:tcPr>
            <w:tcW w:w="640" w:type="dxa"/>
            <w:vAlign w:val="bottom"/>
            <w:tcBorders>
              <w:bottom w:val="single" w:sz="8" w:color="2E74B5"/>
            </w:tcBorders>
            <w:shd w:val="clear" w:color="auto" w:fill="2E74B5"/>
          </w:tcPr>
          <w:p>
            <w:pPr>
              <w:spacing w:after="0"/>
              <w:rPr>
                <w:sz w:val="7"/>
                <w:szCs w:val="7"/>
                <w:color w:val="auto"/>
              </w:rPr>
            </w:pPr>
          </w:p>
        </w:tc>
        <w:tc>
          <w:tcPr>
            <w:tcW w:w="680" w:type="dxa"/>
            <w:vAlign w:val="bottom"/>
            <w:tcBorders>
              <w:bottom w:val="single" w:sz="8" w:color="2E74B5"/>
            </w:tcBorders>
            <w:shd w:val="clear" w:color="auto" w:fill="2E74B5"/>
          </w:tcPr>
          <w:p>
            <w:pPr>
              <w:spacing w:after="0"/>
              <w:rPr>
                <w:sz w:val="7"/>
                <w:szCs w:val="7"/>
                <w:color w:val="auto"/>
              </w:rPr>
            </w:pPr>
          </w:p>
        </w:tc>
        <w:tc>
          <w:tcPr>
            <w:tcW w:w="680" w:type="dxa"/>
            <w:vAlign w:val="bottom"/>
            <w:tcBorders>
              <w:bottom w:val="single" w:sz="8" w:color="2E74B5"/>
            </w:tcBorders>
            <w:shd w:val="clear" w:color="auto" w:fill="2E74B5"/>
          </w:tcPr>
          <w:p>
            <w:pPr>
              <w:spacing w:after="0"/>
              <w:rPr>
                <w:sz w:val="7"/>
                <w:szCs w:val="7"/>
                <w:color w:val="auto"/>
              </w:rPr>
            </w:pPr>
          </w:p>
        </w:tc>
        <w:tc>
          <w:tcPr>
            <w:tcW w:w="680" w:type="dxa"/>
            <w:vAlign w:val="bottom"/>
            <w:tcBorders>
              <w:bottom w:val="single" w:sz="8" w:color="2E74B5"/>
            </w:tcBorders>
            <w:shd w:val="clear" w:color="auto" w:fill="2E74B5"/>
          </w:tcPr>
          <w:p>
            <w:pPr>
              <w:spacing w:after="0"/>
              <w:rPr>
                <w:sz w:val="7"/>
                <w:szCs w:val="7"/>
                <w:color w:val="auto"/>
              </w:rPr>
            </w:pPr>
          </w:p>
        </w:tc>
        <w:tc>
          <w:tcPr>
            <w:tcW w:w="720" w:type="dxa"/>
            <w:vAlign w:val="bottom"/>
            <w:tcBorders>
              <w:bottom w:val="single" w:sz="8" w:color="2E74B5"/>
            </w:tcBorders>
            <w:shd w:val="clear" w:color="auto" w:fill="2E74B5"/>
          </w:tcPr>
          <w:p>
            <w:pPr>
              <w:spacing w:after="0"/>
              <w:rPr>
                <w:sz w:val="7"/>
                <w:szCs w:val="7"/>
                <w:color w:val="auto"/>
              </w:rPr>
            </w:pPr>
          </w:p>
        </w:tc>
        <w:tc>
          <w:tcPr>
            <w:tcW w:w="780" w:type="dxa"/>
            <w:vAlign w:val="bottom"/>
            <w:tcBorders>
              <w:bottom w:val="single" w:sz="8" w:color="2E74B5"/>
            </w:tcBorders>
            <w:shd w:val="clear" w:color="auto" w:fill="2E74B5"/>
          </w:tcPr>
          <w:p>
            <w:pPr>
              <w:spacing w:after="0"/>
              <w:rPr>
                <w:sz w:val="7"/>
                <w:szCs w:val="7"/>
                <w:color w:val="auto"/>
              </w:rPr>
            </w:pPr>
          </w:p>
        </w:tc>
        <w:tc>
          <w:tcPr>
            <w:tcW w:w="680" w:type="dxa"/>
            <w:vAlign w:val="bottom"/>
            <w:tcBorders>
              <w:bottom w:val="single" w:sz="8" w:color="2E74B5"/>
            </w:tcBorders>
            <w:shd w:val="clear" w:color="auto" w:fill="2E74B5"/>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United States*******</w:t>
            </w:r>
          </w:p>
        </w:tc>
        <w:tc>
          <w:tcPr>
            <w:tcW w:w="4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color w:val="auto"/>
                <w:w w:val="98"/>
              </w:rPr>
              <w:t>-</w:t>
            </w:r>
          </w:p>
        </w:tc>
        <w:tc>
          <w:tcPr>
            <w:tcW w:w="7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8"/>
              </w:rPr>
              <w:t>-</w:t>
            </w:r>
          </w:p>
        </w:tc>
        <w:tc>
          <w:tcPr>
            <w:tcW w:w="54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6"/>
              </w:rPr>
              <w:t>688/400</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1,162-1,222</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ITC</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DC (10%) &amp; EC (10%)</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512-538</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650-684</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10%-20%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85-88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68-71</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Europe</w:t>
            </w:r>
          </w:p>
        </w:tc>
        <w:tc>
          <w:tcPr>
            <w:tcW w:w="4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color w:val="auto"/>
                <w:w w:val="98"/>
              </w:rPr>
              <w:t>-</w:t>
            </w:r>
          </w:p>
        </w:tc>
        <w:tc>
          <w:tcPr>
            <w:tcW w:w="7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rPr>
              <w:t>0/96</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22-24</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22-24</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25%-35%</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5-6</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51"/>
        </w:trPr>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MENA</w:t>
            </w:r>
          </w:p>
        </w:tc>
        <w:tc>
          <w:tcPr>
            <w:tcW w:w="44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color w:val="auto"/>
              </w:rPr>
              <w:t>15/0</w:t>
            </w:r>
          </w:p>
        </w:tc>
        <w:tc>
          <w:tcPr>
            <w:tcW w:w="7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rPr>
              <w:t>0/51</w:t>
            </w:r>
          </w:p>
        </w:tc>
        <w:tc>
          <w:tcPr>
            <w:tcW w:w="54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rPr>
              <w:t>38/0</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91-94</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91-94</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25%-35%</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89%</w:t>
            </w:r>
          </w:p>
        </w:tc>
        <w:tc>
          <w:tcPr>
            <w:tcW w:w="0" w:type="dxa"/>
            <w:vAlign w:val="bottom"/>
          </w:tcPr>
          <w:p>
            <w:pPr>
              <w:spacing w:after="0"/>
              <w:rPr>
                <w:sz w:val="1"/>
                <w:szCs w:val="1"/>
                <w:color w:val="auto"/>
              </w:rPr>
            </w:pPr>
          </w:p>
        </w:tc>
      </w:tr>
      <w:tr>
        <w:trPr>
          <w:trHeight w:val="151"/>
        </w:trPr>
        <w:tc>
          <w:tcPr>
            <w:tcW w:w="158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Total Consolidated Projects</w:t>
            </w:r>
          </w:p>
        </w:tc>
        <w:tc>
          <w:tcPr>
            <w:tcW w:w="440" w:type="dxa"/>
            <w:vAlign w:val="bottom"/>
            <w:tcBorders>
              <w:bottom w:val="single" w:sz="8" w:color="auto"/>
            </w:tcBorders>
            <w:shd w:val="clear" w:color="auto" w:fill="BDD6EE"/>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15/0</w:t>
            </w:r>
          </w:p>
        </w:tc>
        <w:tc>
          <w:tcPr>
            <w:tcW w:w="760" w:type="dxa"/>
            <w:vAlign w:val="bottom"/>
            <w:tcBorders>
              <w:bottom w:val="single" w:sz="8" w:color="auto"/>
            </w:tcBorders>
            <w:shd w:val="clear" w:color="auto" w:fill="BDD6EE"/>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0/148</w:t>
            </w:r>
          </w:p>
        </w:tc>
        <w:tc>
          <w:tcPr>
            <w:tcW w:w="540" w:type="dxa"/>
            <w:vAlign w:val="bottom"/>
            <w:tcBorders>
              <w:bottom w:val="single" w:sz="8" w:color="auto"/>
              <w:right w:val="single" w:sz="8" w:color="auto"/>
            </w:tcBorders>
            <w:shd w:val="clear" w:color="auto" w:fill="BDD6EE"/>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726/400</w:t>
            </w:r>
          </w:p>
        </w:tc>
        <w:tc>
          <w:tcPr>
            <w:tcW w:w="640" w:type="dxa"/>
            <w:vAlign w:val="bottom"/>
            <w:tcBorders>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1,275-1,340</w:t>
            </w:r>
          </w:p>
        </w:tc>
        <w:tc>
          <w:tcPr>
            <w:tcW w:w="580" w:type="dxa"/>
            <w:vAlign w:val="bottom"/>
            <w:tcBorders>
              <w:bottom w:val="single" w:sz="8" w:color="auto"/>
            </w:tcBorders>
            <w:shd w:val="clear" w:color="auto" w:fill="BDD6EE"/>
          </w:tcPr>
          <w:p>
            <w:pPr>
              <w:spacing w:after="0"/>
              <w:rPr>
                <w:sz w:val="13"/>
                <w:szCs w:val="13"/>
                <w:color w:val="auto"/>
              </w:rPr>
            </w:pPr>
          </w:p>
        </w:tc>
        <w:tc>
          <w:tcPr>
            <w:tcW w:w="1180" w:type="dxa"/>
            <w:vAlign w:val="bottom"/>
            <w:tcBorders>
              <w:bottom w:val="single" w:sz="8" w:color="auto"/>
              <w:right w:val="single" w:sz="8" w:color="auto"/>
            </w:tcBorders>
            <w:shd w:val="clear" w:color="auto" w:fill="BDD6EE"/>
          </w:tcPr>
          <w:p>
            <w:pPr>
              <w:spacing w:after="0"/>
              <w:rPr>
                <w:sz w:val="13"/>
                <w:szCs w:val="13"/>
                <w:color w:val="auto"/>
              </w:rPr>
            </w:pPr>
          </w:p>
        </w:tc>
        <w:tc>
          <w:tcPr>
            <w:tcW w:w="7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512-538</w:t>
            </w:r>
          </w:p>
        </w:tc>
        <w:tc>
          <w:tcPr>
            <w:tcW w:w="64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763-802</w:t>
            </w:r>
          </w:p>
        </w:tc>
        <w:tc>
          <w:tcPr>
            <w:tcW w:w="6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52</w:t>
            </w:r>
          </w:p>
        </w:tc>
        <w:tc>
          <w:tcPr>
            <w:tcW w:w="680" w:type="dxa"/>
            <w:vAlign w:val="bottom"/>
            <w:tcBorders>
              <w:bottom w:val="single" w:sz="8" w:color="auto"/>
            </w:tcBorders>
            <w:shd w:val="clear" w:color="auto" w:fill="BDD6EE"/>
          </w:tcPr>
          <w:p>
            <w:pPr>
              <w:spacing w:after="0"/>
              <w:rPr>
                <w:sz w:val="13"/>
                <w:szCs w:val="13"/>
                <w:color w:val="auto"/>
              </w:rPr>
            </w:pPr>
          </w:p>
        </w:tc>
        <w:tc>
          <w:tcPr>
            <w:tcW w:w="6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52</w:t>
            </w:r>
          </w:p>
        </w:tc>
        <w:tc>
          <w:tcPr>
            <w:tcW w:w="72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103-106</w:t>
            </w:r>
          </w:p>
        </w:tc>
        <w:tc>
          <w:tcPr>
            <w:tcW w:w="78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81-85</w:t>
            </w:r>
          </w:p>
        </w:tc>
        <w:tc>
          <w:tcPr>
            <w:tcW w:w="680" w:type="dxa"/>
            <w:vAlign w:val="bottom"/>
            <w:tcBorders>
              <w:bottom w:val="single" w:sz="8" w:color="auto"/>
            </w:tcBorders>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Unconsolidated Projects at share</w:t>
            </w:r>
          </w:p>
        </w:tc>
        <w:tc>
          <w:tcPr>
            <w:tcW w:w="44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0/24</w:t>
            </w:r>
          </w:p>
        </w:tc>
        <w:tc>
          <w:tcPr>
            <w:tcW w:w="7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rPr>
              <w:t>8/42</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19-20</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19-20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0" w:type="dxa"/>
            <w:vAlign w:val="bottom"/>
          </w:tcPr>
          <w:p>
            <w:pPr>
              <w:spacing w:after="0"/>
              <w:rPr>
                <w:sz w:val="1"/>
                <w:szCs w:val="1"/>
                <w:color w:val="auto"/>
              </w:rPr>
            </w:pPr>
          </w:p>
        </w:tc>
      </w:tr>
      <w:tr>
        <w:trPr>
          <w:trHeight w:val="151"/>
        </w:trPr>
        <w:tc>
          <w:tcPr>
            <w:tcW w:w="1580" w:type="dxa"/>
            <w:vAlign w:val="bottom"/>
            <w:tcBorders>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rPr>
              <w:t>Total Pre-Construction</w:t>
            </w:r>
          </w:p>
        </w:tc>
        <w:tc>
          <w:tcPr>
            <w:tcW w:w="1740" w:type="dxa"/>
            <w:vAlign w:val="bottom"/>
            <w:tcBorders>
              <w:right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2,560MW +4,258MWh</w:t>
            </w:r>
          </w:p>
        </w:tc>
        <w:tc>
          <w:tcPr>
            <w:tcW w:w="640" w:type="dxa"/>
            <w:vAlign w:val="bottom"/>
            <w:tcBorders>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4,541-4,773</w:t>
            </w:r>
          </w:p>
        </w:tc>
        <w:tc>
          <w:tcPr>
            <w:tcW w:w="580" w:type="dxa"/>
            <w:vAlign w:val="bottom"/>
            <w:shd w:val="clear" w:color="auto" w:fill="BDD6EE"/>
          </w:tcPr>
          <w:p>
            <w:pPr>
              <w:spacing w:after="0"/>
              <w:rPr>
                <w:sz w:val="13"/>
                <w:szCs w:val="13"/>
                <w:color w:val="auto"/>
              </w:rPr>
            </w:pPr>
          </w:p>
        </w:tc>
        <w:tc>
          <w:tcPr>
            <w:tcW w:w="1180" w:type="dxa"/>
            <w:vAlign w:val="bottom"/>
            <w:tcBorders>
              <w:right w:val="single" w:sz="8" w:color="auto"/>
            </w:tcBorders>
            <w:shd w:val="clear" w:color="auto" w:fill="BDD6EE"/>
          </w:tcPr>
          <w:p>
            <w:pPr>
              <w:spacing w:after="0"/>
              <w:rPr>
                <w:sz w:val="13"/>
                <w:szCs w:val="13"/>
                <w:color w:val="auto"/>
              </w:rPr>
            </w:pPr>
          </w:p>
        </w:tc>
        <w:tc>
          <w:tcPr>
            <w:tcW w:w="7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1,921-2,020</w:t>
            </w:r>
          </w:p>
        </w:tc>
        <w:tc>
          <w:tcPr>
            <w:tcW w:w="6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2,619-2,753</w:t>
            </w:r>
          </w:p>
        </w:tc>
        <w:tc>
          <w:tcPr>
            <w:tcW w:w="6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95</w:t>
            </w:r>
          </w:p>
        </w:tc>
        <w:tc>
          <w:tcPr>
            <w:tcW w:w="680" w:type="dxa"/>
            <w:vAlign w:val="bottom"/>
            <w:shd w:val="clear" w:color="auto" w:fill="BDD6EE"/>
          </w:tcPr>
          <w:p>
            <w:pPr>
              <w:spacing w:after="0"/>
              <w:rPr>
                <w:sz w:val="13"/>
                <w:szCs w:val="13"/>
                <w:color w:val="auto"/>
              </w:rPr>
            </w:pPr>
          </w:p>
        </w:tc>
        <w:tc>
          <w:tcPr>
            <w:tcW w:w="6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95</w:t>
            </w:r>
          </w:p>
        </w:tc>
        <w:tc>
          <w:tcPr>
            <w:tcW w:w="72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377-394</w:t>
            </w:r>
          </w:p>
        </w:tc>
        <w:tc>
          <w:tcPr>
            <w:tcW w:w="78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297-313</w:t>
            </w:r>
          </w:p>
        </w:tc>
        <w:tc>
          <w:tcPr>
            <w:tcW w:w="680" w:type="dxa"/>
            <w:vAlign w:val="bottom"/>
            <w:shd w:val="clear" w:color="auto" w:fill="BDD6EE"/>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8" w:right="720" w:hanging="8"/>
        <w:spacing w:after="0" w:line="524" w:lineRule="auto"/>
        <w:tabs>
          <w:tab w:leader="none" w:pos="9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 ownership share for all U.S. projects is 90%, but Enlight invests 100% of the equity in the project and entitled to 100% of the project distributions until full repayment of Enlight's capital plus a preferred return ** The required equity during construction is estimated at 10% and is expected to decrease to 0% at COD</w:t>
      </w:r>
    </w:p>
    <w:p>
      <w:pPr>
        <w:jc w:val="both"/>
        <w:ind w:left="8" w:right="400"/>
        <w:spacing w:after="0" w:line="265" w:lineRule="auto"/>
        <w:rPr>
          <w:sz w:val="20"/>
          <w:szCs w:val="20"/>
          <w:color w:val="auto"/>
        </w:rPr>
      </w:pPr>
      <w:r>
        <w:rPr>
          <w:rFonts w:ascii="Times New Roman" w:cs="Times New Roman" w:eastAsia="Times New Roman" w:hAnsi="Times New Roman"/>
          <w:sz w:val="12"/>
          <w:szCs w:val="12"/>
          <w:color w:val="auto"/>
        </w:rPr>
        <w:t>***Tax benefits under the IRA. PTC is assumed, based on the project’s expected production and a yearly CPI indexation of 2%, discounted by 8% to COD. For the ITC, a step-up adjustment was made to reflect the eligible higher tax credit rates, enhancing the valuation and return of the project by considering the increased project value.**** EBITDA is a non-IFRS financial measure. This figure represents consolidated EBITDA for the project and excludes the share of project distributions to tax equity partners, as well as ITC and PTC proceeds. These components of the tax equity transaction may differ from project to project, are subject to market conditions and commercial terms agreed upon reaching financial close.*****The Energy Community (EC) Adder provides extra credits for renewable energy projects in areas impacted by fossil fuel reliance or economic transition. The Domestic Content (DC) Adder rewards projects using U.S.-manufactured components, promoting local job creation and supply chain growth</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All numbers, beside equity invested, reflects Enlight share only ******* Including Rustic hills 1+2, Coggon, Gemstone and Crimson orchard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37"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9"/>
        </w:trPr>
        <w:tc>
          <w:tcPr>
            <w:tcW w:w="4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Appendix 5 – Corporate level (TopCo) debt</w:t>
            </w: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shd w:val="clear" w:color="auto" w:fill="1764AC"/>
          </w:tcPr>
          <w:p>
            <w:pPr>
              <w:spacing w:after="0"/>
              <w:rPr>
                <w:sz w:val="20"/>
                <w:szCs w:val="20"/>
                <w:color w:val="auto"/>
              </w:rPr>
            </w:pPr>
            <w:r>
              <w:rPr>
                <w:rFonts w:ascii="Times New Roman" w:cs="Times New Roman" w:eastAsia="Times New Roman" w:hAnsi="Times New Roman"/>
                <w:sz w:val="12"/>
                <w:szCs w:val="12"/>
                <w:b w:val="1"/>
                <w:bCs w:val="1"/>
                <w:i w:val="1"/>
                <w:iCs w:val="1"/>
                <w:color w:val="FFFFFF"/>
              </w:rPr>
              <w:t>($ thousands)</w:t>
            </w:r>
          </w:p>
        </w:tc>
        <w:tc>
          <w:tcPr>
            <w:tcW w:w="2380" w:type="dxa"/>
            <w:vAlign w:val="bottom"/>
            <w:shd w:val="clear" w:color="auto" w:fill="1764AC"/>
          </w:tcPr>
          <w:p>
            <w:pPr>
              <w:jc w:val="right"/>
              <w:ind w:right="340"/>
              <w:spacing w:after="0"/>
              <w:rPr>
                <w:sz w:val="20"/>
                <w:szCs w:val="20"/>
                <w:color w:val="auto"/>
              </w:rPr>
            </w:pPr>
            <w:r>
              <w:rPr>
                <w:rFonts w:ascii="Times New Roman" w:cs="Times New Roman" w:eastAsia="Times New Roman" w:hAnsi="Times New Roman"/>
                <w:sz w:val="12"/>
                <w:szCs w:val="12"/>
                <w:b w:val="1"/>
                <w:bCs w:val="1"/>
                <w:color w:val="FFFFFF"/>
              </w:rPr>
              <w:t>December 31, 2024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Debentures:</w:t>
            </w:r>
          </w:p>
        </w:tc>
        <w:tc>
          <w:tcPr>
            <w:tcW w:w="2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Debentures</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478,956*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133,056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Loans from banks and other financial institutions:</w:t>
            </w:r>
          </w:p>
        </w:tc>
        <w:tc>
          <w:tcPr>
            <w:tcW w:w="2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Credit and short-term loans from banks and other financial institutions</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90,000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Loans from banks and other financial institutions</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116,379</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380" w:type="dxa"/>
            <w:vAlign w:val="bottom"/>
            <w:shd w:val="clear" w:color="auto" w:fill="C5DFF7"/>
          </w:tcPr>
          <w:p>
            <w:pPr>
              <w:spacing w:after="0"/>
              <w:rPr>
                <w:sz w:val="20"/>
                <w:szCs w:val="20"/>
                <w:color w:val="auto"/>
              </w:rPr>
            </w:pPr>
            <w:r>
              <w:rPr>
                <w:rFonts w:ascii="Times New Roman" w:cs="Times New Roman" w:eastAsia="Times New Roman" w:hAnsi="Times New Roman"/>
                <w:sz w:val="12"/>
                <w:szCs w:val="12"/>
                <w:b w:val="1"/>
                <w:bCs w:val="1"/>
                <w:color w:val="auto"/>
              </w:rPr>
              <w:t>Total corporate level debt</w:t>
            </w:r>
          </w:p>
        </w:tc>
        <w:tc>
          <w:tcPr>
            <w:tcW w:w="2380" w:type="dxa"/>
            <w:vAlign w:val="bottom"/>
            <w:shd w:val="clear" w:color="auto" w:fill="C5DFF7"/>
          </w:tcPr>
          <w:p>
            <w:pPr>
              <w:jc w:val="right"/>
              <w:spacing w:after="0"/>
              <w:rPr>
                <w:sz w:val="20"/>
                <w:szCs w:val="20"/>
                <w:color w:val="auto"/>
              </w:rPr>
            </w:pPr>
            <w:r>
              <w:rPr>
                <w:rFonts w:ascii="Times New Roman" w:cs="Times New Roman" w:eastAsia="Times New Roman" w:hAnsi="Times New Roman"/>
                <w:sz w:val="12"/>
                <w:szCs w:val="12"/>
                <w:b w:val="1"/>
                <w:bCs w:val="1"/>
                <w:color w:val="auto"/>
              </w:rPr>
              <w:t>818,391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Including current maturities of debentures in the amount of 44,962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Appendix 6 – Functional Currency Conversion Rates:</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The financial statements of each of the Company’s subsidiaries were prepared in the currency of the main economic environment in which it operates (hereinafter: the “Functional Currency”). For the purpose of consolidating the financial statements, results and financial position of each of the Group’s member companies are translated into the Israeli shekel (“NIS”), which is the Company’s Functional Currency. The Group’s consolidated financial statements are presented in U.S. dollars (“USD”).</w:t>
      </w:r>
    </w:p>
    <w:p>
      <w:pPr>
        <w:spacing w:after="0" w:line="134"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3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FX Rates to USD:</w:t>
            </w:r>
          </w:p>
        </w:tc>
        <w:tc>
          <w:tcPr>
            <w:tcW w:w="1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vMerge w:val="restart"/>
          </w:tcPr>
          <w:p>
            <w:pPr>
              <w:spacing w:after="0"/>
              <w:rPr>
                <w:sz w:val="13"/>
                <w:szCs w:val="13"/>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Date of the financial statements:</w:t>
            </w:r>
          </w:p>
        </w:tc>
        <w:tc>
          <w:tcPr>
            <w:tcW w:w="1600" w:type="dxa"/>
            <w:vAlign w:val="bottom"/>
            <w:vMerge w:val="restart"/>
          </w:tcPr>
          <w:p>
            <w:pPr>
              <w:spacing w:after="0"/>
              <w:rPr>
                <w:sz w:val="13"/>
                <w:szCs w:val="13"/>
                <w:color w:val="auto"/>
              </w:rPr>
            </w:pPr>
          </w:p>
        </w:tc>
        <w:tc>
          <w:tcPr>
            <w:tcW w:w="1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 w:type="dxa"/>
            <w:vAlign w:val="bottom"/>
            <w:vMerge w:val="continue"/>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640" w:type="dxa"/>
            <w:vAlign w:val="bottom"/>
            <w:tcBorders>
              <w:left w:val="single" w:sz="8" w:color="1764AC"/>
              <w:bottom w:val="single" w:sz="8" w:color="1764AC"/>
            </w:tcBorders>
            <w:shd w:val="clear" w:color="auto" w:fill="1764AC"/>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Euro</w:t>
            </w:r>
          </w:p>
        </w:tc>
        <w:tc>
          <w:tcPr>
            <w:tcW w:w="1620" w:type="dxa"/>
            <w:vAlign w:val="bottom"/>
            <w:tcBorders>
              <w:bottom w:val="single" w:sz="8" w:color="1764AC"/>
              <w:right w:val="single" w:sz="8" w:color="1764AC"/>
            </w:tcBorders>
            <w:shd w:val="clear" w:color="auto" w:fill="1764AC"/>
          </w:tcPr>
          <w:p>
            <w:pPr>
              <w:jc w:val="right"/>
              <w:ind w:right="660"/>
              <w:spacing w:after="0" w:line="117" w:lineRule="exact"/>
              <w:rPr>
                <w:sz w:val="20"/>
                <w:szCs w:val="20"/>
                <w:color w:val="auto"/>
              </w:rPr>
            </w:pPr>
            <w:r>
              <w:rPr>
                <w:rFonts w:ascii="Times New Roman" w:cs="Times New Roman" w:eastAsia="Times New Roman" w:hAnsi="Times New Roman"/>
                <w:sz w:val="12"/>
                <w:szCs w:val="12"/>
                <w:b w:val="1"/>
                <w:bCs w:val="1"/>
                <w:color w:val="FFFFFF"/>
              </w:rPr>
              <w:t>NIS</w:t>
            </w:r>
          </w:p>
        </w:tc>
        <w:tc>
          <w:tcPr>
            <w:tcW w:w="0" w:type="dxa"/>
            <w:vAlign w:val="bottom"/>
          </w:tcPr>
          <w:p>
            <w:pPr>
              <w:spacing w:after="0"/>
              <w:rPr>
                <w:sz w:val="1"/>
                <w:szCs w:val="1"/>
                <w:color w:val="auto"/>
              </w:rPr>
            </w:pPr>
          </w:p>
        </w:tc>
      </w:tr>
      <w:tr>
        <w:trPr>
          <w:trHeight w:val="147"/>
        </w:trPr>
        <w:tc>
          <w:tcPr>
            <w:tcW w:w="326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2"/>
                <w:szCs w:val="12"/>
                <w:color w:val="auto"/>
              </w:rPr>
              <w:t>As of 31th December 2024</w:t>
            </w:r>
          </w:p>
        </w:tc>
        <w:tc>
          <w:tcPr>
            <w:tcW w:w="164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1620" w:type="dxa"/>
            <w:vAlign w:val="bottom"/>
            <w:tcBorders>
              <w:top w:val="single" w:sz="8" w:color="auto"/>
              <w:bottom w:val="single" w:sz="8" w:color="auto"/>
              <w:right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0.27</w:t>
            </w:r>
          </w:p>
        </w:tc>
        <w:tc>
          <w:tcPr>
            <w:tcW w:w="0" w:type="dxa"/>
            <w:vAlign w:val="bottom"/>
          </w:tcPr>
          <w:p>
            <w:pPr>
              <w:spacing w:after="0"/>
              <w:rPr>
                <w:sz w:val="1"/>
                <w:szCs w:val="1"/>
                <w:color w:val="auto"/>
              </w:rPr>
            </w:pPr>
          </w:p>
        </w:tc>
      </w:tr>
      <w:tr>
        <w:trPr>
          <w:trHeight w:val="151"/>
        </w:trPr>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As of 31th December 2023</w:t>
            </w:r>
          </w:p>
        </w:tc>
        <w:tc>
          <w:tcPr>
            <w:tcW w:w="164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1.10</w:t>
            </w:r>
          </w:p>
        </w:tc>
        <w:tc>
          <w:tcPr>
            <w:tcW w:w="1620" w:type="dxa"/>
            <w:vAlign w:val="bottom"/>
            <w:tcBorders>
              <w:bottom w:val="single" w:sz="8" w:color="auto"/>
              <w:right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0.28</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80"/>
          </w:cols>
          <w:pgMar w:left="300" w:top="278" w:right="319" w:bottom="1440" w:gutter="0" w:footer="0" w:header="0"/>
        </w:sectPr>
      </w:pPr>
    </w:p>
    <w:p>
      <w:pPr>
        <w:ind w:left="540"/>
        <w:spacing w:after="0"/>
        <w:rPr>
          <w:sz w:val="20"/>
          <w:szCs w:val="20"/>
          <w:color w:val="auto"/>
        </w:rPr>
      </w:pPr>
      <w:r>
        <w:rPr>
          <w:rFonts w:ascii="Times New Roman" w:cs="Times New Roman" w:eastAsia="Times New Roman" w:hAnsi="Times New Roman"/>
          <w:sz w:val="11"/>
          <w:szCs w:val="11"/>
          <w:u w:val="single" w:color="auto"/>
          <w:color w:val="auto"/>
        </w:rPr>
        <w:t>Average for the 3 months period ended:</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December 2024</w:t>
      </w:r>
    </w:p>
    <w:p>
      <w:pPr>
        <w:spacing w:after="0" w:line="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December 2023</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1"/>
        </w:trPr>
        <w:tc>
          <w:tcPr>
            <w:tcW w:w="1640" w:type="dxa"/>
            <w:vAlign w:val="bottom"/>
            <w:tcBorders>
              <w:top w:val="single" w:sz="8" w:color="auto"/>
              <w:left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1.07</w:t>
            </w:r>
          </w:p>
        </w:tc>
        <w:tc>
          <w:tcPr>
            <w:tcW w:w="1620" w:type="dxa"/>
            <w:vAlign w:val="bottom"/>
            <w:tcBorders>
              <w:top w:val="single" w:sz="8" w:color="auto"/>
              <w:bottom w:val="single" w:sz="8" w:color="auto"/>
              <w:right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0.27</w:t>
            </w:r>
          </w:p>
        </w:tc>
      </w:tr>
      <w:tr>
        <w:trPr>
          <w:trHeight w:val="151"/>
        </w:trPr>
        <w:tc>
          <w:tcPr>
            <w:tcW w:w="1640" w:type="dxa"/>
            <w:vAlign w:val="bottom"/>
            <w:tcBorders>
              <w:left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1.07</w:t>
            </w:r>
          </w:p>
        </w:tc>
        <w:tc>
          <w:tcPr>
            <w:tcW w:w="1620" w:type="dxa"/>
            <w:vAlign w:val="bottom"/>
            <w:tcBorders>
              <w:bottom w:val="single" w:sz="8" w:color="auto"/>
              <w:right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0.26</w:t>
            </w:r>
          </w:p>
        </w:tc>
      </w:tr>
    </w:tbl>
    <w:p>
      <w:pPr>
        <w:spacing w:after="0" w:line="129" w:lineRule="exact"/>
        <w:rPr>
          <w:sz w:val="20"/>
          <w:szCs w:val="20"/>
          <w:color w:val="auto"/>
        </w:rPr>
      </w:pPr>
    </w:p>
    <w:p>
      <w:pPr>
        <w:sectPr>
          <w:pgSz w:w="11900" w:h="16838" w:orient="portrait"/>
          <w:cols w:equalWidth="0" w:num="2">
            <w:col w:w="2960" w:space="720"/>
            <w:col w:w="7600"/>
          </w:cols>
          <w:pgMar w:left="300" w:top="27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Appendix 7 – Structural changes to the Consolidated Statements of Income:</w:t>
      </w:r>
    </w:p>
    <w:p>
      <w:pPr>
        <w:spacing w:after="0" w:line="172"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The Company has changed its presentation of its Income Statement, which includes the presentation of specified items that have been previously included within other income (i.e. tax equity). The Company believes that such presentation provides a more relevant information and better reflects the measurement of its financial performance. The Company applied such change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186055</wp:posOffset>
            </wp:positionV>
            <wp:extent cx="717804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type w:val="continuous"/>
        </w:sectPr>
      </w:pPr>
    </w:p>
    <w:bookmarkStart w:id="30" w:name="page31"/>
    <w:bookmarkEnd w:id="30"/>
    <w:p>
      <w:pPr>
        <w:ind w:left="9540"/>
        <w:spacing w:after="0"/>
        <w:rPr>
          <w:sz w:val="20"/>
          <w:szCs w:val="20"/>
          <w:color w:val="auto"/>
        </w:rPr>
      </w:pPr>
      <w:r>
        <w:rPr>
          <w:rFonts w:ascii="Times New Roman" w:cs="Times New Roman" w:eastAsia="Times New Roman" w:hAnsi="Times New Roman"/>
          <w:sz w:val="11"/>
          <w:szCs w:val="11"/>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323" w:right="29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20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37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337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2"/>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lvl w:ilvl="1">
      <w:lvlJc w:val="left"/>
      <w:lvlText w:val="o"/>
      <w:numFmt w:val="bullet"/>
      <w:start w:val="1"/>
    </w:lvl>
  </w:abstractNum>
  <w:abstractNum w:abstractNumId="9">
    <w:nsid w:val="431BD7B7"/>
    <w:multiLevelType w:val="hybridMultilevel"/>
    <w:lvl w:ilvl="0">
      <w:lvlJc w:val="left"/>
      <w:lvlText w:val="•"/>
      <w:numFmt w:val="bullet"/>
      <w:start w:val="1"/>
    </w:lvl>
    <w:lvl w:ilvl="1">
      <w:lvlJc w:val="left"/>
      <w:lvlText w:val="o"/>
      <w:numFmt w:val="bullet"/>
      <w:start w:val="1"/>
    </w:lvl>
  </w:abstractNum>
  <w:abstractNum w:abstractNumId="10">
    <w:nsid w:val="3F2DBA31"/>
    <w:multiLevelType w:val="hybridMultilevel"/>
    <w:lvl w:ilvl="0">
      <w:lvlJc w:val="left"/>
      <w:lvlText w:val="5"/>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7"/>
      <w:numFmt w:val="bullet"/>
      <w:start w:val="1"/>
    </w:lvl>
  </w:abstractNum>
  <w:abstractNum w:abstractNumId="15">
    <w:nsid w:val="628C895D"/>
    <w:multiLevelType w:val="hybridMultilevel"/>
    <w:lvl w:ilvl="0">
      <w:lvlJc w:val="left"/>
      <w:lvlText w:val="8"/>
      <w:numFmt w:val="bullet"/>
      <w:start w:val="1"/>
    </w:lvl>
  </w:abstractNum>
  <w:abstractNum w:abstractNumId="16">
    <w:nsid w:val="333AB105"/>
    <w:multiLevelType w:val="hybridMultilevel"/>
    <w:lvl w:ilvl="0">
      <w:lvlJc w:val="left"/>
      <w:lvlText w:val="9"/>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lowerLetter"/>
      <w:start w:val="4"/>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2025-02-19T05:16:18Z</dcterms:created>
  <dcterms:modified xsi:type="dcterms:W3CDTF">2025-02-19T05:16:18Z</dcterms:modified>
</cp:coreProperties>
</file>