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February 2026</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001-41613</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Enlight Renewable Energy Ltd.</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2"/>
          <w:szCs w:val="12"/>
          <w:b w:val="1"/>
          <w:bCs w:val="1"/>
          <w:color w:val="auto"/>
        </w:rPr>
        <w:t>13 Amal St., Afek Industrial Park</w:t>
      </w:r>
    </w:p>
    <w:p>
      <w:pPr>
        <w:spacing w:after="0" w:line="2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Rosh Ha’ayin, Israel</w:t>
      </w:r>
    </w:p>
    <w:p>
      <w:pPr>
        <w:spacing w:after="0" w:line="1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+ 972 (3) 900-8700</w:t>
      </w:r>
    </w:p>
    <w:p>
      <w:pPr>
        <w:spacing w:after="0" w:line="1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498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54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On February 17, 2026, Enlight Renewable Energy Ltd.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titled: “Enlight Renewable Energy Reports Fourth Quarter and Full Year 2025 Financial Results” and will conduct a conference call using a presentation titled: “Enlight Earnings Presentation Fourth Quarter 2025.” Details of the conference call are provided in the press release. A copy of the press release, as well as supplemental appendices containing further information regarding the Company’s financial results for the fourth quarter and full year ending December 31, 2025, and other operational updates, is furnished as Exhibit 99.1 herewith and a copy of the presentation is furnished as Exhibit 99.2 herewith.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color w:val="auto"/>
        </w:rPr>
        <w:t>Other than as indicated below, the information in this Form 6-K (including in Exhibits 99.1 and 99.2)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w:t>
      </w:r>
    </w:p>
    <w:p>
      <w:pPr>
        <w:spacing w:after="0" w:line="1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The IFRS financial information contained in the (i) consolidated statements of financial position, (ii) consolidated statements of income and (iii) consolidated statements of cash flows included in the press release attached as Exhibit 99.1 to this Report on Form 6-K is hereby incorporated by reference into the Company’s Registration Statement on Form S-8 (File No. 333-271297).</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960" w:type="dxa"/>
            <w:vAlign w:val="bottom"/>
            <w:gridSpan w:val="4"/>
          </w:tcPr>
          <w:p>
            <w:pPr>
              <w:jc w:val="center"/>
              <w:ind w:right="3360"/>
              <w:spacing w:after="0"/>
              <w:rPr>
                <w:sz w:val="20"/>
                <w:szCs w:val="20"/>
                <w:color w:val="auto"/>
              </w:rPr>
            </w:pPr>
            <w:r>
              <w:rPr>
                <w:rFonts w:ascii="Times New Roman" w:cs="Times New Roman" w:eastAsia="Times New Roman" w:hAnsi="Times New Roman"/>
                <w:sz w:val="12"/>
                <w:szCs w:val="12"/>
                <w:b w:val="1"/>
                <w:bCs w:val="1"/>
                <w:color w:val="auto"/>
                <w:w w:val="98"/>
              </w:rPr>
              <w:t>EXHIBIT INDEX</w:t>
            </w:r>
          </w:p>
        </w:tc>
      </w:tr>
      <w:tr>
        <w:trPr>
          <w:trHeight w:val="304"/>
        </w:trPr>
        <w:tc>
          <w:tcPr>
            <w:tcW w:w="51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following exhibit is furnished as part of this Form 6-K:</w:t>
            </w:r>
          </w:p>
        </w:tc>
        <w:tc>
          <w:tcPr>
            <w:tcW w:w="920" w:type="dxa"/>
            <w:vAlign w:val="bottom"/>
            <w:tcBorders>
              <w:top w:val="single" w:sz="8" w:color="auto"/>
            </w:tcBorders>
          </w:tcPr>
          <w:p>
            <w:pPr>
              <w:spacing w:after="0"/>
              <w:rPr>
                <w:sz w:val="24"/>
                <w:szCs w:val="24"/>
                <w:color w:val="auto"/>
              </w:rPr>
            </w:pPr>
          </w:p>
        </w:tc>
        <w:tc>
          <w:tcPr>
            <w:tcW w:w="5200" w:type="dxa"/>
            <w:vAlign w:val="bottom"/>
            <w:gridSpan w:val="2"/>
          </w:tcPr>
          <w:p>
            <w:pPr>
              <w:spacing w:after="0"/>
              <w:rPr>
                <w:sz w:val="24"/>
                <w:szCs w:val="24"/>
                <w:color w:val="auto"/>
              </w:rPr>
            </w:pPr>
          </w:p>
        </w:tc>
      </w:tr>
      <w:tr>
        <w:trPr>
          <w:trHeight w:val="270"/>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Exhibit</w:t>
            </w:r>
          </w:p>
        </w:tc>
        <w:tc>
          <w:tcPr>
            <w:tcW w:w="480" w:type="dxa"/>
            <w:vAlign w:val="bottom"/>
          </w:tcPr>
          <w:p>
            <w:pPr>
              <w:spacing w:after="0"/>
              <w:rPr>
                <w:sz w:val="23"/>
                <w:szCs w:val="23"/>
                <w:color w:val="auto"/>
              </w:rPr>
            </w:pPr>
          </w:p>
        </w:tc>
        <w:tc>
          <w:tcPr>
            <w:tcW w:w="1044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77"/>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Press Release of Enlight Renewable Energy Ltd., dated February 17, 2026, titled: “Enlight Renewable Energy Reports Fourth Quarter and Full Year 2025 Financial Results”.</w:t>
            </w:r>
          </w:p>
        </w:tc>
        <w:tc>
          <w:tcPr>
            <w:tcW w:w="2120" w:type="dxa"/>
            <w:vAlign w:val="bottom"/>
          </w:tcPr>
          <w:p>
            <w:pPr>
              <w:spacing w:after="0"/>
              <w:rPr>
                <w:sz w:val="24"/>
                <w:szCs w:val="24"/>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Enlight Earnings Presentation Fourth Quarter 2025.</w:t>
            </w:r>
          </w:p>
        </w:tc>
        <w:tc>
          <w:tcPr>
            <w:tcW w:w="7960" w:type="dxa"/>
            <w:vAlign w:val="bottom"/>
            <w:gridSpan w:val="4"/>
          </w:tcPr>
          <w:p>
            <w:pPr>
              <w:spacing w:after="0"/>
              <w:rPr>
                <w:sz w:val="10"/>
                <w:szCs w:val="10"/>
                <w:color w:val="auto"/>
              </w:rPr>
            </w:pPr>
          </w:p>
        </w:tc>
      </w:tr>
      <w:tr>
        <w:trPr>
          <w:trHeight w:val="268"/>
        </w:trPr>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40" w:type="dxa"/>
            <w:vAlign w:val="bottom"/>
            <w:gridSpan w:val="4"/>
          </w:tcPr>
          <w:p>
            <w:pPr>
              <w:jc w:val="right"/>
              <w:ind w:right="420"/>
              <w:spacing w:after="0"/>
              <w:rPr>
                <w:sz w:val="20"/>
                <w:szCs w:val="20"/>
                <w:color w:val="auto"/>
              </w:rPr>
            </w:pPr>
            <w:r>
              <w:rPr>
                <w:rFonts w:ascii="Times New Roman" w:cs="Times New Roman" w:eastAsia="Times New Roman" w:hAnsi="Times New Roman"/>
                <w:sz w:val="12"/>
                <w:szCs w:val="12"/>
                <w:color w:val="auto"/>
              </w:rPr>
              <w:t>2</w:t>
            </w:r>
          </w:p>
        </w:tc>
        <w:tc>
          <w:tcPr>
            <w:tcW w:w="308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36"/>
        </w:trPr>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269"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Enlight Renewable Energy Ltd.</w:t>
      </w:r>
    </w:p>
    <w:p>
      <w:pPr>
        <w:spacing w:after="0" w:line="163"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February 17, 2026</w:t>
      </w:r>
      <w:r>
        <w:rPr>
          <w:sz w:val="20"/>
          <w:szCs w:val="20"/>
          <w:color w:val="auto"/>
        </w:rPr>
        <w:tab/>
      </w:r>
      <w:r>
        <w:rPr>
          <w:rFonts w:ascii="Times New Roman" w:cs="Times New Roman" w:eastAsia="Times New Roman" w:hAnsi="Times New Roman"/>
          <w:sz w:val="12"/>
          <w:szCs w:val="12"/>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Lisa Haimovitz</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VP General Counsel</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wp:posOffset>
            </wp:positionV>
            <wp:extent cx="717804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104775</wp:posOffset>
            </wp:positionV>
            <wp:extent cx="760095" cy="302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0095" cy="3028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ENLIGHT RENEWABLE ENERGY REPORTS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FOURTH QUARTER 2025 FINANCIAL RESULTS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All of the amounts disclosed in this press release are in U.S. dollars unless otherwise noted</w:t>
      </w:r>
    </w:p>
    <w:p>
      <w:pPr>
        <w:spacing w:after="0" w:line="17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TEL AVIV, ISRAEL, February 17, 2026 – Enlight Renewable Energy (NASDAQ: ENLT, TASE: ENLT) today reported financial results for the fourth quarter of 2025 ending December 31, 2025. Registration links for the Company’s earnings English and Hebrew conference call and webcasts can be found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85025" cy="252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252730"/>
                    </a:xfrm>
                    <a:prstGeom prst="rect">
                      <a:avLst/>
                    </a:prstGeom>
                    <a:noFill/>
                  </pic:spPr>
                </pic:pic>
              </a:graphicData>
            </a:graphic>
          </wp:anchor>
        </w:drawing>
      </w:r>
    </w:p>
    <w:p>
      <w:pPr>
        <w:spacing w:after="0" w:line="231"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2"/>
          <w:szCs w:val="12"/>
          <w:b w:val="1"/>
          <w:bCs w:val="1"/>
          <w:color w:val="auto"/>
        </w:rPr>
        <w:t xml:space="preserve">The entire suite of the Company’s 4Q25 financial results can be found on our IR website at </w:t>
      </w:r>
      <w:r>
        <w:rPr>
          <w:rFonts w:ascii="Times New Roman" w:cs="Times New Roman" w:eastAsia="Times New Roman" w:hAnsi="Times New Roman"/>
          <w:sz w:val="12"/>
          <w:szCs w:val="12"/>
          <w:b w:val="1"/>
          <w:bCs w:val="1"/>
          <w:u w:val="single" w:color="auto"/>
          <w:color w:val="auto"/>
        </w:rPr>
        <w:t>https://enlightenergy.co.il/data/financial-reports/</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Highlights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12 months ending December 31, 2025</w:t>
      </w:r>
    </w:p>
    <w:p>
      <w:pPr>
        <w:spacing w:after="0" w:line="172"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and income of $582m, up 46% year over year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$161m, up 142% year over year</w:t>
      </w:r>
    </w:p>
    <w:p>
      <w:pPr>
        <w:spacing w:after="0" w:line="15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of $438m, up 51% year over year</w:t>
      </w:r>
    </w:p>
    <w:p>
      <w:pPr>
        <w:spacing w:after="0" w:line="6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Operating activities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of $283m, up 11% year over year</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3 months ending December 31, 2025</w:t>
      </w:r>
    </w:p>
    <w:p>
      <w:pPr>
        <w:spacing w:after="0" w:line="163"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and income of $152m, up 46% year over year</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$21m, up 153% year over year</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$99m, up 51% year over year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Operating activities of $75m, up 38%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0972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65" w:lineRule="exact"/>
        <w:rPr>
          <w:sz w:val="20"/>
          <w:szCs w:val="20"/>
          <w:color w:val="auto"/>
        </w:rPr>
      </w:pPr>
    </w:p>
    <w:p>
      <w:pPr>
        <w:ind w:left="8" w:right="620" w:hanging="8"/>
        <w:spacing w:after="0" w:line="200" w:lineRule="auto"/>
        <w:tabs>
          <w:tab w:leader="none" w:pos="8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Adjusted EBITDA is a non-IFRS measure. Please refer to the reconciliation table in Appendix 2. The Company is unable to provide a reconciliation of Adjusted EBITDA to Net Income on a forward-looking basis without unreasonable effort because items that impact this IFRS financial measure are not within the Company’s control and/or cannot be reasonably predicted.</w:t>
      </w:r>
    </w:p>
    <w:p>
      <w:pPr>
        <w:spacing w:after="0" w:line="143" w:lineRule="exact"/>
        <w:rPr>
          <w:sz w:val="20"/>
          <w:szCs w:val="20"/>
          <w:color w:val="auto"/>
        </w:rPr>
      </w:pPr>
    </w:p>
    <w:p>
      <w:pPr>
        <w:ind w:left="8" w:right="100" w:hanging="8"/>
        <w:spacing w:after="0" w:line="193" w:lineRule="auto"/>
        <w:tabs>
          <w:tab w:leader="none" w:pos="89" w:val="left"/>
        </w:tabs>
        <w:numPr>
          <w:ilvl w:val="0"/>
          <w:numId w:val="4"/>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Interest payments and receipts are classified as cash flows from financing and investing activities, respectively, rather than as cash flows from operating activities. Adjustments were made for the years 2023–2025 following a change in accounting policy; for further details, see Appendix 4 in the Earning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3"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b w:val="1"/>
          <w:bCs w:val="1"/>
          <w:color w:val="auto"/>
        </w:rPr>
        <w:t>Summary of key financial results for 4Q25 and 2025</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E7E6E6"/>
            </w:tcBorders>
            <w:shd w:val="clear" w:color="auto" w:fill="E7E6E6"/>
          </w:tcPr>
          <w:p>
            <w:pPr>
              <w:spacing w:after="0"/>
              <w:rPr>
                <w:sz w:val="19"/>
                <w:szCs w:val="19"/>
                <w:color w:val="auto"/>
              </w:rPr>
            </w:pPr>
          </w:p>
        </w:tc>
        <w:tc>
          <w:tcPr>
            <w:tcW w:w="3200" w:type="dxa"/>
            <w:vAlign w:val="bottom"/>
            <w:tcBorders>
              <w:top w:val="single" w:sz="8" w:color="auto"/>
              <w:bottom w:val="single" w:sz="8" w:color="E7E6E6"/>
            </w:tcBorders>
            <w:gridSpan w:val="2"/>
            <w:shd w:val="clear" w:color="auto" w:fill="E7E6E6"/>
          </w:tcPr>
          <w:p>
            <w:pPr>
              <w:ind w:left="11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1300" w:type="dxa"/>
            <w:vAlign w:val="bottom"/>
            <w:tcBorders>
              <w:top w:val="single" w:sz="8" w:color="auto"/>
              <w:bottom w:val="single" w:sz="8" w:color="E7E6E6"/>
            </w:tcBorders>
            <w:shd w:val="clear" w:color="auto" w:fill="E7E6E6"/>
          </w:tcPr>
          <w:p>
            <w:pPr>
              <w:spacing w:after="0"/>
              <w:rPr>
                <w:sz w:val="19"/>
                <w:szCs w:val="19"/>
                <w:color w:val="auto"/>
              </w:rPr>
            </w:pPr>
          </w:p>
        </w:tc>
        <w:tc>
          <w:tcPr>
            <w:tcW w:w="2760" w:type="dxa"/>
            <w:vAlign w:val="bottom"/>
            <w:tcBorders>
              <w:top w:val="single" w:sz="8" w:color="auto"/>
              <w:bottom w:val="single" w:sz="8" w:color="E7E6E6"/>
            </w:tcBorders>
            <w:gridSpan w:val="2"/>
            <w:shd w:val="clear" w:color="auto" w:fill="E7E6E6"/>
          </w:tcPr>
          <w:p>
            <w:pPr>
              <w:ind w:left="620"/>
              <w:spacing w:after="0"/>
              <w:rPr>
                <w:sz w:val="20"/>
                <w:szCs w:val="20"/>
                <w:color w:val="auto"/>
              </w:rPr>
            </w:pPr>
            <w:r>
              <w:rPr>
                <w:rFonts w:ascii="Times New Roman" w:cs="Times New Roman" w:eastAsia="Times New Roman" w:hAnsi="Times New Roman"/>
                <w:sz w:val="12"/>
                <w:szCs w:val="12"/>
                <w:b w:val="1"/>
                <w:bCs w:val="1"/>
                <w:color w:val="auto"/>
              </w:rPr>
              <w:t>For the twelve months ended</w:t>
            </w:r>
          </w:p>
        </w:tc>
        <w:tc>
          <w:tcPr>
            <w:tcW w:w="1320" w:type="dxa"/>
            <w:vAlign w:val="bottom"/>
            <w:tcBorders>
              <w:top w:val="single" w:sz="8" w:color="auto"/>
              <w:bottom w:val="single" w:sz="8" w:color="E7E6E6"/>
              <w:right w:val="single" w:sz="8" w:color="auto"/>
            </w:tcBorders>
            <w:shd w:val="clear" w:color="auto" w:fill="E7E6E6"/>
          </w:tcPr>
          <w:p>
            <w:pPr>
              <w:spacing w:after="0"/>
              <w:rPr>
                <w:sz w:val="19"/>
                <w:szCs w:val="19"/>
                <w:color w:val="auto"/>
              </w:rPr>
            </w:pPr>
          </w:p>
        </w:tc>
      </w:tr>
      <w:tr>
        <w:trPr>
          <w:trHeight w:val="210"/>
        </w:trPr>
        <w:tc>
          <w:tcPr>
            <w:tcW w:w="2720" w:type="dxa"/>
            <w:vAlign w:val="bottom"/>
            <w:tcBorders>
              <w:top w:val="single" w:sz="8" w:color="auto"/>
              <w:left w:val="single" w:sz="8" w:color="auto"/>
              <w:bottom w:val="single" w:sz="8" w:color="E7E6E6"/>
            </w:tcBorders>
            <w:shd w:val="clear" w:color="auto" w:fill="E7E6E6"/>
          </w:tcPr>
          <w:p>
            <w:pPr>
              <w:ind w:left="1320"/>
              <w:spacing w:after="0"/>
              <w:rPr>
                <w:sz w:val="20"/>
                <w:szCs w:val="20"/>
                <w:color w:val="auto"/>
              </w:rPr>
            </w:pPr>
            <w:r>
              <w:rPr>
                <w:rFonts w:ascii="Times New Roman" w:cs="Times New Roman" w:eastAsia="Times New Roman" w:hAnsi="Times New Roman"/>
                <w:sz w:val="12"/>
                <w:szCs w:val="12"/>
                <w:b w:val="1"/>
                <w:bCs w:val="1"/>
                <w:color w:val="auto"/>
              </w:rPr>
              <w:t>($ millions)</w:t>
            </w:r>
          </w:p>
        </w:tc>
        <w:tc>
          <w:tcPr>
            <w:tcW w:w="1820" w:type="dxa"/>
            <w:vAlign w:val="bottom"/>
            <w:tcBorders>
              <w:top w:val="single" w:sz="8" w:color="auto"/>
              <w:bottom w:val="single" w:sz="8" w:color="E7E6E6"/>
            </w:tcBorders>
            <w:shd w:val="clear" w:color="auto" w:fill="E7E6E6"/>
          </w:tcPr>
          <w:p>
            <w:pPr>
              <w:ind w:left="820"/>
              <w:spacing w:after="0"/>
              <w:rPr>
                <w:sz w:val="20"/>
                <w:szCs w:val="20"/>
                <w:color w:val="auto"/>
              </w:rPr>
            </w:pPr>
            <w:r>
              <w:rPr>
                <w:rFonts w:ascii="Times New Roman" w:cs="Times New Roman" w:eastAsia="Times New Roman" w:hAnsi="Times New Roman"/>
                <w:sz w:val="12"/>
                <w:szCs w:val="12"/>
                <w:b w:val="1"/>
                <w:bCs w:val="1"/>
                <w:color w:val="auto"/>
              </w:rPr>
              <w:t>Dec 31, 2025</w:t>
            </w:r>
          </w:p>
        </w:tc>
        <w:tc>
          <w:tcPr>
            <w:tcW w:w="1380" w:type="dxa"/>
            <w:vAlign w:val="bottom"/>
            <w:tcBorders>
              <w:top w:val="single" w:sz="8" w:color="auto"/>
              <w:bottom w:val="single" w:sz="8" w:color="E7E6E6"/>
            </w:tcBorders>
            <w:shd w:val="clear" w:color="auto" w:fill="E7E6E6"/>
          </w:tcPr>
          <w:p>
            <w:pPr>
              <w:ind w:left="360"/>
              <w:spacing w:after="0"/>
              <w:rPr>
                <w:sz w:val="20"/>
                <w:szCs w:val="20"/>
                <w:color w:val="auto"/>
              </w:rPr>
            </w:pPr>
            <w:r>
              <w:rPr>
                <w:rFonts w:ascii="Times New Roman" w:cs="Times New Roman" w:eastAsia="Times New Roman" w:hAnsi="Times New Roman"/>
                <w:sz w:val="12"/>
                <w:szCs w:val="12"/>
                <w:b w:val="1"/>
                <w:bCs w:val="1"/>
                <w:color w:val="auto"/>
              </w:rPr>
              <w:t>Dec 31, 2024</w:t>
            </w:r>
          </w:p>
        </w:tc>
        <w:tc>
          <w:tcPr>
            <w:tcW w:w="1300" w:type="dxa"/>
            <w:vAlign w:val="bottom"/>
            <w:tcBorders>
              <w:top w:val="single" w:sz="8" w:color="auto"/>
              <w:bottom w:val="single" w:sz="8" w:color="E7E6E6"/>
            </w:tcBorders>
            <w:shd w:val="clear" w:color="auto" w:fill="E7E6E6"/>
          </w:tcPr>
          <w:p>
            <w:pPr>
              <w:ind w:left="4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380" w:type="dxa"/>
            <w:vAlign w:val="bottom"/>
            <w:tcBorders>
              <w:top w:val="single" w:sz="8" w:color="auto"/>
              <w:bottom w:val="single" w:sz="8" w:color="E7E6E6"/>
            </w:tcBorders>
            <w:shd w:val="clear" w:color="auto" w:fill="E7E6E6"/>
          </w:tcPr>
          <w:p>
            <w:pPr>
              <w:ind w:left="380"/>
              <w:spacing w:after="0"/>
              <w:rPr>
                <w:sz w:val="20"/>
                <w:szCs w:val="20"/>
                <w:color w:val="auto"/>
              </w:rPr>
            </w:pPr>
            <w:r>
              <w:rPr>
                <w:rFonts w:ascii="Times New Roman" w:cs="Times New Roman" w:eastAsia="Times New Roman" w:hAnsi="Times New Roman"/>
                <w:sz w:val="12"/>
                <w:szCs w:val="12"/>
                <w:b w:val="1"/>
                <w:bCs w:val="1"/>
                <w:color w:val="auto"/>
              </w:rPr>
              <w:t>Dec 31, 2025</w:t>
            </w:r>
          </w:p>
        </w:tc>
        <w:tc>
          <w:tcPr>
            <w:tcW w:w="1380" w:type="dxa"/>
            <w:vAlign w:val="bottom"/>
            <w:tcBorders>
              <w:top w:val="single" w:sz="8" w:color="auto"/>
              <w:bottom w:val="single" w:sz="8" w:color="E7E6E6"/>
            </w:tcBorders>
            <w:shd w:val="clear" w:color="auto" w:fill="E7E6E6"/>
          </w:tcPr>
          <w:p>
            <w:pPr>
              <w:ind w:left="340"/>
              <w:spacing w:after="0"/>
              <w:rPr>
                <w:sz w:val="20"/>
                <w:szCs w:val="20"/>
                <w:color w:val="auto"/>
              </w:rPr>
            </w:pPr>
            <w:r>
              <w:rPr>
                <w:rFonts w:ascii="Times New Roman" w:cs="Times New Roman" w:eastAsia="Times New Roman" w:hAnsi="Times New Roman"/>
                <w:sz w:val="12"/>
                <w:szCs w:val="12"/>
                <w:b w:val="1"/>
                <w:bCs w:val="1"/>
                <w:color w:val="auto"/>
              </w:rPr>
              <w:t>Dec 31, 2024</w:t>
            </w:r>
          </w:p>
        </w:tc>
        <w:tc>
          <w:tcPr>
            <w:tcW w:w="1320" w:type="dxa"/>
            <w:vAlign w:val="bottom"/>
            <w:tcBorders>
              <w:top w:val="single" w:sz="8" w:color="auto"/>
              <w:bottom w:val="single" w:sz="8" w:color="E7E6E6"/>
              <w:right w:val="single" w:sz="8" w:color="auto"/>
            </w:tcBorders>
            <w:shd w:val="clear" w:color="auto" w:fill="E7E6E6"/>
          </w:tcPr>
          <w:p>
            <w:pPr>
              <w:ind w:left="3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69"/>
        </w:trPr>
        <w:tc>
          <w:tcPr>
            <w:tcW w:w="272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Revenues and Income</w:t>
            </w:r>
          </w:p>
        </w:tc>
        <w:tc>
          <w:tcPr>
            <w:tcW w:w="1820" w:type="dxa"/>
            <w:vAlign w:val="bottom"/>
            <w:tcBorders>
              <w:top w:val="single" w:sz="8" w:color="auto"/>
            </w:tcBorders>
          </w:tcPr>
          <w:p>
            <w:pPr>
              <w:jc w:val="center"/>
              <w:ind w:left="420"/>
              <w:spacing w:after="0"/>
              <w:rPr>
                <w:sz w:val="20"/>
                <w:szCs w:val="20"/>
                <w:color w:val="auto"/>
              </w:rPr>
            </w:pPr>
            <w:r>
              <w:rPr>
                <w:rFonts w:ascii="Times New Roman" w:cs="Times New Roman" w:eastAsia="Times New Roman" w:hAnsi="Times New Roman"/>
                <w:sz w:val="12"/>
                <w:szCs w:val="12"/>
                <w:color w:val="auto"/>
                <w:w w:val="99"/>
              </w:rPr>
              <w:t>152</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c>
          <w:tcPr>
            <w:tcW w:w="13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2"/>
                <w:szCs w:val="12"/>
                <w:color w:val="auto"/>
              </w:rPr>
              <w:t>582</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399</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r>
      <w:tr>
        <w:trPr>
          <w:trHeight w:val="207"/>
        </w:trPr>
        <w:tc>
          <w:tcPr>
            <w:tcW w:w="2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Net Income</w:t>
            </w:r>
          </w:p>
        </w:tc>
        <w:tc>
          <w:tcPr>
            <w:tcW w:w="182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9"/>
              </w:rPr>
              <w:t>21</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153%</w:t>
            </w:r>
          </w:p>
        </w:tc>
        <w:tc>
          <w:tcPr>
            <w:tcW w:w="13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161</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142%</w:t>
            </w:r>
          </w:p>
        </w:tc>
      </w:tr>
      <w:tr>
        <w:trPr>
          <w:trHeight w:val="207"/>
        </w:trPr>
        <w:tc>
          <w:tcPr>
            <w:tcW w:w="2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Adjusted EBITDA</w:t>
            </w:r>
          </w:p>
        </w:tc>
        <w:tc>
          <w:tcPr>
            <w:tcW w:w="182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9"/>
              </w:rPr>
              <w:t>99</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13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438</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289</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r>
      <w:tr>
        <w:trPr>
          <w:trHeight w:val="207"/>
        </w:trPr>
        <w:tc>
          <w:tcPr>
            <w:tcW w:w="2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Cash Flow from Operating Activities</w:t>
            </w:r>
          </w:p>
        </w:tc>
        <w:tc>
          <w:tcPr>
            <w:tcW w:w="182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9"/>
              </w:rPr>
              <w:t>75</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54</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13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283</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255</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r>
      <w:tr>
        <w:trPr>
          <w:trHeight w:val="36"/>
        </w:trPr>
        <w:tc>
          <w:tcPr>
            <w:tcW w:w="2720" w:type="dxa"/>
            <w:vAlign w:val="bottom"/>
            <w:tcBorders>
              <w:left w:val="single" w:sz="8" w:color="auto"/>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bl>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2026 guidance</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guidance</w:t>
      </w:r>
    </w:p>
    <w:p>
      <w:pPr>
        <w:spacing w:after="0" w:line="156" w:lineRule="exact"/>
        <w:rPr>
          <w:sz w:val="20"/>
          <w:szCs w:val="20"/>
          <w:color w:val="auto"/>
        </w:rPr>
      </w:pPr>
    </w:p>
    <w:p>
      <w:pPr>
        <w:ind w:left="428" w:hanging="212"/>
        <w:spacing w:after="0" w:line="206"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revenues and income</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are expected to range between $755m and $785m, a 32% increase (at the midpoint) from 2025. Adjusted EBITDA is expected to range between $545m and $565m, a 27% increase (at the midpoint) from 2025.</w:t>
      </w:r>
    </w:p>
    <w:p>
      <w:pPr>
        <w:spacing w:after="0" w:line="13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b w:val="1"/>
          <w:bCs w:val="1"/>
          <w:color w:val="auto"/>
        </w:rPr>
        <w:t>Key assumptions underlying the forecast:</w:t>
      </w:r>
    </w:p>
    <w:p>
      <w:pPr>
        <w:spacing w:after="0" w:line="163"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90% of the electricity volumes expected to be generated in 2026 will be sold at fixed prices through PPAs or hedges.</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Exchange rates are based on 2026 forward curves.</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projected revenues and income, 39% are expected to be denominated in USD, 34% in ILS, and 27% in EUR.</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Construction and commissioning</w:t>
      </w:r>
    </w:p>
    <w:p>
      <w:pPr>
        <w:spacing w:after="0" w:line="110" w:lineRule="exact"/>
        <w:rPr>
          <w:sz w:val="20"/>
          <w:szCs w:val="20"/>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commissioning of 1.1 FGW</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added to the current operational component of the portfolio (3.9 FGW), representing approximately $137m of annualized revenues and income and $107m of annualized adjusted</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w:t>
      </w:r>
    </w:p>
    <w:p>
      <w:pPr>
        <w:spacing w:after="0" w:line="13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the company estimates that during 2026 it will begin construction of projects totaling 3 to 4 FGW, leading to a total capacity under construction of 6.5 to 7.5 FGW.</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and under construction components of the portfolio are expected to total 10.4 to 11.4 FGW by the end of 2026, representing annualized revenues (year-end 2028) of $1.8 to $2 billion in full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0972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76" w:lineRule="exact"/>
        <w:rPr>
          <w:sz w:val="20"/>
          <w:szCs w:val="20"/>
          <w:color w:val="auto"/>
        </w:rPr>
      </w:pPr>
    </w:p>
    <w:p>
      <w:pPr>
        <w:ind w:left="88" w:hanging="88"/>
        <w:spacing w:after="0"/>
        <w:tabs>
          <w:tab w:leader="none" w:pos="88" w:val="left"/>
        </w:tabs>
        <w:numPr>
          <w:ilvl w:val="0"/>
          <w:numId w:val="8"/>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Total revenues and income include revenues from the sale of electricity along with income from tax benefits from US projects amounting to $160-180m.</w:t>
      </w:r>
    </w:p>
    <w:p>
      <w:pPr>
        <w:spacing w:after="0" w:line="142" w:lineRule="exact"/>
        <w:rPr>
          <w:sz w:val="20"/>
          <w:szCs w:val="20"/>
          <w:color w:val="auto"/>
        </w:rPr>
      </w:pPr>
    </w:p>
    <w:p>
      <w:pPr>
        <w:ind w:left="8" w:right="260" w:hanging="8"/>
        <w:spacing w:after="0" w:line="200" w:lineRule="auto"/>
        <w:tabs>
          <w:tab w:leader="none" w:pos="8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FGW (Factored GW) is the company’s consolidated metric combining generation and storage capacity into a uniform figure based on the ratio of construction costs. Current weighted average construction cost ratio is 3.5 GWh of storage per 1 GW of generation: FGW = GW + GWh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2"/>
          <w:szCs w:val="12"/>
          <w:color w:val="auto"/>
        </w:rPr>
        <w:t>Adi Leviatan, CEO of Enlight Renewable Energy: “Enlight concludes 2025 with strong results and clear execution momentum. This year, we once again demonstrated our strength in developing and advancing a broad and diversified project portfolio from the development stages, through construction, grid connection and operations. As we enter 2026, the company expects another year of meaningful growth and strong execution momentum, with an accelerated pace of construction and commissioning, alongside the development of new growth engines. As electricity demand surges and is expected to continue rising, renewable energy is the most cost effective and fastest solution to meet this demand. Under these market conditions, Enlight is well positioned to continue to lead, with a proven global strategy and robust execution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Portfolio Review</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This quarter Enlight continued to expand its portfolio and advance projects through the various phases of development. As of the earning release date, Enlight’s total portfolio is comprised of 20.6 GW of generation capacity and 61 GWh energy storage (totaling 38 FGW), an increase of 26% from the total portfolio of 30.2 FGW at the end of 2024. Of this, the mature component of the portfolio (including operating projects, projects under construction or in pre-construction) contains 6.4 GW generation capacity and 17.5 GWh of storage (11.4 FGW in total), an increase of 33% from the mature component of 8.6 FGW at the end of 2024. Enlight’s mature storage component, a primary growth engine for the company, has surged by 105% over the past 12 months.</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growth of the mature component stems primarily from the completion of development for the CO Bar complex, a mega-project and one of the largest in the US. Located in Arizona, the complex comprises five phases with a total capacity of approximately 1.2 GW of solar generation and 4 GWh of energy storage capacity (approximately 2.4 FGW).</w:t>
      </w:r>
    </w:p>
    <w:p>
      <w:pPr>
        <w:spacing w:after="0" w:line="129" w:lineRule="exact"/>
        <w:rPr>
          <w:sz w:val="20"/>
          <w:szCs w:val="20"/>
          <w:color w:val="auto"/>
        </w:rPr>
      </w:pPr>
    </w:p>
    <w:p>
      <w:pPr>
        <w:jc w:val="both"/>
        <w:ind w:left="420" w:hanging="212"/>
        <w:spacing w:after="0" w:line="265"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Enlight has completed the final development milestones for the project, including the signing of a 1 GW grid connection agreement and a long-term availability Energy Storage Agreement (ESA) for Phases 4 and 5, which have a combined storage capacity of approximately 3.2 GWh (approximately 0.9 FGW). Following the achievement of these milestones, Phases 4 and 5 transitioned from the advanced development pipeline to the pre-construction pipeline, joining Phases 1 through 3 in the mature component of our portfolio. CODs are expected during the second half of 2027 and the first half of 2028.</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expected investment in the complex is estimated at $2,860 - $3,010 million, and $1,550–$1,630 million net of tax benefits. In its first full year of operation, the complex is expected to generate an EBITDA of approximately $209 - $219 million, with an unlevered project yield ranging from 13.1% to 13.5%. This yield demonstrates Enlight’s "Connect and Expand" strategy, which focuses on optimizing existing grid connection infrastructure and maximizing project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6" w:name="page7"/>
    <w:bookmarkEnd w:id="6"/>
    <w:p>
      <w:pPr>
        <w:jc w:val="both"/>
        <w:ind w:left="8"/>
        <w:spacing w:after="0" w:line="272" w:lineRule="auto"/>
        <w:rPr>
          <w:sz w:val="20"/>
          <w:szCs w:val="20"/>
          <w:color w:val="auto"/>
        </w:rPr>
      </w:pPr>
      <w:r>
        <w:rPr>
          <w:rFonts w:ascii="Times New Roman" w:cs="Times New Roman" w:eastAsia="Times New Roman" w:hAnsi="Times New Roman"/>
          <w:sz w:val="12"/>
          <w:szCs w:val="12"/>
          <w:color w:val="auto"/>
        </w:rPr>
        <w:t>As of the earnings release date, Enlight has met Safe Harbor requirements, securing eligibility for US tax benefits for a total capacity of 13.2 FGW. Of this total, 4.3 FGW secured Safe Harbor status within the last three months. This capacity encompasses the entire mature component of the U.S. portfolio (6.4 FGW), as well as approximately 6.8 FGW of projects in the advanced development and development components. In addition, 18 FGW with high likelihood to achieve grid interconnection, having completed the System Impact Study.</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composition of Enlight’s portfolio appears in the following table:</w:t>
      </w:r>
    </w:p>
    <w:p>
      <w:pPr>
        <w:spacing w:after="0" w:line="159" w:lineRule="exact"/>
        <w:rPr>
          <w:sz w:val="20"/>
          <w:szCs w:val="20"/>
          <w:color w:val="auto"/>
        </w:rPr>
      </w:pPr>
    </w:p>
    <w:tbl>
      <w:tblPr>
        <w:tblLayout w:type="fixed"/>
        <w:tblInd w:w="18" w:type="dxa"/>
        <w:tblCellMar>
          <w:top w:w="0" w:type="dxa"/>
          <w:left w:w="0" w:type="dxa"/>
          <w:bottom w:w="0" w:type="dxa"/>
          <w:right w:w="0" w:type="dxa"/>
        </w:tblCellMar>
      </w:tblPr>
      <w:tr>
        <w:trPr>
          <w:trHeight w:val="225"/>
        </w:trPr>
        <w:tc>
          <w:tcPr>
            <w:tcW w:w="1960" w:type="dxa"/>
            <w:vAlign w:val="bottom"/>
            <w:tcBorders>
              <w:top w:val="single" w:sz="8" w:color="auto"/>
              <w:left w:val="single" w:sz="8" w:color="auto"/>
              <w:bottom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Component</w:t>
            </w:r>
          </w:p>
        </w:tc>
        <w:tc>
          <w:tcPr>
            <w:tcW w:w="4020" w:type="dxa"/>
            <w:vAlign w:val="bottom"/>
            <w:tcBorders>
              <w:top w:val="single" w:sz="8" w:color="auto"/>
              <w:bottom w:val="single" w:sz="8" w:color="auto"/>
            </w:tcBorders>
            <w:shd w:val="clear" w:color="auto" w:fill="E7E6E6"/>
          </w:tcPr>
          <w:p>
            <w:pPr>
              <w:ind w:left="760"/>
              <w:spacing w:after="0"/>
              <w:rPr>
                <w:sz w:val="20"/>
                <w:szCs w:val="20"/>
                <w:color w:val="auto"/>
              </w:rPr>
            </w:pPr>
            <w:r>
              <w:rPr>
                <w:rFonts w:ascii="Times New Roman" w:cs="Times New Roman" w:eastAsia="Times New Roman" w:hAnsi="Times New Roman"/>
                <w:sz w:val="12"/>
                <w:szCs w:val="12"/>
                <w:b w:val="1"/>
                <w:bCs w:val="1"/>
                <w:color w:val="auto"/>
              </w:rPr>
              <w:t>Status</w:t>
            </w:r>
          </w:p>
        </w:tc>
        <w:tc>
          <w:tcPr>
            <w:tcW w:w="2380" w:type="dxa"/>
            <w:vAlign w:val="bottom"/>
            <w:tcBorders>
              <w:top w:val="single" w:sz="8" w:color="auto"/>
              <w:bottom w:val="single" w:sz="8" w:color="auto"/>
            </w:tcBorders>
            <w:shd w:val="clear" w:color="auto" w:fill="E7E6E6"/>
          </w:tcPr>
          <w:p>
            <w:pPr>
              <w:ind w:left="1500"/>
              <w:spacing w:after="0"/>
              <w:rPr>
                <w:sz w:val="20"/>
                <w:szCs w:val="20"/>
                <w:color w:val="auto"/>
              </w:rPr>
            </w:pPr>
            <w:r>
              <w:rPr>
                <w:rFonts w:ascii="Times New Roman" w:cs="Times New Roman" w:eastAsia="Times New Roman" w:hAnsi="Times New Roman"/>
                <w:sz w:val="12"/>
                <w:szCs w:val="12"/>
                <w:b w:val="1"/>
                <w:bCs w:val="1"/>
                <w:color w:val="auto"/>
              </w:rPr>
              <w:t>FGW</w:t>
            </w:r>
          </w:p>
        </w:tc>
        <w:tc>
          <w:tcPr>
            <w:tcW w:w="2940" w:type="dxa"/>
            <w:vAlign w:val="bottom"/>
            <w:tcBorders>
              <w:top w:val="single" w:sz="8" w:color="auto"/>
              <w:bottom w:val="single" w:sz="8" w:color="auto"/>
              <w:right w:val="single" w:sz="8" w:color="auto"/>
            </w:tcBorders>
            <w:shd w:val="clear" w:color="auto" w:fill="E7E6E6"/>
          </w:tcPr>
          <w:p>
            <w:pPr>
              <w:ind w:left="580"/>
              <w:spacing w:after="0"/>
              <w:rPr>
                <w:sz w:val="20"/>
                <w:szCs w:val="20"/>
                <w:color w:val="auto"/>
              </w:rPr>
            </w:pPr>
            <w:r>
              <w:rPr>
                <w:rFonts w:ascii="Times New Roman" w:cs="Times New Roman" w:eastAsia="Times New Roman" w:hAnsi="Times New Roman"/>
                <w:sz w:val="12"/>
                <w:szCs w:val="12"/>
                <w:b w:val="1"/>
                <w:bCs w:val="1"/>
                <w:color w:val="auto"/>
              </w:rPr>
              <w:t>Annual revenues &amp; income run rate</w:t>
            </w:r>
            <w:r>
              <w:rPr>
                <w:rFonts w:ascii="Times New Roman" w:cs="Times New Roman" w:eastAsia="Times New Roman" w:hAnsi="Times New Roman"/>
                <w:sz w:val="19"/>
                <w:szCs w:val="19"/>
                <w:b w:val="1"/>
                <w:bCs w:val="1"/>
                <w:color w:val="auto"/>
                <w:vertAlign w:val="superscript"/>
              </w:rPr>
              <w:t>5</w:t>
            </w:r>
            <w:r>
              <w:rPr>
                <w:rFonts w:ascii="Times New Roman" w:cs="Times New Roman" w:eastAsia="Times New Roman" w:hAnsi="Times New Roman"/>
                <w:sz w:val="12"/>
                <w:szCs w:val="12"/>
                <w:b w:val="1"/>
                <w:bCs w:val="1"/>
                <w:color w:val="auto"/>
              </w:rPr>
              <w:t xml:space="preserve"> ($m)</w:t>
            </w:r>
          </w:p>
        </w:tc>
      </w:tr>
      <w:tr>
        <w:trPr>
          <w:trHeight w:val="169"/>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Operating</w:t>
            </w:r>
          </w:p>
        </w:tc>
        <w:tc>
          <w:tcPr>
            <w:tcW w:w="40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Commercial operation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3.9</w:t>
            </w:r>
          </w:p>
        </w:tc>
        <w:tc>
          <w:tcPr>
            <w:tcW w:w="2940" w:type="dxa"/>
            <w:vAlign w:val="bottom"/>
            <w:tcBorders>
              <w:right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color w:val="auto"/>
                <w:w w:val="98"/>
              </w:rPr>
              <w:t>~750-770</w:t>
            </w:r>
          </w:p>
        </w:tc>
      </w:tr>
      <w:tr>
        <w:trPr>
          <w:trHeight w:val="207"/>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Under construction</w:t>
            </w:r>
          </w:p>
        </w:tc>
        <w:tc>
          <w:tcPr>
            <w:tcW w:w="40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Under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3.5</w:t>
            </w:r>
          </w:p>
        </w:tc>
        <w:tc>
          <w:tcPr>
            <w:tcW w:w="2940" w:type="dxa"/>
            <w:vAlign w:val="bottom"/>
            <w:tcBorders>
              <w:right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color w:val="auto"/>
                <w:w w:val="97"/>
              </w:rPr>
              <w:t>~700</w:t>
            </w:r>
          </w:p>
        </w:tc>
      </w:tr>
      <w:tr>
        <w:trPr>
          <w:trHeight w:val="207"/>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Pre-construction</w:t>
            </w:r>
          </w:p>
        </w:tc>
        <w:tc>
          <w:tcPr>
            <w:tcW w:w="40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0-12 months to start of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4.0</w:t>
            </w:r>
          </w:p>
        </w:tc>
        <w:tc>
          <w:tcPr>
            <w:tcW w:w="2940" w:type="dxa"/>
            <w:vAlign w:val="bottom"/>
            <w:tcBorders>
              <w:right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color w:val="auto"/>
                <w:w w:val="97"/>
              </w:rPr>
              <w:t>~600</w:t>
            </w:r>
          </w:p>
        </w:tc>
      </w:tr>
      <w:tr>
        <w:trPr>
          <w:trHeight w:val="36"/>
        </w:trPr>
        <w:tc>
          <w:tcPr>
            <w:tcW w:w="1960" w:type="dxa"/>
            <w:vAlign w:val="bottom"/>
            <w:tcBorders>
              <w:left w:val="single" w:sz="8" w:color="auto"/>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185"/>
        </w:trPr>
        <w:tc>
          <w:tcPr>
            <w:tcW w:w="19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Total Mature Portfolio</w:t>
            </w:r>
          </w:p>
        </w:tc>
        <w:tc>
          <w:tcPr>
            <w:tcW w:w="4020" w:type="dxa"/>
            <w:vAlign w:val="bottom"/>
            <w:tcBorders>
              <w:bottom w:val="single" w:sz="8" w:color="E7E6E6"/>
            </w:tcBorders>
            <w:shd w:val="clear" w:color="auto" w:fill="E7E6E6"/>
          </w:tcPr>
          <w:p>
            <w:pPr>
              <w:ind w:left="760"/>
              <w:spacing w:after="0"/>
              <w:rPr>
                <w:sz w:val="20"/>
                <w:szCs w:val="20"/>
                <w:color w:val="auto"/>
              </w:rPr>
            </w:pPr>
            <w:r>
              <w:rPr>
                <w:rFonts w:ascii="Times New Roman" w:cs="Times New Roman" w:eastAsia="Times New Roman" w:hAnsi="Times New Roman"/>
                <w:sz w:val="12"/>
                <w:szCs w:val="12"/>
                <w:b w:val="1"/>
                <w:bCs w:val="1"/>
                <w:color w:val="auto"/>
              </w:rPr>
              <w:t>Mature</w:t>
            </w:r>
          </w:p>
        </w:tc>
        <w:tc>
          <w:tcPr>
            <w:tcW w:w="2380" w:type="dxa"/>
            <w:vAlign w:val="bottom"/>
            <w:tcBorders>
              <w:bottom w:val="single" w:sz="8" w:color="E7E6E6"/>
            </w:tcBorders>
            <w:shd w:val="clear" w:color="auto" w:fill="E7E6E6"/>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5"/>
              </w:rPr>
              <w:t>11.4</w:t>
            </w:r>
          </w:p>
        </w:tc>
        <w:tc>
          <w:tcPr>
            <w:tcW w:w="2940" w:type="dxa"/>
            <w:vAlign w:val="bottom"/>
            <w:tcBorders>
              <w:bottom w:val="single" w:sz="8" w:color="E7E6E6"/>
              <w:right w:val="single" w:sz="8" w:color="auto"/>
            </w:tcBorders>
            <w:shd w:val="clear" w:color="auto" w:fill="E7E6E6"/>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~$2,050-2,070m</w:t>
            </w:r>
          </w:p>
        </w:tc>
      </w:tr>
      <w:tr>
        <w:trPr>
          <w:trHeight w:val="171"/>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Advanced development</w:t>
            </w:r>
          </w:p>
        </w:tc>
        <w:tc>
          <w:tcPr>
            <w:tcW w:w="40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13-24 months to start of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6.4</w:t>
            </w:r>
          </w:p>
        </w:tc>
        <w:tc>
          <w:tcPr>
            <w:tcW w:w="29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2"/>
                <w:szCs w:val="12"/>
                <w:color w:val="auto"/>
              </w:rPr>
              <w:t>N/A</w:t>
            </w:r>
          </w:p>
        </w:tc>
      </w:tr>
      <w:tr>
        <w:trPr>
          <w:trHeight w:val="207"/>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Development</w:t>
            </w:r>
          </w:p>
        </w:tc>
        <w:tc>
          <w:tcPr>
            <w:tcW w:w="40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2+ years to start of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5"/>
              </w:rPr>
              <w:t>21.3</w:t>
            </w:r>
          </w:p>
        </w:tc>
        <w:tc>
          <w:tcPr>
            <w:tcW w:w="29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2"/>
                <w:szCs w:val="12"/>
                <w:color w:val="auto"/>
              </w:rPr>
              <w:t>N/A</w:t>
            </w:r>
          </w:p>
        </w:tc>
      </w:tr>
      <w:tr>
        <w:trPr>
          <w:trHeight w:val="36"/>
        </w:trPr>
        <w:tc>
          <w:tcPr>
            <w:tcW w:w="1960" w:type="dxa"/>
            <w:vAlign w:val="bottom"/>
            <w:tcBorders>
              <w:left w:val="single" w:sz="8" w:color="auto"/>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185"/>
        </w:trPr>
        <w:tc>
          <w:tcPr>
            <w:tcW w:w="19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Total Portfolio</w:t>
            </w:r>
          </w:p>
        </w:tc>
        <w:tc>
          <w:tcPr>
            <w:tcW w:w="4020" w:type="dxa"/>
            <w:vAlign w:val="bottom"/>
            <w:tcBorders>
              <w:bottom w:val="single" w:sz="8" w:color="E7E6E6"/>
            </w:tcBorders>
            <w:shd w:val="clear" w:color="auto" w:fill="E7E6E6"/>
          </w:tcPr>
          <w:p>
            <w:pPr>
              <w:spacing w:after="0"/>
              <w:rPr>
                <w:sz w:val="16"/>
                <w:szCs w:val="16"/>
                <w:color w:val="auto"/>
              </w:rPr>
            </w:pPr>
          </w:p>
        </w:tc>
        <w:tc>
          <w:tcPr>
            <w:tcW w:w="2380" w:type="dxa"/>
            <w:vAlign w:val="bottom"/>
            <w:tcBorders>
              <w:bottom w:val="single" w:sz="8" w:color="E7E6E6"/>
            </w:tcBorders>
            <w:shd w:val="clear" w:color="auto" w:fill="E7E6E6"/>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5"/>
              </w:rPr>
              <w:t>38.0</w:t>
            </w:r>
          </w:p>
        </w:tc>
        <w:tc>
          <w:tcPr>
            <w:tcW w:w="2940" w:type="dxa"/>
            <w:vAlign w:val="bottom"/>
            <w:tcBorders>
              <w:bottom w:val="single" w:sz="8" w:color="E7E6E6"/>
              <w:right w:val="single" w:sz="8" w:color="auto"/>
            </w:tcBorders>
            <w:shd w:val="clear" w:color="auto" w:fill="E7E6E6"/>
          </w:tcPr>
          <w:p>
            <w:pPr>
              <w:ind w:left="1620"/>
              <w:spacing w:after="0"/>
              <w:rPr>
                <w:sz w:val="20"/>
                <w:szCs w:val="20"/>
                <w:color w:val="auto"/>
              </w:rPr>
            </w:pPr>
            <w:r>
              <w:rPr>
                <w:rFonts w:ascii="Times New Roman" w:cs="Times New Roman" w:eastAsia="Times New Roman" w:hAnsi="Times New Roman"/>
                <w:sz w:val="12"/>
                <w:szCs w:val="12"/>
                <w:color w:val="auto"/>
              </w:rPr>
              <w:t>N/A</w:t>
            </w:r>
          </w:p>
        </w:tc>
      </w:tr>
      <w:tr>
        <w:trPr>
          <w:trHeight w:val="20"/>
        </w:trPr>
        <w:tc>
          <w:tcPr>
            <w:tcW w:w="1960" w:type="dxa"/>
            <w:vAlign w:val="bottom"/>
            <w:tcBorders>
              <w:left w:val="single" w:sz="8" w:color="auto"/>
            </w:tcBorders>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940" w:type="dxa"/>
            <w:vAlign w:val="bottom"/>
            <w:tcBorders>
              <w:right w:val="single" w:sz="8" w:color="auto"/>
            </w:tcBorders>
            <w:shd w:val="clear" w:color="auto" w:fill="000000"/>
          </w:tcPr>
          <w:p>
            <w:pPr>
              <w:spacing w:after="0" w:line="20" w:lineRule="exact"/>
              <w:rPr>
                <w:sz w:val="1"/>
                <w:szCs w:val="1"/>
                <w:color w:val="auto"/>
              </w:rPr>
            </w:pPr>
          </w:p>
        </w:tc>
      </w:tr>
    </w:tbl>
    <w:p>
      <w:pPr>
        <w:spacing w:after="0" w:line="129" w:lineRule="exact"/>
        <w:rPr>
          <w:sz w:val="20"/>
          <w:szCs w:val="20"/>
          <w:color w:val="auto"/>
        </w:rPr>
      </w:pPr>
    </w:p>
    <w:p>
      <w:pPr>
        <w:ind w:left="428" w:hanging="212"/>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Operating component of the portfolio: 3.9 FGW</w:t>
      </w:r>
    </w:p>
    <w:p>
      <w:pPr>
        <w:spacing w:after="0" w:line="163" w:lineRule="exact"/>
        <w:rPr>
          <w:sz w:val="20"/>
          <w:szCs w:val="20"/>
          <w:color w:val="auto"/>
        </w:rPr>
      </w:pPr>
    </w:p>
    <w:p>
      <w:pPr>
        <w:ind w:left="968" w:right="20" w:hanging="212"/>
        <w:spacing w:after="0" w:line="279" w:lineRule="auto"/>
        <w:tabs>
          <w:tab w:leader="none" w:pos="9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last twelve months, Enlight’s operating component expanded by 29%, primarily due to the commercial operation of Quail Ranch and Roadrunner (with aggregated capacity of 0.8 FGW) in the fourth quarter of 2025, doubling the operational portfolio in the U.S.</w:t>
      </w:r>
    </w:p>
    <w:p>
      <w:pPr>
        <w:spacing w:after="0" w:line="120"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portfolio generates annualized revenues and income run rate of approximately $760m.</w:t>
      </w:r>
    </w:p>
    <w:p>
      <w:pPr>
        <w:spacing w:after="0" w:line="14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Under construction component of the portfolio: 3.5 FGW</w:t>
      </w:r>
    </w:p>
    <w:p>
      <w:pPr>
        <w:spacing w:after="0" w:line="163"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last 12 months construction has commenced in projects with capacity totaling 2.6 FGW.</w:t>
      </w:r>
    </w:p>
    <w:p>
      <w:pPr>
        <w:spacing w:after="0" w:line="159"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under-construction component includes four major projects in the U.S. with a total capacity of 2.9 FGW, all benefit from long-term Busbar PPA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0972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76" w:lineRule="exact"/>
        <w:rPr>
          <w:sz w:val="20"/>
          <w:szCs w:val="20"/>
          <w:color w:val="auto"/>
        </w:rPr>
      </w:pPr>
    </w:p>
    <w:p>
      <w:pPr>
        <w:ind w:left="68" w:hanging="68"/>
        <w:spacing w:after="0"/>
        <w:tabs>
          <w:tab w:leader="none" w:pos="68" w:val="left"/>
        </w:tabs>
        <w:numPr>
          <w:ilvl w:val="0"/>
          <w:numId w:val="13"/>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As of February 16, 2026 (“the 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2" w:right="299" w:bottom="1440" w:gutter="0" w:footer="0" w:header="0"/>
        </w:sectPr>
      </w:pPr>
    </w:p>
    <w:bookmarkStart w:id="7" w:name="page8"/>
    <w:bookmarkEnd w:id="7"/>
    <w:p>
      <w:pPr>
        <w:ind w:left="752"/>
        <w:spacing w:after="0"/>
        <w:rPr>
          <w:sz w:val="20"/>
          <w:szCs w:val="20"/>
          <w:color w:val="auto"/>
        </w:rPr>
      </w:pPr>
      <w:r>
        <w:rPr>
          <w:rFonts w:ascii="Times New Roman" w:cs="Times New Roman" w:eastAsia="Times New Roman" w:hAnsi="Times New Roman"/>
          <w:sz w:val="12"/>
          <w:szCs w:val="12"/>
          <w:color w:val="auto"/>
        </w:rPr>
        <w:t>The following projects in the U.S. advanced to the under-construction component:</w:t>
      </w:r>
    </w:p>
    <w:p>
      <w:pPr>
        <w:spacing w:after="0" w:line="95" w:lineRule="exact"/>
        <w:rPr>
          <w:sz w:val="20"/>
          <w:szCs w:val="20"/>
          <w:color w:val="auto"/>
        </w:rPr>
      </w:pPr>
    </w:p>
    <w:p>
      <w:pPr>
        <w:ind w:left="1072" w:hanging="208"/>
        <w:spacing w:after="0"/>
        <w:tabs>
          <w:tab w:leader="none" w:pos="107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Phases 1 and 2 in the CO Bar complex, totaling approximately 1 FGW advanced to under-construction.</w:t>
      </w:r>
    </w:p>
    <w:p>
      <w:pPr>
        <w:spacing w:after="0" w:line="93" w:lineRule="exact"/>
        <w:rPr>
          <w:rFonts w:ascii="Times New Roman" w:cs="Times New Roman" w:eastAsia="Times New Roman" w:hAnsi="Times New Roman"/>
          <w:sz w:val="19"/>
          <w:szCs w:val="19"/>
          <w:color w:val="auto"/>
          <w:vertAlign w:val="superscript"/>
        </w:rPr>
      </w:pPr>
    </w:p>
    <w:p>
      <w:pPr>
        <w:ind w:left="1072" w:hanging="208"/>
        <w:spacing w:after="0" w:line="223" w:lineRule="auto"/>
        <w:tabs>
          <w:tab w:leader="none" w:pos="107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Crimson Orchard in Idaho, U.S., with solar generation capacity of 120 MW and storage capacity of 400 MWh (approximately 230 FMW).</w:t>
      </w:r>
    </w:p>
    <w:p>
      <w:pPr>
        <w:spacing w:after="0" w:line="133" w:lineRule="exact"/>
        <w:rPr>
          <w:rFonts w:ascii="Times New Roman" w:cs="Times New Roman" w:eastAsia="Times New Roman" w:hAnsi="Times New Roman"/>
          <w:sz w:val="19"/>
          <w:szCs w:val="19"/>
          <w:color w:val="auto"/>
          <w:vertAlign w:val="superscript"/>
        </w:rPr>
      </w:pPr>
    </w:p>
    <w:p>
      <w:pPr>
        <w:jc w:val="both"/>
        <w:ind w:left="1072" w:hanging="208"/>
        <w:spacing w:after="0" w:line="214" w:lineRule="auto"/>
        <w:tabs>
          <w:tab w:leader="none" w:pos="107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Another project that advanced to under-construction during 2025 is Snowflake A in Arizona, U.S., with solar generation capacity of 594 MW and storage capacity of 1,900 MWh (approximately 1.1 FGW). The project is expected to become operational in the second half of 2027. This is the first phase of the Snowflake complex and its larger second phase is in the advanced development component. Both phases have a joint grid connection of 1 GW. Snowflake is an example of Enlight’s Connect and Expand strategy, which drives lower risk and maximizes returns.</w:t>
      </w:r>
    </w:p>
    <w:p>
      <w:pPr>
        <w:spacing w:after="0" w:line="144" w:lineRule="exact"/>
        <w:rPr>
          <w:sz w:val="20"/>
          <w:szCs w:val="20"/>
          <w:color w:val="auto"/>
        </w:rPr>
      </w:pPr>
    </w:p>
    <w:p>
      <w:pPr>
        <w:ind w:left="752" w:hanging="212"/>
        <w:spacing w:after="0"/>
        <w:tabs>
          <w:tab w:leader="none" w:pos="752"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construction projects are expected to contribute ~$700m to annual revenues and income run rate during their first full year of operation.</w:t>
      </w:r>
    </w:p>
    <w:p>
      <w:pPr>
        <w:spacing w:after="0" w:line="155"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Pre-construction component of the portfolio: 4 FGW</w:t>
      </w:r>
    </w:p>
    <w:p>
      <w:pPr>
        <w:spacing w:after="0" w:line="154" w:lineRule="exact"/>
        <w:rPr>
          <w:rFonts w:ascii="Times New Roman" w:cs="Times New Roman" w:eastAsia="Times New Roman" w:hAnsi="Times New Roman"/>
          <w:sz w:val="12"/>
          <w:szCs w:val="12"/>
          <w:color w:val="auto"/>
        </w:rPr>
      </w:pPr>
    </w:p>
    <w:p>
      <w:pPr>
        <w:ind w:left="752" w:hanging="212"/>
        <w:spacing w:after="0"/>
        <w:tabs>
          <w:tab w:leader="none" w:pos="752"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past 12 months projects with a capacity amounting to more than 2.5 FGW advanced to pre-construction.</w:t>
      </w:r>
    </w:p>
    <w:p>
      <w:pPr>
        <w:spacing w:after="0" w:line="159" w:lineRule="exact"/>
        <w:rPr>
          <w:rFonts w:ascii="Times New Roman" w:cs="Times New Roman" w:eastAsia="Times New Roman" w:hAnsi="Times New Roman"/>
          <w:sz w:val="12"/>
          <w:szCs w:val="12"/>
          <w:color w:val="auto"/>
        </w:rPr>
      </w:pPr>
    </w:p>
    <w:p>
      <w:pPr>
        <w:ind w:left="752" w:hanging="212"/>
        <w:spacing w:after="0"/>
        <w:tabs>
          <w:tab w:leader="none" w:pos="752"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Notable additions during the quarter:</w:t>
      </w:r>
    </w:p>
    <w:p>
      <w:pPr>
        <w:spacing w:after="0" w:line="95" w:lineRule="exact"/>
        <w:rPr>
          <w:rFonts w:ascii="Times New Roman" w:cs="Times New Roman" w:eastAsia="Times New Roman" w:hAnsi="Times New Roman"/>
          <w:sz w:val="12"/>
          <w:szCs w:val="12"/>
          <w:color w:val="auto"/>
        </w:rPr>
      </w:pPr>
    </w:p>
    <w:p>
      <w:pPr>
        <w:ind w:left="1072" w:hanging="208"/>
        <w:spacing w:after="0"/>
        <w:tabs>
          <w:tab w:leader="none" w:pos="1072" w:val="left"/>
        </w:tabs>
        <w:numPr>
          <w:ilvl w:val="2"/>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Phases 4 and 5 of the CO Bar complex with storage capacity of 3.2 GWh (approximately 0.9 FGW) progressed from advanced development to pre-construction.</w:t>
      </w:r>
    </w:p>
    <w:p>
      <w:pPr>
        <w:spacing w:after="0" w:line="133" w:lineRule="exact"/>
        <w:rPr>
          <w:rFonts w:ascii="Times New Roman" w:cs="Times New Roman" w:eastAsia="Times New Roman" w:hAnsi="Times New Roman"/>
          <w:sz w:val="19"/>
          <w:szCs w:val="19"/>
          <w:color w:val="auto"/>
          <w:vertAlign w:val="superscript"/>
        </w:rPr>
      </w:pPr>
    </w:p>
    <w:p>
      <w:pPr>
        <w:ind w:left="752" w:right="100" w:hanging="212"/>
        <w:spacing w:after="0" w:line="265" w:lineRule="auto"/>
        <w:tabs>
          <w:tab w:leader="none" w:pos="752"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agreement was signed for the acquisition of 51% from the Jupiter project in Germany (with an option to increase ownership to 60%), with an energy storage capacity of 2,000 MWh and solar generation of 150 MW (a total of 720 FMW). The project has secured grid connection of 500 MW. The total investment in the project is expected to amount to $559 - $587 million and the first year EBITDA is expected to amount to $82 - 87 million, reflecting an unlevered return of approximately 15%. The acquisition expands Enlight’s footprint in Germany, one of the world’s most attractive renewable energy markets.</w:t>
      </w:r>
    </w:p>
    <w:p>
      <w:pPr>
        <w:spacing w:after="0" w:line="127" w:lineRule="exact"/>
        <w:rPr>
          <w:rFonts w:ascii="Times New Roman" w:cs="Times New Roman" w:eastAsia="Times New Roman" w:hAnsi="Times New Roman"/>
          <w:sz w:val="12"/>
          <w:szCs w:val="12"/>
          <w:color w:val="auto"/>
        </w:rPr>
      </w:pPr>
    </w:p>
    <w:p>
      <w:pPr>
        <w:ind w:left="752" w:hanging="212"/>
        <w:spacing w:after="0"/>
        <w:tabs>
          <w:tab w:leader="none" w:pos="752"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projects that were added to pre-construction in the past 12 months:</w:t>
      </w:r>
    </w:p>
    <w:p>
      <w:pPr>
        <w:spacing w:after="0" w:line="95" w:lineRule="exact"/>
        <w:rPr>
          <w:rFonts w:ascii="Times New Roman" w:cs="Times New Roman" w:eastAsia="Times New Roman" w:hAnsi="Times New Roman"/>
          <w:sz w:val="12"/>
          <w:szCs w:val="12"/>
          <w:color w:val="auto"/>
        </w:rPr>
      </w:pPr>
    </w:p>
    <w:p>
      <w:pPr>
        <w:ind w:left="1072" w:hanging="208"/>
        <w:spacing w:after="0"/>
        <w:tabs>
          <w:tab w:leader="none" w:pos="1072" w:val="left"/>
        </w:tabs>
        <w:numPr>
          <w:ilvl w:val="2"/>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Bertikow, an 860 MWh (246 FMW) stand-alone storage project acquired in Germany, marking Enlight’s first project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171450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92"/>
          </w:cols>
          <w:pgMar w:left="508" w:top="282" w:right="299" w:bottom="1440" w:gutter="0" w:footer="0" w:header="0"/>
        </w:sectPr>
      </w:pPr>
    </w:p>
    <w:bookmarkStart w:id="8" w:name="page9"/>
    <w:bookmarkEnd w:id="8"/>
    <w:p>
      <w:pPr>
        <w:ind w:left="1080" w:hanging="208"/>
        <w:spacing w:after="0"/>
        <w:tabs>
          <w:tab w:leader="none" w:pos="10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Nardo Solar in Italy with Solar generation capacity of 100 MW. The project also includes storage capacity of 872 MWh (approximately 250 FMW) in pre-construction.</w:t>
      </w:r>
    </w:p>
    <w:p>
      <w:pPr>
        <w:spacing w:after="0" w:line="93" w:lineRule="exact"/>
        <w:rPr>
          <w:rFonts w:ascii="Times New Roman" w:cs="Times New Roman" w:eastAsia="Times New Roman" w:hAnsi="Times New Roman"/>
          <w:sz w:val="19"/>
          <w:szCs w:val="19"/>
          <w:color w:val="auto"/>
          <w:vertAlign w:val="superscript"/>
        </w:rPr>
      </w:pPr>
    </w:p>
    <w:p>
      <w:pPr>
        <w:ind w:left="1080" w:hanging="208"/>
        <w:spacing w:after="0" w:line="213" w:lineRule="auto"/>
        <w:tabs>
          <w:tab w:leader="none" w:pos="10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Edison, a 208 MWh (59 FMW) stand-alone storage project acquired in Poland.</w:t>
      </w:r>
    </w:p>
    <w:p>
      <w:pPr>
        <w:spacing w:after="0" w:line="94" w:lineRule="exact"/>
        <w:rPr>
          <w:rFonts w:ascii="Times New Roman" w:cs="Times New Roman" w:eastAsia="Times New Roman" w:hAnsi="Times New Roman"/>
          <w:sz w:val="19"/>
          <w:szCs w:val="19"/>
          <w:color w:val="auto"/>
          <w:vertAlign w:val="superscript"/>
        </w:rPr>
      </w:pPr>
    </w:p>
    <w:p>
      <w:pPr>
        <w:ind w:left="1080" w:hanging="208"/>
        <w:spacing w:after="0" w:line="223" w:lineRule="auto"/>
        <w:tabs>
          <w:tab w:leader="none" w:pos="10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1,350 MWh (386 FMW) high-voltage storage projects in Israel.</w:t>
      </w:r>
    </w:p>
    <w:p>
      <w:pPr>
        <w:spacing w:after="0" w:line="143" w:lineRule="exact"/>
        <w:rPr>
          <w:sz w:val="20"/>
          <w:szCs w:val="20"/>
          <w:color w:val="auto"/>
        </w:rPr>
      </w:pPr>
    </w:p>
    <w:p>
      <w:pPr>
        <w:ind w:left="760" w:hanging="212"/>
        <w:spacing w:after="0"/>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Pre-construction projects are expected to contribute ~$600m to the annual revenues and income run rate during their first full year of operation.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With the completion of the current mature portfolio by year-end 2028, Enlight’s operating capacity is expected to rise to 12-13 FGW and to generate an annualized revenues and income run rate of $2.1-$2.3bn.</w:t>
      </w:r>
    </w:p>
    <w:p>
      <w:pPr>
        <w:spacing w:after="0" w:line="180"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Advanced development component of the portfolio component: 6.4 FGW</w:t>
      </w:r>
    </w:p>
    <w:p>
      <w:pPr>
        <w:spacing w:after="0" w:line="154" w:lineRule="exact"/>
        <w:rPr>
          <w:sz w:val="20"/>
          <w:szCs w:val="20"/>
          <w:color w:val="auto"/>
        </w:rPr>
      </w:pPr>
    </w:p>
    <w:p>
      <w:pPr>
        <w:ind w:left="760" w:hanging="212"/>
        <w:spacing w:after="0"/>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 FGW in the U.S., of which 2 FGW in follow-on projects as part of Enlight’s Connect and Expand strategy: Snowflake B (1.3 FGW) and Atrisco 2 (0.7 FGW).</w:t>
      </w:r>
    </w:p>
    <w:p>
      <w:pPr>
        <w:spacing w:after="0" w:line="159"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89% of the capacity has met Safe Harbor requirements, securing eligibility for US tax benefits.</w:t>
      </w:r>
    </w:p>
    <w:p>
      <w:pPr>
        <w:spacing w:after="0" w:line="159"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89% of the capacity have completed the System Impact Study, the key milestone in securing grid interconnection.</w:t>
      </w:r>
    </w:p>
    <w:p>
      <w:pPr>
        <w:spacing w:after="0" w:line="150"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advanced development portfolio also includes 1 FGW in Europe and 0.8 FGW in MENA.</w:t>
      </w:r>
    </w:p>
    <w:p>
      <w:pPr>
        <w:spacing w:after="0" w:line="155" w:lineRule="exact"/>
        <w:rPr>
          <w:rFonts w:ascii="Times New Roman" w:cs="Times New Roman" w:eastAsia="Times New Roman" w:hAnsi="Times New Roman"/>
          <w:sz w:val="12"/>
          <w:szCs w:val="12"/>
          <w:color w:val="auto"/>
        </w:rPr>
      </w:pPr>
    </w:p>
    <w:p>
      <w:pPr>
        <w:ind w:left="220" w:hanging="212"/>
        <w:spacing w:after="0"/>
        <w:tabs>
          <w:tab w:leader="none" w:pos="2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Development component of the portfolio: 20.2 FGW</w:t>
      </w:r>
    </w:p>
    <w:p>
      <w:pPr>
        <w:spacing w:after="0" w:line="163" w:lineRule="exact"/>
        <w:rPr>
          <w:rFonts w:ascii="Times New Roman" w:cs="Times New Roman" w:eastAsia="Times New Roman" w:hAnsi="Times New Roman"/>
          <w:sz w:val="12"/>
          <w:szCs w:val="12"/>
          <w:color w:val="auto"/>
        </w:rPr>
      </w:pPr>
    </w:p>
    <w:p>
      <w:pPr>
        <w:ind w:left="760" w:right="40" w:hanging="212"/>
        <w:spacing w:after="0" w:line="279" w:lineRule="auto"/>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13.8 FGW in the U.S. with broad geographic presence, including the WECC, PJM, SPP and MISO regions. 53% and 19% of the capacity completed the System Impact Study and has achieved Safe Harbor, respectively.</w:t>
      </w:r>
    </w:p>
    <w:p>
      <w:pPr>
        <w:spacing w:after="0" w:line="111"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portfolio also includes 2.7 FGW in Europe and 3.7 FGW in 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182245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60"/>
          </w:cols>
          <w:pgMar w:left="500" w:top="218" w:right="73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Roadmap to Revenues and Income Run-Rate of ~$2.1-2.3bn by the end of 2028</w:t>
      </w:r>
      <w:r>
        <w:rPr>
          <w:rFonts w:ascii="Times New Roman" w:cs="Times New Roman" w:eastAsia="Times New Roman" w:hAnsi="Times New Roman"/>
          <w:sz w:val="19"/>
          <w:szCs w:val="19"/>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62865</wp:posOffset>
            </wp:positionV>
            <wp:extent cx="3943350" cy="1440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Project and Corporate Finance</w:t>
      </w:r>
    </w:p>
    <w:p>
      <w:pPr>
        <w:spacing w:after="0" w:line="163" w:lineRule="exact"/>
        <w:rPr>
          <w:sz w:val="20"/>
          <w:szCs w:val="20"/>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2025, the Company secured project finance from multiple sources:</w:t>
      </w:r>
    </w:p>
    <w:p>
      <w:pPr>
        <w:spacing w:after="0" w:line="159" w:lineRule="exact"/>
        <w:rPr>
          <w:sz w:val="20"/>
          <w:szCs w:val="20"/>
          <w:color w:val="auto"/>
        </w:rPr>
      </w:pPr>
    </w:p>
    <w:p>
      <w:pPr>
        <w:ind w:left="968" w:hanging="212"/>
        <w:spacing w:after="0"/>
        <w:tabs>
          <w:tab w:leader="none" w:pos="96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close totaling approximately $1.4bn of loans for the Snowflake A project (1.1 FGW).</w:t>
      </w:r>
    </w:p>
    <w:p>
      <w:pPr>
        <w:spacing w:after="0" w:line="159"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equity financing for the Roadrunner and Quail Ranch projects (0.8 FGW combined) totaling approximately $470m.</w:t>
      </w:r>
    </w:p>
    <w:p>
      <w:pPr>
        <w:spacing w:after="0" w:line="150" w:lineRule="exact"/>
        <w:rPr>
          <w:rFonts w:ascii="Times New Roman" w:cs="Times New Roman" w:eastAsia="Times New Roman" w:hAnsi="Times New Roman"/>
          <w:sz w:val="12"/>
          <w:szCs w:val="12"/>
          <w:color w:val="auto"/>
        </w:rPr>
      </w:pPr>
    </w:p>
    <w:p>
      <w:pPr>
        <w:ind w:left="968" w:hanging="212"/>
        <w:spacing w:after="0" w:line="279" w:lineRule="auto"/>
        <w:tabs>
          <w:tab w:leader="none" w:pos="96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Completion of a $350m mezzanine loan with competitive margins of 2.7% - 3.2% above SOFR and flexible drawdown and repayment terms, supporting the development and operational needs of projects now under construction in the U.S.</w:t>
      </w:r>
    </w:p>
    <w:p>
      <w:pPr>
        <w:spacing w:after="0" w:line="120"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Raising approximately $300m in share equity through a private placement to Israeli institutional investors and $245 million in debentures in the Tel Aviv Stock Exchange.</w:t>
      </w:r>
    </w:p>
    <w:p>
      <w:pPr>
        <w:spacing w:after="0" w:line="159"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of 44% of the Sunlight cluster generated cash flow of $50 million.</w:t>
      </w:r>
    </w:p>
    <w:p>
      <w:pPr>
        <w:spacing w:after="0" w:line="142"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at the “topco” level</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were $217m as at the balance sheet date.</w:t>
      </w:r>
    </w:p>
    <w:p>
      <w:pPr>
        <w:spacing w:after="0" w:line="8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balance sheet date, the Company maintained $525m of credit facilities, of which $162m has been drawn. In addition, of approximately $1.5bn of LC and surety bond facilities, $713m was drawn at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0972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65" w:lineRule="exact"/>
        <w:rPr>
          <w:sz w:val="20"/>
          <w:szCs w:val="20"/>
          <w:color w:val="auto"/>
        </w:rPr>
      </w:pPr>
    </w:p>
    <w:p>
      <w:pPr>
        <w:ind w:left="8" w:right="60" w:hanging="8"/>
        <w:spacing w:after="0" w:line="225" w:lineRule="auto"/>
        <w:tabs>
          <w:tab w:leader="none" w:pos="89" w:val="left"/>
        </w:tabs>
        <w:numPr>
          <w:ilvl w:val="0"/>
          <w:numId w:val="22"/>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Expected Adjusted EBITDA margin of approximately 70%-80% (including tax benefits) for the years shown. FGW (Factored GW) is a consolidated metric combining generation and storage capacity into a uniform figure based on the ratio of construction costs. The company’s current weighted average construction cost ratio is 3.5 GWh of storage per 1 GW of generation: FGW = GW + GWh / 3.5. The expected growth in 2028 encompasses the Company’s operations in all geographies. Expected growth relies on business plans which rely on development conditions and assumptions regarding electricity prices, and are contingent on current trends known to the Company at this time; The company's revenues from tax benefits are estimated at approximately 19-23% of the total revenues &amp; income run rate for December 2025; approximately 24-28% of the total revenue run rate for December 2026, and approximately 28-33% of the total revenues &amp; income run rate for December 2027 and December 2028.</w:t>
      </w:r>
    </w:p>
    <w:p>
      <w:pPr>
        <w:spacing w:after="0" w:line="64" w:lineRule="exact"/>
        <w:rPr>
          <w:sz w:val="20"/>
          <w:szCs w:val="20"/>
          <w:color w:val="auto"/>
        </w:rPr>
      </w:pPr>
    </w:p>
    <w:p>
      <w:pPr>
        <w:ind w:left="88" w:hanging="88"/>
        <w:spacing w:after="0"/>
        <w:tabs>
          <w:tab w:leader="none" w:pos="88" w:val="left"/>
        </w:tabs>
        <w:numPr>
          <w:ilvl w:val="0"/>
          <w:numId w:val="23"/>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Including Enlight Renewable Energy, headquarter companies in Europe and the U.S. and Clenera, and excluding other subsidiaries and project-linked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7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Financial Results Analysis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460" w:type="dxa"/>
            <w:vAlign w:val="bottom"/>
            <w:tcBorders>
              <w:top w:val="single" w:sz="8" w:color="auto"/>
              <w:left w:val="single" w:sz="8" w:color="auto"/>
            </w:tcBorders>
            <w:shd w:val="clear" w:color="auto" w:fill="E7E6E6"/>
          </w:tcPr>
          <w:p>
            <w:pPr>
              <w:spacing w:after="0"/>
              <w:rPr>
                <w:sz w:val="16"/>
                <w:szCs w:val="16"/>
                <w:color w:val="auto"/>
              </w:rPr>
            </w:pPr>
          </w:p>
        </w:tc>
        <w:tc>
          <w:tcPr>
            <w:tcW w:w="2040" w:type="dxa"/>
            <w:vAlign w:val="bottom"/>
            <w:tcBorders>
              <w:top w:val="single" w:sz="8" w:color="auto"/>
            </w:tcBorders>
            <w:shd w:val="clear" w:color="auto" w:fill="E7E6E6"/>
          </w:tcPr>
          <w:p>
            <w:pPr>
              <w:spacing w:after="0"/>
              <w:rPr>
                <w:sz w:val="16"/>
                <w:szCs w:val="16"/>
                <w:color w:val="auto"/>
              </w:rPr>
            </w:pPr>
          </w:p>
        </w:tc>
        <w:tc>
          <w:tcPr>
            <w:tcW w:w="2720" w:type="dxa"/>
            <w:vAlign w:val="bottom"/>
            <w:tcBorders>
              <w:top w:val="single" w:sz="8" w:color="auto"/>
            </w:tcBorders>
            <w:gridSpan w:val="2"/>
            <w:shd w:val="clear" w:color="auto" w:fill="E7E6E6"/>
          </w:tcPr>
          <w:p>
            <w:pPr>
              <w:ind w:left="320"/>
              <w:spacing w:after="0"/>
              <w:rPr>
                <w:sz w:val="20"/>
                <w:szCs w:val="20"/>
                <w:color w:val="auto"/>
              </w:rPr>
            </w:pPr>
            <w:r>
              <w:rPr>
                <w:rFonts w:ascii="Times New Roman" w:cs="Times New Roman" w:eastAsia="Times New Roman" w:hAnsi="Times New Roman"/>
                <w:sz w:val="12"/>
                <w:szCs w:val="12"/>
                <w:b w:val="1"/>
                <w:bCs w:val="1"/>
                <w:color w:val="auto"/>
              </w:rPr>
              <w:t>Revenues &amp; Income by Segment</w:t>
            </w:r>
          </w:p>
        </w:tc>
        <w:tc>
          <w:tcPr>
            <w:tcW w:w="1380" w:type="dxa"/>
            <w:vAlign w:val="bottom"/>
            <w:tcBorders>
              <w:top w:val="single" w:sz="8" w:color="auto"/>
            </w:tcBorders>
            <w:shd w:val="clear" w:color="auto" w:fill="E7E6E6"/>
          </w:tcPr>
          <w:p>
            <w:pPr>
              <w:spacing w:after="0"/>
              <w:rPr>
                <w:sz w:val="16"/>
                <w:szCs w:val="16"/>
                <w:color w:val="auto"/>
              </w:rPr>
            </w:pPr>
          </w:p>
        </w:tc>
        <w:tc>
          <w:tcPr>
            <w:tcW w:w="1380" w:type="dxa"/>
            <w:vAlign w:val="bottom"/>
            <w:tcBorders>
              <w:top w:val="single" w:sz="8" w:color="auto"/>
            </w:tcBorders>
            <w:shd w:val="clear" w:color="auto" w:fill="E7E6E6"/>
          </w:tcPr>
          <w:p>
            <w:pPr>
              <w:spacing w:after="0"/>
              <w:rPr>
                <w:sz w:val="16"/>
                <w:szCs w:val="16"/>
                <w:color w:val="auto"/>
              </w:rPr>
            </w:pPr>
          </w:p>
        </w:tc>
        <w:tc>
          <w:tcPr>
            <w:tcW w:w="1320" w:type="dxa"/>
            <w:vAlign w:val="bottom"/>
            <w:tcBorders>
              <w:top w:val="single" w:sz="8" w:color="auto"/>
              <w:right w:val="single" w:sz="8" w:color="auto"/>
            </w:tcBorders>
            <w:shd w:val="clear" w:color="auto" w:fill="E7E6E6"/>
          </w:tcPr>
          <w:p>
            <w:pPr>
              <w:spacing w:after="0"/>
              <w:rPr>
                <w:sz w:val="16"/>
                <w:szCs w:val="16"/>
                <w:color w:val="auto"/>
              </w:rPr>
            </w:pPr>
          </w:p>
        </w:tc>
      </w:tr>
      <w:tr>
        <w:trPr>
          <w:trHeight w:val="248"/>
        </w:trPr>
        <w:tc>
          <w:tcPr>
            <w:tcW w:w="24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 millions)</w:t>
            </w:r>
          </w:p>
        </w:tc>
        <w:tc>
          <w:tcPr>
            <w:tcW w:w="3460" w:type="dxa"/>
            <w:vAlign w:val="bottom"/>
            <w:tcBorders>
              <w:bottom w:val="single" w:sz="8" w:color="E7E6E6"/>
            </w:tcBorders>
            <w:gridSpan w:val="2"/>
            <w:shd w:val="clear" w:color="auto" w:fill="E7E6E6"/>
          </w:tcPr>
          <w:p>
            <w:pPr>
              <w:ind w:left="138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1300" w:type="dxa"/>
            <w:vAlign w:val="bottom"/>
            <w:tcBorders>
              <w:bottom w:val="single" w:sz="8" w:color="E7E6E6"/>
            </w:tcBorders>
            <w:shd w:val="clear" w:color="auto" w:fill="E7E6E6"/>
          </w:tcPr>
          <w:p>
            <w:pPr>
              <w:spacing w:after="0"/>
              <w:rPr>
                <w:sz w:val="21"/>
                <w:szCs w:val="21"/>
                <w:color w:val="auto"/>
              </w:rPr>
            </w:pPr>
          </w:p>
        </w:tc>
        <w:tc>
          <w:tcPr>
            <w:tcW w:w="2760" w:type="dxa"/>
            <w:vAlign w:val="bottom"/>
            <w:tcBorders>
              <w:bottom w:val="single" w:sz="8" w:color="E7E6E6"/>
            </w:tcBorders>
            <w:gridSpan w:val="2"/>
            <w:shd w:val="clear" w:color="auto" w:fill="E7E6E6"/>
          </w:tcPr>
          <w:p>
            <w:pPr>
              <w:ind w:left="640"/>
              <w:spacing w:after="0"/>
              <w:rPr>
                <w:sz w:val="20"/>
                <w:szCs w:val="20"/>
                <w:color w:val="auto"/>
              </w:rPr>
            </w:pPr>
            <w:r>
              <w:rPr>
                <w:rFonts w:ascii="Times New Roman" w:cs="Times New Roman" w:eastAsia="Times New Roman" w:hAnsi="Times New Roman"/>
                <w:sz w:val="12"/>
                <w:szCs w:val="12"/>
                <w:b w:val="1"/>
                <w:bCs w:val="1"/>
                <w:color w:val="auto"/>
              </w:rPr>
              <w:t>For the twelve months ended</w:t>
            </w:r>
          </w:p>
        </w:tc>
        <w:tc>
          <w:tcPr>
            <w:tcW w:w="1320" w:type="dxa"/>
            <w:vAlign w:val="bottom"/>
            <w:tcBorders>
              <w:bottom w:val="single" w:sz="8" w:color="E7E6E6"/>
              <w:right w:val="single" w:sz="8" w:color="auto"/>
            </w:tcBorders>
            <w:shd w:val="clear" w:color="auto" w:fill="E7E6E6"/>
          </w:tcPr>
          <w:p>
            <w:pPr>
              <w:spacing w:after="0"/>
              <w:rPr>
                <w:sz w:val="21"/>
                <w:szCs w:val="21"/>
                <w:color w:val="auto"/>
              </w:rPr>
            </w:pPr>
          </w:p>
        </w:tc>
      </w:tr>
      <w:tr>
        <w:trPr>
          <w:trHeight w:val="210"/>
        </w:trPr>
        <w:tc>
          <w:tcPr>
            <w:tcW w:w="2460" w:type="dxa"/>
            <w:vAlign w:val="bottom"/>
            <w:tcBorders>
              <w:top w:val="single" w:sz="8" w:color="auto"/>
              <w:left w:val="single" w:sz="8" w:color="auto"/>
              <w:bottom w:val="single" w:sz="8" w:color="E7E6E6"/>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Segment</w:t>
            </w:r>
          </w:p>
        </w:tc>
        <w:tc>
          <w:tcPr>
            <w:tcW w:w="2040" w:type="dxa"/>
            <w:vAlign w:val="bottom"/>
            <w:tcBorders>
              <w:top w:val="single" w:sz="8" w:color="auto"/>
              <w:bottom w:val="single" w:sz="8" w:color="E7E6E6"/>
            </w:tcBorders>
            <w:shd w:val="clear" w:color="auto" w:fill="E7E6E6"/>
          </w:tcPr>
          <w:p>
            <w:pPr>
              <w:ind w:left="1080"/>
              <w:spacing w:after="0"/>
              <w:rPr>
                <w:sz w:val="20"/>
                <w:szCs w:val="20"/>
                <w:color w:val="auto"/>
              </w:rPr>
            </w:pPr>
            <w:r>
              <w:rPr>
                <w:rFonts w:ascii="Times New Roman" w:cs="Times New Roman" w:eastAsia="Times New Roman" w:hAnsi="Times New Roman"/>
                <w:sz w:val="12"/>
                <w:szCs w:val="12"/>
                <w:b w:val="1"/>
                <w:bCs w:val="1"/>
                <w:color w:val="auto"/>
              </w:rPr>
              <w:t>Dec 31, 2025</w:t>
            </w:r>
          </w:p>
        </w:tc>
        <w:tc>
          <w:tcPr>
            <w:tcW w:w="1420" w:type="dxa"/>
            <w:vAlign w:val="bottom"/>
            <w:tcBorders>
              <w:top w:val="single" w:sz="8" w:color="auto"/>
              <w:bottom w:val="single" w:sz="8" w:color="E7E6E6"/>
            </w:tcBorders>
            <w:shd w:val="clear" w:color="auto" w:fill="E7E6E6"/>
          </w:tcPr>
          <w:p>
            <w:pPr>
              <w:ind w:left="400"/>
              <w:spacing w:after="0"/>
              <w:rPr>
                <w:sz w:val="20"/>
                <w:szCs w:val="20"/>
                <w:color w:val="auto"/>
              </w:rPr>
            </w:pPr>
            <w:r>
              <w:rPr>
                <w:rFonts w:ascii="Times New Roman" w:cs="Times New Roman" w:eastAsia="Times New Roman" w:hAnsi="Times New Roman"/>
                <w:sz w:val="12"/>
                <w:szCs w:val="12"/>
                <w:b w:val="1"/>
                <w:bCs w:val="1"/>
                <w:color w:val="auto"/>
              </w:rPr>
              <w:t>Dec 31, 2024</w:t>
            </w:r>
          </w:p>
        </w:tc>
        <w:tc>
          <w:tcPr>
            <w:tcW w:w="1300" w:type="dxa"/>
            <w:vAlign w:val="bottom"/>
            <w:tcBorders>
              <w:top w:val="single" w:sz="8" w:color="auto"/>
              <w:bottom w:val="single" w:sz="8" w:color="E7E6E6"/>
            </w:tcBorders>
            <w:shd w:val="clear" w:color="auto" w:fill="E7E6E6"/>
          </w:tcPr>
          <w:p>
            <w:pPr>
              <w:ind w:left="4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380" w:type="dxa"/>
            <w:vAlign w:val="bottom"/>
            <w:tcBorders>
              <w:top w:val="single" w:sz="8" w:color="auto"/>
              <w:bottom w:val="single" w:sz="8" w:color="E7E6E6"/>
            </w:tcBorders>
            <w:shd w:val="clear" w:color="auto" w:fill="E7E6E6"/>
          </w:tcPr>
          <w:p>
            <w:pPr>
              <w:ind w:left="380"/>
              <w:spacing w:after="0"/>
              <w:rPr>
                <w:sz w:val="20"/>
                <w:szCs w:val="20"/>
                <w:color w:val="auto"/>
              </w:rPr>
            </w:pPr>
            <w:r>
              <w:rPr>
                <w:rFonts w:ascii="Times New Roman" w:cs="Times New Roman" w:eastAsia="Times New Roman" w:hAnsi="Times New Roman"/>
                <w:sz w:val="12"/>
                <w:szCs w:val="12"/>
                <w:b w:val="1"/>
                <w:bCs w:val="1"/>
                <w:color w:val="auto"/>
              </w:rPr>
              <w:t>Dec 31, 2025</w:t>
            </w:r>
          </w:p>
        </w:tc>
        <w:tc>
          <w:tcPr>
            <w:tcW w:w="1380" w:type="dxa"/>
            <w:vAlign w:val="bottom"/>
            <w:tcBorders>
              <w:top w:val="single" w:sz="8" w:color="auto"/>
              <w:bottom w:val="single" w:sz="8" w:color="E7E6E6"/>
            </w:tcBorders>
            <w:shd w:val="clear" w:color="auto" w:fill="E7E6E6"/>
          </w:tcPr>
          <w:p>
            <w:pPr>
              <w:ind w:left="340"/>
              <w:spacing w:after="0"/>
              <w:rPr>
                <w:sz w:val="20"/>
                <w:szCs w:val="20"/>
                <w:color w:val="auto"/>
              </w:rPr>
            </w:pPr>
            <w:r>
              <w:rPr>
                <w:rFonts w:ascii="Times New Roman" w:cs="Times New Roman" w:eastAsia="Times New Roman" w:hAnsi="Times New Roman"/>
                <w:sz w:val="12"/>
                <w:szCs w:val="12"/>
                <w:b w:val="1"/>
                <w:bCs w:val="1"/>
                <w:color w:val="auto"/>
              </w:rPr>
              <w:t>Dec 31, 2024</w:t>
            </w:r>
          </w:p>
        </w:tc>
        <w:tc>
          <w:tcPr>
            <w:tcW w:w="1320" w:type="dxa"/>
            <w:vAlign w:val="bottom"/>
            <w:tcBorders>
              <w:top w:val="single" w:sz="8" w:color="auto"/>
              <w:bottom w:val="single" w:sz="8" w:color="E7E6E6"/>
              <w:right w:val="single" w:sz="8" w:color="auto"/>
            </w:tcBorders>
            <w:shd w:val="clear" w:color="auto" w:fill="E7E6E6"/>
          </w:tcPr>
          <w:p>
            <w:pPr>
              <w:ind w:left="3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69"/>
        </w:trPr>
        <w:tc>
          <w:tcPr>
            <w:tcW w:w="24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MENA</w:t>
            </w:r>
          </w:p>
        </w:tc>
        <w:tc>
          <w:tcPr>
            <w:tcW w:w="2040" w:type="dxa"/>
            <w:vAlign w:val="bottom"/>
            <w:tcBorders>
              <w:top w:val="single" w:sz="8" w:color="auto"/>
            </w:tcBorders>
          </w:tcPr>
          <w:p>
            <w:pPr>
              <w:jc w:val="center"/>
              <w:ind w:left="740"/>
              <w:spacing w:after="0"/>
              <w:rPr>
                <w:sz w:val="20"/>
                <w:szCs w:val="20"/>
                <w:color w:val="auto"/>
              </w:rPr>
            </w:pPr>
            <w:r>
              <w:rPr>
                <w:rFonts w:ascii="Times New Roman" w:cs="Times New Roman" w:eastAsia="Times New Roman" w:hAnsi="Times New Roman"/>
                <w:sz w:val="12"/>
                <w:szCs w:val="12"/>
                <w:color w:val="auto"/>
                <w:w w:val="99"/>
              </w:rPr>
              <w:t>49</w:t>
            </w: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34</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44%</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222</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156</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r>
      <w:tr>
        <w:trPr>
          <w:trHeight w:val="207"/>
        </w:trPr>
        <w:tc>
          <w:tcPr>
            <w:tcW w:w="2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Europe</w:t>
            </w:r>
          </w:p>
        </w:tc>
        <w:tc>
          <w:tcPr>
            <w:tcW w:w="2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9"/>
              </w:rPr>
              <w:t>55</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197</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r>
      <w:tr>
        <w:trPr>
          <w:trHeight w:val="207"/>
        </w:trPr>
        <w:tc>
          <w:tcPr>
            <w:tcW w:w="2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2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9"/>
              </w:rPr>
              <w:t>48</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167%</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159</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333%</w:t>
            </w:r>
          </w:p>
        </w:tc>
      </w:tr>
      <w:tr>
        <w:trPr>
          <w:trHeight w:val="207"/>
        </w:trPr>
        <w:tc>
          <w:tcPr>
            <w:tcW w:w="2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Other</w:t>
            </w:r>
          </w:p>
        </w:tc>
        <w:tc>
          <w:tcPr>
            <w:tcW w:w="2040" w:type="dxa"/>
            <w:vAlign w:val="bottom"/>
          </w:tcPr>
          <w:p>
            <w:pPr>
              <w:jc w:val="center"/>
              <w:ind w:left="720"/>
              <w:spacing w:after="0"/>
              <w:rPr>
                <w:sz w:val="20"/>
                <w:szCs w:val="20"/>
                <w:color w:val="auto"/>
              </w:rPr>
            </w:pPr>
            <w:r>
              <w:rPr>
                <w:rFonts w:ascii="Times New Roman" w:cs="Times New Roman" w:eastAsia="Times New Roman" w:hAnsi="Times New Roman"/>
                <w:sz w:val="12"/>
                <w:szCs w:val="12"/>
                <w:color w:val="auto"/>
                <w:w w:val="99"/>
              </w:rPr>
              <w:t>0</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(84%)</w:t>
            </w:r>
          </w:p>
        </w:tc>
      </w:tr>
      <w:tr>
        <w:trPr>
          <w:trHeight w:val="36"/>
        </w:trPr>
        <w:tc>
          <w:tcPr>
            <w:tcW w:w="246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85"/>
        </w:trPr>
        <w:tc>
          <w:tcPr>
            <w:tcW w:w="24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Times New Roman" w:cs="Times New Roman" w:eastAsia="Times New Roman" w:hAnsi="Times New Roman"/>
                <w:sz w:val="12"/>
                <w:szCs w:val="12"/>
                <w:b w:val="1"/>
                <w:bCs w:val="1"/>
                <w:color w:val="auto"/>
              </w:rPr>
              <w:t>Total Revenues &amp; Income</w:t>
            </w:r>
          </w:p>
        </w:tc>
        <w:tc>
          <w:tcPr>
            <w:tcW w:w="2040" w:type="dxa"/>
            <w:vAlign w:val="bottom"/>
            <w:tcBorders>
              <w:bottom w:val="single" w:sz="8" w:color="E7E6E6"/>
            </w:tcBorders>
            <w:shd w:val="clear" w:color="auto" w:fill="E7E6E6"/>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w w:val="99"/>
              </w:rPr>
              <w:t>152</w:t>
            </w:r>
          </w:p>
        </w:tc>
        <w:tc>
          <w:tcPr>
            <w:tcW w:w="1420" w:type="dxa"/>
            <w:vAlign w:val="bottom"/>
            <w:tcBorders>
              <w:bottom w:val="single" w:sz="8" w:color="E7E6E6"/>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104</w:t>
            </w:r>
          </w:p>
        </w:tc>
        <w:tc>
          <w:tcPr>
            <w:tcW w:w="1300" w:type="dxa"/>
            <w:vAlign w:val="bottom"/>
            <w:tcBorders>
              <w:bottom w:val="single" w:sz="8" w:color="E7E6E6"/>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46%</w:t>
            </w:r>
          </w:p>
        </w:tc>
        <w:tc>
          <w:tcPr>
            <w:tcW w:w="1380" w:type="dxa"/>
            <w:vAlign w:val="bottom"/>
            <w:tcBorders>
              <w:bottom w:val="single" w:sz="8" w:color="E7E6E6"/>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582</w:t>
            </w:r>
          </w:p>
        </w:tc>
        <w:tc>
          <w:tcPr>
            <w:tcW w:w="1380" w:type="dxa"/>
            <w:vAlign w:val="bottom"/>
            <w:tcBorders>
              <w:bottom w:val="single" w:sz="8" w:color="E7E6E6"/>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399</w:t>
            </w:r>
          </w:p>
        </w:tc>
        <w:tc>
          <w:tcPr>
            <w:tcW w:w="132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46%</w:t>
            </w:r>
          </w:p>
        </w:tc>
      </w:tr>
      <w:tr>
        <w:trPr>
          <w:trHeight w:val="20"/>
        </w:trPr>
        <w:tc>
          <w:tcPr>
            <w:tcW w:w="2460" w:type="dxa"/>
            <w:vAlign w:val="bottom"/>
            <w:tcBorders>
              <w:left w:val="single" w:sz="8" w:color="auto"/>
            </w:tcBorders>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 &amp; Income</w:t>
      </w:r>
    </w:p>
    <w:p>
      <w:pPr>
        <w:spacing w:after="0" w:line="16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2"/>
          <w:szCs w:val="12"/>
          <w:color w:val="auto"/>
        </w:rPr>
        <w:t>In the fourth quarter of 2025, the Company’s total revenues and income increased to $152m, up from $104m last year, a growth rate of 46% year over year. This was composed of revenues from the sale of electricity, which rose 33% to $124m compared to $104m in the same period of 2024, as well as recognition of $28m in income from tax benefits compared to $11m in 3Q24.</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Most of the increase is attributed to newly operational projects. In the past 12 months 452 MW and 1,535 MWh of new projects were connected to the grid and began selling electricity. An addition of $23 million is attributed to the Atrisco in the U.S which started operating at year-end 2024, while Roadrunner and Quail Ranch which started operating towards the end of 2025, contributed an addition of $8 million. In MENA, the increase in electricity trade activity in Israel and an increase in the Genesis project output due to favorable wind conditions, contributed an increase of $8 million combined. In Europe, the Pupin project in Serbia, which started operating towards the end of 2024, contributed $5 million to the increase in revenue and income. Exchange rates fluctuations, mainly the depreciation of the US dollar against the shekel and the euro, contributed $7 million to the increase in revenue and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In the fourth quarter of 2025, the Company reported a net income of $21m, compared to $8m in the same period last year, an increase of 153%. The growth is attributed to the growth in revenues and income ($48 million), while exchange rates fluctuations contributed $7 million. These were partially offset by an increase of $13 million in operating expenses, an increase of $12 million in depreciation and amortization (mainly attributed to newly recognized depreciation expenses in new projects), and an increase of $10 million in finance and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Adjusted EBITDA</w:t>
      </w:r>
      <w:r>
        <w:rPr>
          <w:rFonts w:ascii="Times New Roman" w:cs="Times New Roman" w:eastAsia="Times New Roman" w:hAnsi="Times New Roman"/>
          <w:sz w:val="19"/>
          <w:szCs w:val="19"/>
          <w:b w:val="1"/>
          <w:bCs w:val="1"/>
          <w:color w:val="auto"/>
          <w:vertAlign w:val="superscript"/>
        </w:rPr>
        <w:t>8</w:t>
      </w:r>
    </w:p>
    <w:p>
      <w:pPr>
        <w:spacing w:after="0" w:line="88"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The Company’s Adjusted EBITDA grew by 51% to $99m in the fourth quarter of 2025, compared to $65m for the same period in 2024. Growth in revenues and income was offset by an increase of $11m in cost of sales linked to the addition of new projects, and an increase of $3m in G&amp;A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0972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17" w:lineRule="exact"/>
        <w:rPr>
          <w:sz w:val="20"/>
          <w:szCs w:val="20"/>
          <w:color w:val="auto"/>
        </w:rPr>
      </w:pPr>
    </w:p>
    <w:p>
      <w:pPr>
        <w:ind w:left="8" w:right="80" w:hanging="8"/>
        <w:spacing w:after="0" w:line="193" w:lineRule="auto"/>
        <w:tabs>
          <w:tab w:leader="none" w:pos="89" w:val="left"/>
        </w:tabs>
        <w:numPr>
          <w:ilvl w:val="0"/>
          <w:numId w:val="24"/>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28"/>
          </w:cols>
          <w:pgMar w:left="292" w:top="27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63"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2"/>
          <w:szCs w:val="12"/>
          <w:color w:val="auto"/>
        </w:rPr>
        <w:t>Enlight plans to hold its Fourth Quarter 2025 Conference Call and Webcasts on Tuesday, February 17, 2026, to review its financial results and business outlook in both English and Hebrew. Management discussion on the Company’s financial results and business outlook will be followed by a question-and-answer session. Participants may join by conference call or webcast: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English Conference Call at 8:00am ET / 3:00pm Israel: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pre-register to join the live conference call: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https://register-conf.media-server.com/register/BI71bd607581334a0d815bc9804aaa1271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English Webcast at 8:00am ET / 3:00pm Israel: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register and join by webcast at the following link: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https://edge.media-server.com/mmc/p/airnx7q2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Hebrew Webcast at 6:00am ET / 1:00pm Israel: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join the webcast at the following link: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https://enlightenergy-co-il.zoom.us/webinar/register/WN_0dDsbEwLSI2oMCd27K8MSQ</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The press release with the financial results as well as the investor presentation materials will be accessible from the Company’s website prior to the conference call. An archived version of the webcast will be available on the Company’s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Supplemental Financial and Other Information</w:t>
      </w:r>
    </w:p>
    <w:p>
      <w:pPr>
        <w:spacing w:after="0" w:line="16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2"/>
          <w:szCs w:val="12"/>
          <w:color w:val="auto"/>
        </w:rPr>
        <w:t xml:space="preserve">We intend to announce material information to the public through the Enlight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Non-IFRS Financial Measures</w:t>
      </w:r>
    </w:p>
    <w:p>
      <w:pPr>
        <w:spacing w:after="0" w:line="163"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2"/>
          <w:szCs w:val="12"/>
          <w:color w:val="auto"/>
        </w:rPr>
        <w:t>This release presents Adjusted EBITDA, a financial metric, which is provided as a complement to the results provided in accordance with the International Financial Reporting Standards as issued by the International Accounting Standards Board (“IFRS”). A reconciliation of the non-IFRS financial information to the most directly comparable IFRS financial measure is provided in the accompanying tables found at the end of this release.</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Enlight’s strategy to accelerate growth and reduce the need for equity financing,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1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2"/>
          <w:szCs w:val="12"/>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to not rely on any single financial measure to evaluate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the Company’s future financial results, expected impact from various regulatory developments and anticipated trade sanctions, expectations regarding wind production, electricity prices and windfall taxes, and Revenues and Income and Adjusted EBITDA guidance, the expected timing of completion of our ongoing projects, and the Company’s anticipated cash requirements and financing plans ,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2"/>
          <w:szCs w:val="12"/>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the impact of tariffs on the cost of construction and our ability to mitigate such impact,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as may be updated in our other documents filed with or furnished to the SEC.</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167005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About Enlight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Founded in 2008, Enlight develops, finances, constructs, owns, and operates utility-scale renewable energy projects. Enlight operates across the three largest renewable segments today: solar, wind and energy storage. A global platform,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Enlight operates in the United States, Israel and 12 European countries. Enlight has been traded on the Tel Aviv Stock Exchange since 2010 (TASE: ENLT) and completed its U.S. IPO (Nasdaq: ENLT) in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Contacts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Limor Zohar Megen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Erica Mannion or Mike Funari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Sapphire Investor Relations,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+1 617 542 6180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Appendix 1 – Financial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w:t>
            </w:r>
          </w:p>
        </w:tc>
        <w:tc>
          <w:tcPr>
            <w:tcW w:w="258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For the three months ended</w:t>
            </w:r>
          </w:p>
        </w:tc>
      </w:tr>
      <w:tr>
        <w:trPr>
          <w:trHeight w:val="166"/>
        </w:trPr>
        <w:tc>
          <w:tcPr>
            <w:tcW w:w="600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September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60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ind w:right="200"/>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ind w:right="180"/>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488,596</w:t>
            </w: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377,935</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124,185</w:t>
            </w: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93,345</w:t>
            </w: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93,668</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28,175</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10,758</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582,264</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398,795</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152,360</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104,103</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(134,381)</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(80,696)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(38,542)</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(26,120)</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(149,922)</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(108,889)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(39,763)</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(30,912)</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(57,955)</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(38,847)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(18,987)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(12,693)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Development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(12,190)</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(11,601)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(3,817)</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(3,709)</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(354,448)</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(240,033)</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(101,109)</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(73,434)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Gains from projects disposals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96,431</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7,931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2,146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1,305</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332,178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175,535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53,397</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31,974</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40,851</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20,439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4,559</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2,140</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(164,730)</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(107,844)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(28,273)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(22,008)</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Total finance expenses,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(123,879)</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(87,405)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(23,714)</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(19,868)</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before tax and equity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208,299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88,130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29,683</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12,106</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profit (loss) of equity accounted investees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(3,722)</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182</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(1,613)</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204,577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84,780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29,865</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10,493</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(43,875)</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(18,275)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(8,792)</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(2,121)</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160,702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66,505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21,073</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8,372</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for the period attributed to:</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 of the Company</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132,104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44,209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14,263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5,156</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28,598</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22,296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6,810</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3,216</w:t>
            </w:r>
          </w:p>
        </w:tc>
      </w:tr>
      <w:tr>
        <w:trPr>
          <w:trHeight w:val="191"/>
        </w:trPr>
        <w:tc>
          <w:tcPr>
            <w:tcW w:w="6000" w:type="dxa"/>
            <w:vAlign w:val="bottom"/>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160,702</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66,505</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21,073</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8,372</w:t>
            </w:r>
          </w:p>
        </w:tc>
        <w:tc>
          <w:tcPr>
            <w:tcW w:w="120" w:type="dxa"/>
            <w:vAlign w:val="bottom"/>
            <w:shd w:val="clear" w:color="auto" w:fill="CCEEFF"/>
          </w:tcPr>
          <w:p>
            <w:pPr>
              <w:spacing w:after="0"/>
              <w:rPr>
                <w:sz w:val="16"/>
                <w:szCs w:val="16"/>
                <w:color w:val="auto"/>
              </w:rPr>
            </w:pPr>
          </w:p>
        </w:tc>
      </w:tr>
      <w:tr>
        <w:trPr>
          <w:trHeight w:val="114"/>
        </w:trPr>
        <w:tc>
          <w:tcPr>
            <w:tcW w:w="6000" w:type="dxa"/>
            <w:vAlign w:val="bottom"/>
            <w:tcBorders>
              <w:top w:val="single" w:sz="8" w:color="CCEEFF"/>
            </w:tcBorders>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Earnings per ordinary share (in USD) with a par</w:t>
            </w: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r>
      <w:tr>
        <w:trPr>
          <w:trHeight w:val="153"/>
        </w:trPr>
        <w:tc>
          <w:tcPr>
            <w:tcW w:w="6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value of NIS 0.1, attributable to owners of the</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3"/>
        </w:trPr>
        <w:tc>
          <w:tcPr>
            <w:tcW w:w="6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parent Company:</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0.11</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9"/>
        </w:trPr>
        <w:tc>
          <w:tcPr>
            <w:tcW w:w="6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Diluted earnings per share</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0.36</w:t>
            </w:r>
          </w:p>
        </w:tc>
        <w:tc>
          <w:tcPr>
            <w:tcW w:w="13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b w:val="1"/>
                <w:bCs w:val="1"/>
                <w:color w:val="auto"/>
              </w:rPr>
              <w:t>0.10</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0.04</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Weighted average of share capital used in the</w:t>
            </w:r>
          </w:p>
        </w:tc>
        <w:tc>
          <w:tcPr>
            <w:tcW w:w="1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calculation of earnings: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Basic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123,717,373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118,293,556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131,912,631</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118,496,434</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0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Diluted per share</w:t>
            </w:r>
          </w:p>
        </w:tc>
        <w:tc>
          <w:tcPr>
            <w:tcW w:w="116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132,619,069</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123,312,565</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142,375,410</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123,403,415</w:t>
            </w:r>
          </w:p>
        </w:tc>
        <w:tc>
          <w:tcPr>
            <w:tcW w:w="120" w:type="dxa"/>
            <w:vAlign w:val="bottom"/>
            <w:tcBorders>
              <w:bottom w:val="single" w:sz="8" w:color="CCEEFF"/>
            </w:tcBorders>
            <w:shd w:val="clear" w:color="auto" w:fill="CCEEFF"/>
          </w:tcPr>
          <w:p>
            <w:pPr>
              <w:spacing w:after="0"/>
              <w:rPr>
                <w:sz w:val="14"/>
                <w:szCs w:val="1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r>
      <w:tr>
        <w:trPr>
          <w:trHeight w:val="166"/>
        </w:trPr>
        <w:tc>
          <w:tcPr>
            <w:tcW w:w="87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4"/>
                <w:szCs w:val="14"/>
                <w:color w:val="auto"/>
              </w:rPr>
            </w:pPr>
          </w:p>
        </w:tc>
      </w:tr>
      <w:tr>
        <w:trPr>
          <w:trHeight w:val="138"/>
        </w:trPr>
        <w:tc>
          <w:tcPr>
            <w:tcW w:w="87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r>
      <w:tr>
        <w:trPr>
          <w:trHeight w:val="166"/>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528,497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387,427</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409,424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87,539</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95,118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50,692</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62,286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99,651</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 of disposal groups classified as held for sale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81,661</w:t>
            </w: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1,095,849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707,945</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130,358</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60,802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receivables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64,349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61,045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costs in respect of projects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235,615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357,358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1,749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to investee entities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85,131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18,112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equity accounted investees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59,310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assets,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6,281,418</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3,699,192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303,971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291,442</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4,692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10,744</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225,495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210,941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83,582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69,216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58,383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59,812</w:t>
            </w: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7,534,053</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4,838,940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9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8,629,902</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5,546,885</w:t>
            </w:r>
          </w:p>
        </w:tc>
      </w:tr>
      <w:tr>
        <w:trPr>
          <w:trHeight w:val="246"/>
        </w:trPr>
        <w:tc>
          <w:tcPr>
            <w:tcW w:w="8700" w:type="dxa"/>
            <w:vAlign w:val="bottom"/>
            <w:tcBorders>
              <w:top w:val="single" w:sz="8" w:color="CCEEFF"/>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r>
    </w:tbl>
    <w:p>
      <w:pPr>
        <w:sectPr>
          <w:pgSz w:w="11900" w:h="16838" w:orient="portrait"/>
          <w:cols w:equalWidth="0" w:num="1">
            <w:col w:w="11300"/>
          </w:cols>
          <w:pgMar w:left="300" w:top="27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7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Credit and current maturities of loans from</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884,120</w:t>
            </w:r>
          </w:p>
        </w:tc>
        <w:tc>
          <w:tcPr>
            <w:tcW w:w="20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212,246</w:t>
            </w:r>
          </w:p>
        </w:tc>
        <w:tc>
          <w:tcPr>
            <w:tcW w:w="0" w:type="dxa"/>
            <w:vAlign w:val="bottom"/>
          </w:tcPr>
          <w:p>
            <w:pPr>
              <w:spacing w:after="0"/>
              <w:rPr>
                <w:sz w:val="1"/>
                <w:szCs w:val="1"/>
                <w:color w:val="auto"/>
              </w:rPr>
            </w:pPr>
          </w:p>
        </w:tc>
      </w:tr>
      <w:tr>
        <w:trPr>
          <w:trHeight w:val="155"/>
        </w:trPr>
        <w:tc>
          <w:tcPr>
            <w:tcW w:w="8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banks and other financial institutions</w:t>
            </w:r>
          </w:p>
        </w:tc>
        <w:tc>
          <w:tcPr>
            <w:tcW w:w="11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137,230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161,991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405,741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107,825</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maturities of debentures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173,571</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44,962</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lease liability</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12,396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10,240</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16,147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8,141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Liabilities of disposal groups classified as held for sale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46,635</w:t>
            </w:r>
          </w:p>
        </w:tc>
        <w:tc>
          <w:tcPr>
            <w:tcW w:w="0" w:type="dxa"/>
            <w:vAlign w:val="bottom"/>
          </w:tcPr>
          <w:p>
            <w:pPr>
              <w:spacing w:after="0"/>
              <w:rPr>
                <w:sz w:val="1"/>
                <w:szCs w:val="1"/>
                <w:color w:val="auto"/>
              </w:rPr>
            </w:pP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1,629,205</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592,040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477,315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433,994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378,303</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107,865</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273,801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133,056</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2,981,786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1,996,137</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Loans from non-controlling interests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86,946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75,598</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liabilities through profit or loss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26,946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25,844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taxes liabilities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77,688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41,792</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benefits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1,645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1,215</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231,135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211,941</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related to tax equity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370,734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403,384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99,460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83,085</w:t>
            </w:r>
          </w:p>
        </w:tc>
        <w:tc>
          <w:tcPr>
            <w:tcW w:w="0" w:type="dxa"/>
            <w:vAlign w:val="bottom"/>
          </w:tcPr>
          <w:p>
            <w:pPr>
              <w:spacing w:after="0"/>
              <w:rPr>
                <w:sz w:val="1"/>
                <w:szCs w:val="1"/>
                <w:color w:val="auto"/>
              </w:rPr>
            </w:pP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5,005,759</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3,513,911</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6,634,964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4,105,951</w:t>
            </w:r>
          </w:p>
        </w:tc>
        <w:tc>
          <w:tcPr>
            <w:tcW w:w="0" w:type="dxa"/>
            <w:vAlign w:val="bottom"/>
          </w:tcPr>
          <w:p>
            <w:pPr>
              <w:spacing w:after="0"/>
              <w:rPr>
                <w:sz w:val="1"/>
                <w:szCs w:val="1"/>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Ordinary share capital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3,711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3,308</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premium</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1,319,716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1,028,532</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Capital reserves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99,311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25,273</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on account of convertible options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25,380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15,494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Accumulated profit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240,023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107,919</w:t>
            </w:r>
          </w:p>
        </w:tc>
        <w:tc>
          <w:tcPr>
            <w:tcW w:w="0" w:type="dxa"/>
            <w:vAlign w:val="bottom"/>
          </w:tcPr>
          <w:p>
            <w:pPr>
              <w:spacing w:after="0"/>
              <w:rPr>
                <w:sz w:val="1"/>
                <w:szCs w:val="1"/>
                <w:color w:val="auto"/>
              </w:rPr>
            </w:pP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attributable to shareholders of the Company</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1,688,141</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1,180,526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306,797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260,408</w:t>
            </w:r>
          </w:p>
        </w:tc>
        <w:tc>
          <w:tcPr>
            <w:tcW w:w="0" w:type="dxa"/>
            <w:vAlign w:val="bottom"/>
          </w:tcPr>
          <w:p>
            <w:pPr>
              <w:spacing w:after="0"/>
              <w:rPr>
                <w:sz w:val="1"/>
                <w:szCs w:val="1"/>
                <w:color w:val="auto"/>
              </w:rPr>
            </w:pP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1,994,938</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1,440,934</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8,629,902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5,546,885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00" w:type="dxa"/>
            <w:vAlign w:val="bottom"/>
          </w:tcPr>
          <w:p>
            <w:pPr>
              <w:spacing w:after="0"/>
              <w:rPr>
                <w:sz w:val="14"/>
                <w:szCs w:val="14"/>
                <w:color w:val="auto"/>
              </w:rPr>
            </w:pPr>
          </w:p>
        </w:tc>
        <w:tc>
          <w:tcPr>
            <w:tcW w:w="2720" w:type="dxa"/>
            <w:vAlign w:val="bottom"/>
            <w:gridSpan w:val="4"/>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58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tc>
      </w:tr>
      <w:tr>
        <w:trPr>
          <w:trHeight w:val="153"/>
        </w:trPr>
        <w:tc>
          <w:tcPr>
            <w:tcW w:w="60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60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for operating activities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Profit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160,702</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66,505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21,073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8,372</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and expenses not associated with cash flows: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149,922</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108,889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39,763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30,912</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118,680</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83,560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22,886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18,378</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10,470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5,423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2,333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43,875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18,275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8,792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(89,437)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(20,860)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(27,378)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(10,758)</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4,922</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(4,352)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10,707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(1,239)</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Company’s share in losses (profits) of investee partnerships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3,722</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3,350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1,613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Gains from projects disposals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(96,431)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000" w:type="dxa"/>
            <w:vAlign w:val="bottom"/>
            <w:shd w:val="clear" w:color="auto" w:fill="CCEEFF"/>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145,723</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196,611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60,011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43,360</w:t>
            </w:r>
          </w:p>
        </w:tc>
        <w:tc>
          <w:tcPr>
            <w:tcW w:w="120" w:type="dxa"/>
            <w:vAlign w:val="bottom"/>
            <w:shd w:val="clear" w:color="auto" w:fill="CCEEFF"/>
          </w:tcPr>
          <w:p>
            <w:pPr>
              <w:spacing w:after="0"/>
              <w:rPr>
                <w:sz w:val="13"/>
                <w:szCs w:val="13"/>
                <w:color w:val="auto"/>
              </w:rPr>
            </w:pPr>
          </w:p>
        </w:tc>
      </w:tr>
      <w:tr>
        <w:trPr>
          <w:trHeight w:val="142"/>
        </w:trPr>
        <w:tc>
          <w:tcPr>
            <w:tcW w:w="60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Changes in assets and liabilities items: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other receivables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(1,866)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934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5,714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trade receivables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(27,366)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(9,892)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(296)</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other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14,546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(13,859)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trade payables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5,179</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10,597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1,687</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(9,507)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3,409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(2,329)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7,426</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paid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(14,270)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(11,246)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(4,177)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(5,162)</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operating activities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282,648</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255,279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74,578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53,996</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for investing activities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 (Acquisition) of consolidated entities,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34,295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(3,537)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3,720</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Changes in restricted cash and bank deposits,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(378,648)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29,959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(180,478)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74,234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development, and construction in respect of projects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(1,812,570)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(899,257)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(648,901)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(220,288)</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receipts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14,795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4,874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4,879</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provided and Investment in investees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(56,255)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(26,531)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(12,991)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(11,330)</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loans to investees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30,815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provided to non-controlling interests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Payments on account of acquisition of consolidated company</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(6,543)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(32,777)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904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(17,080)</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long-term financial assets measured at fair value through profit or loss, net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(6,475)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(14,719)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(1,218)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(2,515)</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(2,180,883)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(928,683)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(841,347)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(168,356)</w:t>
            </w:r>
          </w:p>
        </w:tc>
      </w:tr>
      <w:tr>
        <w:trPr>
          <w:trHeight w:val="268"/>
        </w:trPr>
        <w:tc>
          <w:tcPr>
            <w:tcW w:w="6000" w:type="dxa"/>
            <w:vAlign w:val="bottom"/>
            <w:tcBorders>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78"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00" w:type="dxa"/>
            <w:vAlign w:val="bottom"/>
          </w:tcPr>
          <w:p>
            <w:pPr>
              <w:spacing w:after="0"/>
              <w:rPr>
                <w:sz w:val="14"/>
                <w:szCs w:val="14"/>
                <w:color w:val="auto"/>
              </w:rPr>
            </w:pPr>
          </w:p>
        </w:tc>
        <w:tc>
          <w:tcPr>
            <w:tcW w:w="27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58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tc>
      </w:tr>
      <w:tr>
        <w:trPr>
          <w:trHeight w:val="153"/>
        </w:trPr>
        <w:tc>
          <w:tcPr>
            <w:tcW w:w="60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60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Receipt of loans from banks and other financial institutions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1,783,974</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939,627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459,450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271,770</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banks and other financial institutions</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(505,360)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(699,584)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(98,121)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(439,614)</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(86,860)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(74,891)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(31,327)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(23,343)</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debentures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125,838</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177,914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177,914</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convertible 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114,685</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debentures</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(47,545)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(26,016)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Dividends and distributions by subsidiaries to non-controlling interests</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(29,805)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(25,536)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(12,479)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(1,641)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investments by tax-equity investors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440,484</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410,845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312,789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366,520</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tax-equity investment</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(13,609)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(68,225)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(21,639)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(21,149)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(15,771)</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Receipt of loans from non-controlling interests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182</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non-controlling interests</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(858)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holding rights of consolidated entity</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(1,392)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290,698</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53</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lease liability</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(8,580)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(5,852)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(581)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(1,139)</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investment in entities by non-controlling interest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12,799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financing activities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2,006,479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671,096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606,571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332,915</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Increase (Decrease) in cash and cash equivalents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108,244</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(2,308)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(160,198)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218,555</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of cash and cash equivalents at beginning of period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387,427</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403,805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679,827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208,791</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Changes in cash of disposal groups classified as held for sale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(5,753)</w:t>
            </w:r>
          </w:p>
        </w:tc>
      </w:tr>
      <w:tr>
        <w:trPr>
          <w:trHeight w:val="144"/>
        </w:trPr>
        <w:tc>
          <w:tcPr>
            <w:tcW w:w="60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fluctuations on cash and cash equivalents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32,826</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8,868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(3,545)</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528,497</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387,427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528,497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178,170</w:t>
            </w:r>
          </w:p>
        </w:tc>
      </w:tr>
      <w:tr>
        <w:trPr>
          <w:trHeight w:val="20"/>
        </w:trPr>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60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ectPr>
          <w:pgSz w:w="11900" w:h="16838" w:orient="portrait"/>
          <w:cols w:equalWidth="0" w:num="1">
            <w:col w:w="11300"/>
          </w:cols>
          <w:pgMar w:left="300" w:top="278"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w w:val="98"/>
              </w:rPr>
              <w:t>MENA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222,388</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199,763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64,911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487,062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1,534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488,596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93,668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93,668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93,668</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222,388</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199,763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158,579</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580,730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1,534</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582,264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189,304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159,015</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142,567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490,886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491,920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(54,135)</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Gains from projects disposals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54,597</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(160,392)</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332,178</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40,851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(164,730)</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(3,722)</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204,577</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28" w:hanging="328"/>
        <w:spacing w:after="0"/>
        <w:tabs>
          <w:tab w:leader="none" w:pos="3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2" w:name="page23"/>
    <w:bookmarkEnd w:id="22"/>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w w:val="98"/>
              </w:rPr>
              <w:t>MENA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155,693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197,143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15,748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368,584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9,351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377,935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155,693</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197,143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36,608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389,444</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9,351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398,795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123,724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165,385</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33,539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322,648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4,141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326,789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(37,774(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(117,249)</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incomes not attributed to segments</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175,535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20,439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(107,844)</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(3,350)</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84,780</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28" w:hanging="328"/>
        <w:spacing w:after="0"/>
        <w:tabs>
          <w:tab w:leader="none" w:pos="3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3" w:name="page24"/>
    <w:bookmarkEnd w:id="23"/>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 2025</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MENA</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49,208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55,260</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19,455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123,923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124,185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28,175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28,175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28,175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49,208</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55,260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47,630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152,098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152,360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60" w:type="dxa"/>
            <w:vAlign w:val="bottom"/>
            <w:gridSpan w:val="2"/>
          </w:tcPr>
          <w:p>
            <w:pPr>
              <w:spacing w:after="0"/>
              <w:rPr>
                <w:sz w:val="10"/>
                <w:szCs w:val="10"/>
                <w:color w:val="auto"/>
              </w:rPr>
            </w:pPr>
          </w:p>
        </w:tc>
        <w:tc>
          <w:tcPr>
            <w:tcW w:w="600" w:type="dxa"/>
            <w:vAlign w:val="bottom"/>
            <w:gridSpan w:val="2"/>
          </w:tcPr>
          <w:p>
            <w:pPr>
              <w:spacing w:after="0"/>
              <w:rPr>
                <w:sz w:val="10"/>
                <w:szCs w:val="10"/>
                <w:color w:val="auto"/>
              </w:rPr>
            </w:pPr>
          </w:p>
        </w:tc>
        <w:tc>
          <w:tcPr>
            <w:tcW w:w="1260" w:type="dxa"/>
            <w:vAlign w:val="bottom"/>
            <w:gridSpan w:val="2"/>
          </w:tcPr>
          <w:p>
            <w:pPr>
              <w:spacing w:after="0"/>
              <w:rPr>
                <w:sz w:val="10"/>
                <w:szCs w:val="10"/>
                <w:color w:val="auto"/>
              </w:rPr>
            </w:pPr>
          </w:p>
        </w:tc>
        <w:tc>
          <w:tcPr>
            <w:tcW w:w="1460" w:type="dxa"/>
            <w:vAlign w:val="bottom"/>
            <w:gridSpan w:val="3"/>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29,002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41,586</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44,396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114,984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114,926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(16,359)</w:t>
            </w: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(45,186)</w:t>
            </w:r>
          </w:p>
        </w:tc>
        <w:tc>
          <w:tcPr>
            <w:tcW w:w="0" w:type="dxa"/>
            <w:vAlign w:val="bottom"/>
          </w:tcPr>
          <w:p>
            <w:pPr>
              <w:spacing w:after="0"/>
              <w:rPr>
                <w:sz w:val="1"/>
                <w:szCs w:val="1"/>
                <w:color w:val="auto"/>
              </w:rPr>
            </w:pPr>
          </w:p>
        </w:tc>
      </w:tr>
      <w:tr>
        <w:trPr>
          <w:trHeight w:val="15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53,397</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(28,273)</w:t>
            </w: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29,865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28" w:hanging="328"/>
        <w:spacing w:after="0"/>
        <w:tabs>
          <w:tab w:leader="none" w:pos="3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 2024</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USA</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8"/>
        </w:trPr>
        <w:tc>
          <w:tcPr>
            <w:tcW w:w="3280" w:type="dxa"/>
            <w:vAlign w:val="bottom"/>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MENA</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r>
      <w:tr>
        <w:trPr>
          <w:trHeight w:val="151"/>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34,086</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49,979</w:t>
            </w:r>
          </w:p>
        </w:tc>
        <w:tc>
          <w:tcPr>
            <w:tcW w:w="7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7,137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91,202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2,143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93,345</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10,758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10,758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10,758</w:t>
            </w:r>
          </w:p>
        </w:tc>
        <w:tc>
          <w:tcPr>
            <w:tcW w:w="120" w:type="dxa"/>
            <w:vAlign w:val="bottom"/>
          </w:tcPr>
          <w:p>
            <w:pPr>
              <w:spacing w:after="0"/>
              <w:rPr>
                <w:sz w:val="13"/>
                <w:szCs w:val="13"/>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34,086</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49,979</w:t>
            </w: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17,895</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101,960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2,143</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104,103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0"/>
        </w:trPr>
        <w:tc>
          <w:tcPr>
            <w:tcW w:w="4060" w:type="dxa"/>
            <w:vAlign w:val="bottom"/>
            <w:gridSpan w:val="2"/>
          </w:tcPr>
          <w:p>
            <w:pPr>
              <w:spacing w:after="0"/>
              <w:rPr>
                <w:sz w:val="10"/>
                <w:szCs w:val="10"/>
                <w:color w:val="auto"/>
              </w:rPr>
            </w:pPr>
          </w:p>
        </w:tc>
        <w:tc>
          <w:tcPr>
            <w:tcW w:w="60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24,065</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35,999</w:t>
            </w:r>
          </w:p>
        </w:tc>
        <w:tc>
          <w:tcPr>
            <w:tcW w:w="7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17,574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77,638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77,921</w:t>
            </w:r>
          </w:p>
        </w:tc>
        <w:tc>
          <w:tcPr>
            <w:tcW w:w="120" w:type="dxa"/>
            <w:vAlign w:val="bottom"/>
            <w:shd w:val="clear" w:color="auto" w:fill="CCEEFF"/>
          </w:tcPr>
          <w:p>
            <w:pPr>
              <w:spacing w:after="0"/>
              <w:rPr>
                <w:sz w:val="16"/>
                <w:szCs w:val="16"/>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(12,690)</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loss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w:t>
            </w: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(33,245)</w:t>
            </w:r>
          </w:p>
        </w:tc>
      </w:tr>
      <w:tr>
        <w:trPr>
          <w:trHeight w:val="15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31,974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2,140</w:t>
            </w:r>
          </w:p>
        </w:tc>
        <w:tc>
          <w:tcPr>
            <w:tcW w:w="120" w:type="dxa"/>
            <w:vAlign w:val="bottom"/>
          </w:tcPr>
          <w:p>
            <w:pPr>
              <w:spacing w:after="0"/>
              <w:rPr>
                <w:sz w:val="13"/>
                <w:szCs w:val="13"/>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(22,008)</w:t>
            </w: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(1,613)</w:t>
            </w:r>
          </w:p>
        </w:tc>
      </w:tr>
      <w:tr>
        <w:trPr>
          <w:trHeight w:val="19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10,493</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2" w:lineRule="exact"/>
        <w:rPr>
          <w:sz w:val="20"/>
          <w:szCs w:val="20"/>
          <w:color w:val="auto"/>
        </w:rPr>
      </w:pPr>
    </w:p>
    <w:p>
      <w:pPr>
        <w:ind w:left="328" w:hanging="328"/>
        <w:spacing w:after="0"/>
        <w:tabs>
          <w:tab w:leader="none" w:pos="32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5" w:name="page26"/>
    <w:bookmarkEnd w:id="25"/>
    <w:tbl>
      <w:tblPr>
        <w:tblLayout w:type="fixed"/>
        <w:tblInd w:w="8" w:type="dxa"/>
        <w:tblCellMar>
          <w:top w:w="0" w:type="dxa"/>
          <w:left w:w="0" w:type="dxa"/>
          <w:bottom w:w="0" w:type="dxa"/>
          <w:right w:w="0" w:type="dxa"/>
        </w:tblCellMar>
      </w:tblPr>
      <w:tr>
        <w:trPr>
          <w:trHeight w:val="159"/>
        </w:trPr>
        <w:tc>
          <w:tcPr>
            <w:tcW w:w="4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2 - Reconciliations between Net Income to Adjusted EBITDA</w:t>
            </w:r>
          </w:p>
        </w:tc>
        <w:tc>
          <w:tcPr>
            <w:tcW w:w="2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3"/>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3"/>
        </w:trPr>
        <w:tc>
          <w:tcPr>
            <w:tcW w:w="436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color w:val="FFFFFF"/>
              </w:rPr>
              <w:t>($ thousands)</w:t>
            </w:r>
          </w:p>
        </w:tc>
        <w:tc>
          <w:tcPr>
            <w:tcW w:w="2420" w:type="dxa"/>
            <w:vAlign w:val="bottom"/>
            <w:shd w:val="clear" w:color="auto" w:fill="1764AC"/>
          </w:tcPr>
          <w:p>
            <w:pPr>
              <w:jc w:val="center"/>
              <w:ind w:left="1160"/>
              <w:spacing w:after="0"/>
              <w:rPr>
                <w:sz w:val="20"/>
                <w:szCs w:val="20"/>
                <w:color w:val="auto"/>
              </w:rPr>
            </w:pPr>
            <w:r>
              <w:rPr>
                <w:rFonts w:ascii="Times New Roman" w:cs="Times New Roman" w:eastAsia="Times New Roman" w:hAnsi="Times New Roman"/>
                <w:sz w:val="12"/>
                <w:szCs w:val="12"/>
                <w:b w:val="1"/>
                <w:bCs w:val="1"/>
                <w:color w:val="FFFFFF"/>
                <w:w w:val="98"/>
              </w:rPr>
              <w:t>For the year ended</w:t>
            </w:r>
          </w:p>
        </w:tc>
        <w:tc>
          <w:tcPr>
            <w:tcW w:w="1140" w:type="dxa"/>
            <w:vAlign w:val="bottom"/>
            <w:shd w:val="clear" w:color="auto" w:fill="1764AC"/>
          </w:tcPr>
          <w:p>
            <w:pPr>
              <w:spacing w:after="0"/>
              <w:rPr>
                <w:sz w:val="13"/>
                <w:szCs w:val="13"/>
                <w:color w:val="auto"/>
              </w:rPr>
            </w:pPr>
          </w:p>
        </w:tc>
        <w:tc>
          <w:tcPr>
            <w:tcW w:w="1080" w:type="dxa"/>
            <w:vAlign w:val="bottom"/>
            <w:shd w:val="clear" w:color="auto" w:fill="1764AC"/>
          </w:tcPr>
          <w:p>
            <w:pPr>
              <w:spacing w:after="0"/>
              <w:rPr>
                <w:sz w:val="13"/>
                <w:szCs w:val="13"/>
                <w:color w:val="auto"/>
              </w:rPr>
            </w:pPr>
          </w:p>
        </w:tc>
        <w:tc>
          <w:tcPr>
            <w:tcW w:w="2300" w:type="dxa"/>
            <w:vAlign w:val="bottom"/>
            <w:shd w:val="clear" w:color="auto" w:fill="1764AC"/>
          </w:tcPr>
          <w:p>
            <w:pPr>
              <w:jc w:val="center"/>
              <w:ind w:right="960"/>
              <w:spacing w:after="0"/>
              <w:rPr>
                <w:sz w:val="20"/>
                <w:szCs w:val="20"/>
                <w:color w:val="auto"/>
              </w:rPr>
            </w:pPr>
            <w:r>
              <w:rPr>
                <w:rFonts w:ascii="Times New Roman" w:cs="Times New Roman" w:eastAsia="Times New Roman" w:hAnsi="Times New Roman"/>
                <w:sz w:val="12"/>
                <w:szCs w:val="12"/>
                <w:b w:val="1"/>
                <w:bCs w:val="1"/>
                <w:color w:val="FFFFFF"/>
                <w:w w:val="99"/>
              </w:rPr>
              <w:t>For the three months</w:t>
            </w:r>
          </w:p>
        </w:tc>
      </w:tr>
      <w:tr>
        <w:trPr>
          <w:trHeight w:val="153"/>
        </w:trPr>
        <w:tc>
          <w:tcPr>
            <w:tcW w:w="4360" w:type="dxa"/>
            <w:vAlign w:val="bottom"/>
            <w:shd w:val="clear" w:color="auto" w:fill="1764AC"/>
          </w:tcPr>
          <w:p>
            <w:pPr>
              <w:spacing w:after="0"/>
              <w:rPr>
                <w:sz w:val="13"/>
                <w:szCs w:val="13"/>
                <w:color w:val="auto"/>
              </w:rPr>
            </w:pPr>
          </w:p>
        </w:tc>
        <w:tc>
          <w:tcPr>
            <w:tcW w:w="2420" w:type="dxa"/>
            <w:vAlign w:val="bottom"/>
            <w:shd w:val="clear" w:color="auto" w:fill="1764AC"/>
          </w:tcPr>
          <w:p>
            <w:pPr>
              <w:jc w:val="center"/>
              <w:ind w:left="1180"/>
              <w:spacing w:after="0"/>
              <w:rPr>
                <w:sz w:val="20"/>
                <w:szCs w:val="20"/>
                <w:color w:val="auto"/>
              </w:rPr>
            </w:pPr>
            <w:r>
              <w:rPr>
                <w:rFonts w:ascii="Times New Roman" w:cs="Times New Roman" w:eastAsia="Times New Roman" w:hAnsi="Times New Roman"/>
                <w:sz w:val="12"/>
                <w:szCs w:val="12"/>
                <w:b w:val="1"/>
                <w:bCs w:val="1"/>
                <w:color w:val="FFFFFF"/>
                <w:w w:val="98"/>
              </w:rPr>
              <w:t>December 31</w:t>
            </w:r>
          </w:p>
        </w:tc>
        <w:tc>
          <w:tcPr>
            <w:tcW w:w="1140" w:type="dxa"/>
            <w:vAlign w:val="bottom"/>
            <w:shd w:val="clear" w:color="auto" w:fill="1764AC"/>
          </w:tcPr>
          <w:p>
            <w:pPr>
              <w:spacing w:after="0"/>
              <w:rPr>
                <w:sz w:val="13"/>
                <w:szCs w:val="13"/>
                <w:color w:val="auto"/>
              </w:rPr>
            </w:pPr>
          </w:p>
        </w:tc>
        <w:tc>
          <w:tcPr>
            <w:tcW w:w="1080" w:type="dxa"/>
            <w:vAlign w:val="bottom"/>
            <w:shd w:val="clear" w:color="auto" w:fill="1764AC"/>
          </w:tcPr>
          <w:p>
            <w:pPr>
              <w:spacing w:after="0"/>
              <w:rPr>
                <w:sz w:val="13"/>
                <w:szCs w:val="13"/>
                <w:color w:val="auto"/>
              </w:rPr>
            </w:pPr>
          </w:p>
        </w:tc>
        <w:tc>
          <w:tcPr>
            <w:tcW w:w="2300" w:type="dxa"/>
            <w:vAlign w:val="bottom"/>
            <w:shd w:val="clear" w:color="auto" w:fill="1764AC"/>
          </w:tcPr>
          <w:p>
            <w:pPr>
              <w:jc w:val="center"/>
              <w:ind w:right="960"/>
              <w:spacing w:after="0"/>
              <w:rPr>
                <w:sz w:val="20"/>
                <w:szCs w:val="20"/>
                <w:color w:val="auto"/>
              </w:rPr>
            </w:pPr>
            <w:r>
              <w:rPr>
                <w:rFonts w:ascii="Times New Roman" w:cs="Times New Roman" w:eastAsia="Times New Roman" w:hAnsi="Times New Roman"/>
                <w:sz w:val="12"/>
                <w:szCs w:val="12"/>
                <w:b w:val="1"/>
                <w:bCs w:val="1"/>
                <w:color w:val="FFFFFF"/>
                <w:w w:val="99"/>
              </w:rPr>
              <w:t>ended December 31</w:t>
            </w:r>
          </w:p>
        </w:tc>
      </w:tr>
      <w:tr>
        <w:trPr>
          <w:trHeight w:val="153"/>
        </w:trPr>
        <w:tc>
          <w:tcPr>
            <w:tcW w:w="4360" w:type="dxa"/>
            <w:vAlign w:val="bottom"/>
            <w:shd w:val="clear" w:color="auto" w:fill="1764AC"/>
          </w:tcPr>
          <w:p>
            <w:pPr>
              <w:spacing w:after="0"/>
              <w:rPr>
                <w:sz w:val="13"/>
                <w:szCs w:val="13"/>
                <w:color w:val="auto"/>
              </w:rPr>
            </w:pPr>
          </w:p>
        </w:tc>
        <w:tc>
          <w:tcPr>
            <w:tcW w:w="2420" w:type="dxa"/>
            <w:vAlign w:val="bottom"/>
            <w:shd w:val="clear" w:color="auto" w:fill="1764AC"/>
          </w:tcPr>
          <w:p>
            <w:pPr>
              <w:jc w:val="center"/>
              <w:ind w:right="560"/>
              <w:spacing w:after="0"/>
              <w:rPr>
                <w:sz w:val="20"/>
                <w:szCs w:val="20"/>
                <w:color w:val="auto"/>
              </w:rPr>
            </w:pPr>
            <w:r>
              <w:rPr>
                <w:rFonts w:ascii="Times New Roman" w:cs="Times New Roman" w:eastAsia="Times New Roman" w:hAnsi="Times New Roman"/>
                <w:sz w:val="12"/>
                <w:szCs w:val="12"/>
                <w:b w:val="1"/>
                <w:bCs w:val="1"/>
                <w:color w:val="FFFFFF"/>
                <w:w w:val="99"/>
              </w:rPr>
              <w:t>2025</w:t>
            </w:r>
          </w:p>
        </w:tc>
        <w:tc>
          <w:tcPr>
            <w:tcW w:w="1140" w:type="dxa"/>
            <w:vAlign w:val="bottom"/>
            <w:shd w:val="clear" w:color="auto" w:fill="1764AC"/>
          </w:tcPr>
          <w:p>
            <w:pPr>
              <w:jc w:val="center"/>
              <w:ind w:right="440"/>
              <w:spacing w:after="0"/>
              <w:rPr>
                <w:sz w:val="20"/>
                <w:szCs w:val="20"/>
                <w:color w:val="auto"/>
              </w:rPr>
            </w:pPr>
            <w:r>
              <w:rPr>
                <w:rFonts w:ascii="Times New Roman" w:cs="Times New Roman" w:eastAsia="Times New Roman" w:hAnsi="Times New Roman"/>
                <w:sz w:val="12"/>
                <w:szCs w:val="12"/>
                <w:b w:val="1"/>
                <w:bCs w:val="1"/>
                <w:color w:val="FFFFFF"/>
                <w:w w:val="99"/>
              </w:rPr>
              <w:t>2024</w:t>
            </w:r>
          </w:p>
        </w:tc>
        <w:tc>
          <w:tcPr>
            <w:tcW w:w="1080" w:type="dxa"/>
            <w:vAlign w:val="bottom"/>
            <w:shd w:val="clear" w:color="auto" w:fill="1764AC"/>
          </w:tcPr>
          <w:p>
            <w:pPr>
              <w:jc w:val="center"/>
              <w:ind w:left="420"/>
              <w:spacing w:after="0"/>
              <w:rPr>
                <w:sz w:val="20"/>
                <w:szCs w:val="20"/>
                <w:color w:val="auto"/>
              </w:rPr>
            </w:pPr>
            <w:r>
              <w:rPr>
                <w:rFonts w:ascii="Times New Roman" w:cs="Times New Roman" w:eastAsia="Times New Roman" w:hAnsi="Times New Roman"/>
                <w:sz w:val="12"/>
                <w:szCs w:val="12"/>
                <w:b w:val="1"/>
                <w:bCs w:val="1"/>
                <w:color w:val="FFFFFF"/>
                <w:w w:val="99"/>
              </w:rPr>
              <w:t>2025</w:t>
            </w:r>
          </w:p>
        </w:tc>
        <w:tc>
          <w:tcPr>
            <w:tcW w:w="2300" w:type="dxa"/>
            <w:vAlign w:val="bottom"/>
            <w:shd w:val="clear" w:color="auto" w:fill="1764AC"/>
          </w:tcPr>
          <w:p>
            <w:pPr>
              <w:jc w:val="center"/>
              <w:ind w:left="640"/>
              <w:spacing w:after="0"/>
              <w:rPr>
                <w:sz w:val="20"/>
                <w:szCs w:val="20"/>
                <w:color w:val="auto"/>
              </w:rPr>
            </w:pPr>
            <w:r>
              <w:rPr>
                <w:rFonts w:ascii="Times New Roman" w:cs="Times New Roman" w:eastAsia="Times New Roman" w:hAnsi="Times New Roman"/>
                <w:sz w:val="12"/>
                <w:szCs w:val="12"/>
                <w:b w:val="1"/>
                <w:bCs w:val="1"/>
                <w:color w:val="FFFFFF"/>
                <w:w w:val="99"/>
              </w:rPr>
              <w:t>2024</w:t>
            </w:r>
          </w:p>
        </w:tc>
      </w:tr>
      <w:tr>
        <w:trPr>
          <w:trHeight w:val="142"/>
        </w:trPr>
        <w:tc>
          <w:tcPr>
            <w:tcW w:w="4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w w:val="97"/>
              </w:rPr>
              <w:t>160,702</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66,505</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rPr>
              <w:t>21,073</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rPr>
              <w:t>8,372</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w w:val="97"/>
              </w:rPr>
              <w:t>149,922</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108,889</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rPr>
              <w:t>39,763</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6"/>
              </w:rPr>
              <w:t>30,912</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Share based compensation</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rPr>
              <w:t>10,470</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8,360</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6"/>
              </w:rPr>
              <w:t>5,423</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rPr>
              <w:t>2,333</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rPr>
              <w:t>(40,851)</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(20,439)</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7"/>
              </w:rPr>
              <w:t>(4,559)</w:t>
            </w:r>
          </w:p>
        </w:tc>
        <w:tc>
          <w:tcPr>
            <w:tcW w:w="2300" w:type="dxa"/>
            <w:vAlign w:val="bottom"/>
          </w:tcPr>
          <w:p>
            <w:pPr>
              <w:jc w:val="center"/>
              <w:ind w:left="620"/>
              <w:spacing w:after="0"/>
              <w:rPr>
                <w:sz w:val="20"/>
                <w:szCs w:val="20"/>
                <w:color w:val="auto"/>
              </w:rPr>
            </w:pPr>
            <w:r>
              <w:rPr>
                <w:rFonts w:ascii="Times New Roman" w:cs="Times New Roman" w:eastAsia="Times New Roman" w:hAnsi="Times New Roman"/>
                <w:sz w:val="12"/>
                <w:szCs w:val="12"/>
                <w:color w:val="auto"/>
                <w:w w:val="97"/>
              </w:rPr>
              <w:t>(2,140)</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w w:val="97"/>
              </w:rPr>
              <w:t>164,730</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107,844</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rPr>
              <w:t>28,273</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6"/>
              </w:rPr>
              <w:t>22,008</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Gains from projects disposals (*)</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rPr>
              <w:t>(54,597)</w:t>
            </w:r>
          </w:p>
        </w:tc>
        <w:tc>
          <w:tcPr>
            <w:tcW w:w="114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8"/>
              </w:rPr>
              <w:t>-</w:t>
            </w:r>
          </w:p>
        </w:tc>
        <w:tc>
          <w:tcPr>
            <w:tcW w:w="1080" w:type="dxa"/>
            <w:vAlign w:val="bottom"/>
          </w:tcPr>
          <w:p>
            <w:pPr>
              <w:jc w:val="center"/>
              <w:ind w:left="420"/>
              <w:spacing w:after="0"/>
              <w:rPr>
                <w:sz w:val="20"/>
                <w:szCs w:val="20"/>
                <w:color w:val="auto"/>
              </w:rPr>
            </w:pPr>
            <w:r>
              <w:rPr>
                <w:rFonts w:ascii="Times New Roman" w:cs="Times New Roman" w:eastAsia="Times New Roman" w:hAnsi="Times New Roman"/>
                <w:sz w:val="12"/>
                <w:szCs w:val="12"/>
                <w:color w:val="auto"/>
                <w:w w:val="98"/>
              </w:rPr>
              <w:t>-</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Non-recurring other income, net (**)</w:t>
            </w:r>
          </w:p>
        </w:tc>
        <w:tc>
          <w:tcPr>
            <w:tcW w:w="2420" w:type="dxa"/>
            <w:vAlign w:val="bottom"/>
          </w:tcPr>
          <w:p>
            <w:pPr>
              <w:jc w:val="right"/>
              <w:ind w:right="14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(3,669)</w:t>
            </w:r>
          </w:p>
        </w:tc>
        <w:tc>
          <w:tcPr>
            <w:tcW w:w="1080" w:type="dxa"/>
            <w:vAlign w:val="bottom"/>
          </w:tcPr>
          <w:p>
            <w:pPr>
              <w:jc w:val="center"/>
              <w:ind w:left="420"/>
              <w:spacing w:after="0"/>
              <w:rPr>
                <w:sz w:val="20"/>
                <w:szCs w:val="20"/>
                <w:color w:val="auto"/>
              </w:rPr>
            </w:pPr>
            <w:r>
              <w:rPr>
                <w:rFonts w:ascii="Times New Roman" w:cs="Times New Roman" w:eastAsia="Times New Roman" w:hAnsi="Times New Roman"/>
                <w:sz w:val="12"/>
                <w:szCs w:val="12"/>
                <w:color w:val="auto"/>
                <w:w w:val="98"/>
              </w:rPr>
              <w:t>-</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Share of losses of equity accounted investees</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w w:val="96"/>
              </w:rPr>
              <w:t>3,722</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3,350</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9"/>
              </w:rPr>
              <w:t>(182)</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rPr>
              <w:t>1,613</w:t>
            </w:r>
          </w:p>
        </w:tc>
      </w:tr>
      <w:tr>
        <w:trPr>
          <w:trHeight w:val="159"/>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2420" w:type="dxa"/>
            <w:vAlign w:val="bottom"/>
          </w:tcPr>
          <w:p>
            <w:pPr>
              <w:jc w:val="center"/>
              <w:ind w:right="580"/>
              <w:spacing w:after="0"/>
              <w:rPr>
                <w:sz w:val="20"/>
                <w:szCs w:val="20"/>
                <w:color w:val="auto"/>
              </w:rPr>
            </w:pPr>
            <w:r>
              <w:rPr>
                <w:rFonts w:ascii="Times New Roman" w:cs="Times New Roman" w:eastAsia="Times New Roman" w:hAnsi="Times New Roman"/>
                <w:sz w:val="12"/>
                <w:szCs w:val="12"/>
                <w:color w:val="auto"/>
              </w:rPr>
              <w:t>43,875</w:t>
            </w:r>
          </w:p>
        </w:tc>
        <w:tc>
          <w:tcPr>
            <w:tcW w:w="114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18,275</w:t>
            </w:r>
          </w:p>
        </w:tc>
        <w:tc>
          <w:tcPr>
            <w:tcW w:w="108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6"/>
              </w:rPr>
              <w:t>8,792</w:t>
            </w:r>
          </w:p>
        </w:tc>
        <w:tc>
          <w:tcPr>
            <w:tcW w:w="230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rPr>
              <w:t>2,121</w:t>
            </w:r>
          </w:p>
        </w:tc>
      </w:tr>
      <w:tr>
        <w:trPr>
          <w:trHeight w:val="158"/>
        </w:trPr>
        <w:tc>
          <w:tcPr>
            <w:tcW w:w="436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2420" w:type="dxa"/>
            <w:vAlign w:val="bottom"/>
            <w:shd w:val="clear" w:color="auto" w:fill="BDD7EE"/>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437,973</w:t>
            </w:r>
          </w:p>
        </w:tc>
        <w:tc>
          <w:tcPr>
            <w:tcW w:w="1140" w:type="dxa"/>
            <w:vAlign w:val="bottom"/>
            <w:shd w:val="clear" w:color="auto" w:fill="BDD7EE"/>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289,115</w:t>
            </w:r>
          </w:p>
        </w:tc>
        <w:tc>
          <w:tcPr>
            <w:tcW w:w="1080" w:type="dxa"/>
            <w:vAlign w:val="bottom"/>
            <w:shd w:val="clear" w:color="auto" w:fill="BDD7EE"/>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98,583</w:t>
            </w:r>
          </w:p>
        </w:tc>
        <w:tc>
          <w:tcPr>
            <w:tcW w:w="2300" w:type="dxa"/>
            <w:vAlign w:val="bottom"/>
            <w:shd w:val="clear" w:color="auto" w:fill="BDD7EE"/>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6"/>
              </w:rPr>
              <w:t>65,219</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Profit from revaluation linked to partial sale of asset.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Recognition of income related to lower earn-out payments offset by a revaluation in the value of financial assets.</w:t>
      </w:r>
    </w:p>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Appendix 3 – Debentures Covenants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Debentures Covenants</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Company was in compliance with all of its financial covenants under the indenture for the Series C, D, F, G and H Debentures, based on having achieved the following in its consolidated financial results: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Minimum equity</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company's equity shall be maintained at no less than NIS 375 million so long as debentures F remain outstanding, NIS 1,250 million so long as debentures C and D remain outstanding, and USD 600 million so long as debentures</w:t>
      </w:r>
    </w:p>
    <w:p>
      <w:pPr>
        <w:spacing w:after="0" w:line="17" w:lineRule="exact"/>
        <w:rPr>
          <w:sz w:val="20"/>
          <w:szCs w:val="20"/>
          <w:color w:val="auto"/>
        </w:rPr>
      </w:pPr>
    </w:p>
    <w:p>
      <w:pPr>
        <w:ind w:left="228" w:hanging="228"/>
        <w:spacing w:after="0"/>
        <w:tabs>
          <w:tab w:leader="none" w:pos="2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H remain outstanding.</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company’s equity amounted to NIS 6,363 million (USD 1,995 million).</w:t>
      </w:r>
    </w:p>
    <w:p>
      <w:pPr>
        <w:spacing w:after="0" w:line="155"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net CAP</w:t>
      </w:r>
    </w:p>
    <w:p>
      <w:pPr>
        <w:spacing w:after="0" w:line="163"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The ratio of standalone net financial debt to net CAP shall not exceed 70% for two consecutive financial periods so long as debentures F remain outstanding and shall not exceed 65% for two consecutive financial periods so long as debentures C, D, G and H remain outstanding.</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net financial debt to net CAP ratio, as defined above, stands at 36%.</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EBITDA</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So long as debentures F remain outstanding, standalone financial debt shall not exceed NIS 10 million, and the consolidated financial debt to EBITDA ratio shall not exceed 18 for more than two consecutive financial periods.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as long as debentures C and D remain outstanding, the consolidated financial debt to EBITDA ratio shall not exceed 15 for more than two consecutive financial periods.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as long as debentures G and H remain outstanding, the consolidated financial debt to EBITDA ratio shall not exceed 17 for more than two consecutive financial periods.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net financial debt to EBITDA ratio, as defined above, stands at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Equity to balance sheet</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The standalone equity to total balance sheet ratio shall be maintained at no less than 20% ,25% and 28%, respectively, for two consecutive financial periods for as long as debentures F, debentures C and D and debentures G and H remain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equity to balance sheet ratio, as defined above, stands at 58%.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Appendix 4 – Change in accounting policy</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 xml:space="preserve">Until September 30, 2025, interest paid and interest received were presented within cash flows from operating activities in the Consolidated Statements of Cash Flows. In accordance with IAS 7 </w:t>
      </w:r>
      <w:r>
        <w:rPr>
          <w:rFonts w:ascii="Times New Roman" w:cs="Times New Roman" w:eastAsia="Times New Roman" w:hAnsi="Times New Roman"/>
          <w:sz w:val="12"/>
          <w:szCs w:val="12"/>
          <w:i w:val="1"/>
          <w:iCs w:val="1"/>
          <w:color w:val="auto"/>
        </w:rPr>
        <w:t>Statement of Cash Flows</w:t>
      </w:r>
      <w:r>
        <w:rPr>
          <w:rFonts w:ascii="Times New Roman" w:cs="Times New Roman" w:eastAsia="Times New Roman" w:hAnsi="Times New Roman"/>
          <w:sz w:val="12"/>
          <w:szCs w:val="12"/>
          <w:color w:val="auto"/>
        </w:rPr>
        <w:t>, entities are permitted to classify interest paid and interest received as operating, investing, or financing cash flows, provided that the selected classification is applied consistently from period to period.</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During the fourth quarter of 2025, management elected to change the classification of interest paid, including payments relating to interest rate swap (IRS) instruments to cash flows used in financing activities, and interest received to cash flows from investing activities. Management believes that this change in presentation provides a more comprehensive view of the cost of financing the Company's operations and better reflects management’s view of the financing nature of these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comparative information has been retrospectively adjusted to reflect this change in accounting policy in the Consolidated Statements of Cash Flows, as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2140" w:type="dxa"/>
            <w:vAlign w:val="bottom"/>
            <w:shd w:val="clear" w:color="auto" w:fill="1764AC"/>
          </w:tcPr>
          <w:p>
            <w:pPr>
              <w:spacing w:after="0"/>
              <w:rPr>
                <w:sz w:val="13"/>
                <w:szCs w:val="13"/>
                <w:color w:val="auto"/>
              </w:rPr>
            </w:pPr>
          </w:p>
        </w:tc>
        <w:tc>
          <w:tcPr>
            <w:tcW w:w="23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For the year ended</w:t>
            </w:r>
          </w:p>
        </w:tc>
        <w:tc>
          <w:tcPr>
            <w:tcW w:w="2140" w:type="dxa"/>
            <w:vAlign w:val="bottom"/>
            <w:shd w:val="clear" w:color="auto" w:fill="1764AC"/>
          </w:tcPr>
          <w:p>
            <w:pPr>
              <w:spacing w:after="0"/>
              <w:rPr>
                <w:sz w:val="13"/>
                <w:szCs w:val="13"/>
                <w:color w:val="auto"/>
              </w:rPr>
            </w:pPr>
          </w:p>
        </w:tc>
      </w:tr>
      <w:tr>
        <w:trPr>
          <w:trHeight w:val="153"/>
        </w:trPr>
        <w:tc>
          <w:tcPr>
            <w:tcW w:w="4660" w:type="dxa"/>
            <w:vAlign w:val="bottom"/>
            <w:shd w:val="clear" w:color="auto" w:fill="1764AC"/>
          </w:tcPr>
          <w:p>
            <w:pPr>
              <w:spacing w:after="0"/>
              <w:rPr>
                <w:sz w:val="13"/>
                <w:szCs w:val="13"/>
                <w:color w:val="auto"/>
              </w:rPr>
            </w:pPr>
          </w:p>
        </w:tc>
        <w:tc>
          <w:tcPr>
            <w:tcW w:w="2140" w:type="dxa"/>
            <w:vAlign w:val="bottom"/>
            <w:shd w:val="clear" w:color="auto" w:fill="1764AC"/>
          </w:tcPr>
          <w:p>
            <w:pPr>
              <w:spacing w:after="0"/>
              <w:rPr>
                <w:sz w:val="13"/>
                <w:szCs w:val="13"/>
                <w:color w:val="auto"/>
              </w:rPr>
            </w:pPr>
          </w:p>
        </w:tc>
        <w:tc>
          <w:tcPr>
            <w:tcW w:w="23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December 31, 2024</w:t>
            </w:r>
          </w:p>
        </w:tc>
        <w:tc>
          <w:tcPr>
            <w:tcW w:w="2140" w:type="dxa"/>
            <w:vAlign w:val="bottom"/>
            <w:shd w:val="clear" w:color="auto" w:fill="1764AC"/>
          </w:tcPr>
          <w:p>
            <w:pPr>
              <w:spacing w:after="0"/>
              <w:rPr>
                <w:sz w:val="13"/>
                <w:szCs w:val="13"/>
                <w:color w:val="auto"/>
              </w:rPr>
            </w:pPr>
          </w:p>
        </w:tc>
      </w:tr>
      <w:tr>
        <w:trPr>
          <w:trHeight w:val="153"/>
        </w:trPr>
        <w:tc>
          <w:tcPr>
            <w:tcW w:w="4660" w:type="dxa"/>
            <w:vAlign w:val="bottom"/>
            <w:shd w:val="clear" w:color="auto" w:fill="1764AC"/>
          </w:tcPr>
          <w:p>
            <w:pPr>
              <w:spacing w:after="0"/>
              <w:rPr>
                <w:sz w:val="13"/>
                <w:szCs w:val="13"/>
                <w:color w:val="auto"/>
              </w:rPr>
            </w:pPr>
          </w:p>
        </w:tc>
        <w:tc>
          <w:tcPr>
            <w:tcW w:w="2140" w:type="dxa"/>
            <w:vAlign w:val="bottom"/>
            <w:shd w:val="clear" w:color="auto" w:fill="1764AC"/>
          </w:tcPr>
          <w:p>
            <w:pPr>
              <w:ind w:left="860"/>
              <w:spacing w:after="0"/>
              <w:rPr>
                <w:sz w:val="20"/>
                <w:szCs w:val="20"/>
                <w:color w:val="auto"/>
              </w:rPr>
            </w:pPr>
            <w:r>
              <w:rPr>
                <w:rFonts w:ascii="Times New Roman" w:cs="Times New Roman" w:eastAsia="Times New Roman" w:hAnsi="Times New Roman"/>
                <w:sz w:val="12"/>
                <w:szCs w:val="12"/>
                <w:b w:val="1"/>
                <w:bCs w:val="1"/>
                <w:color w:val="FFFFFF"/>
              </w:rPr>
              <w:t>As reported</w:t>
            </w:r>
          </w:p>
        </w:tc>
        <w:tc>
          <w:tcPr>
            <w:tcW w:w="23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Adjustment</w:t>
            </w:r>
          </w:p>
        </w:tc>
        <w:tc>
          <w:tcPr>
            <w:tcW w:w="2140" w:type="dxa"/>
            <w:vAlign w:val="bottom"/>
            <w:shd w:val="clear" w:color="auto" w:fill="1764AC"/>
          </w:tcPr>
          <w:p>
            <w:pPr>
              <w:ind w:left="680"/>
              <w:spacing w:after="0"/>
              <w:rPr>
                <w:sz w:val="20"/>
                <w:szCs w:val="20"/>
                <w:color w:val="auto"/>
              </w:rPr>
            </w:pPr>
            <w:r>
              <w:rPr>
                <w:rFonts w:ascii="Times New Roman" w:cs="Times New Roman" w:eastAsia="Times New Roman" w:hAnsi="Times New Roman"/>
                <w:sz w:val="12"/>
                <w:szCs w:val="12"/>
                <w:b w:val="1"/>
                <w:bCs w:val="1"/>
                <w:color w:val="FFFFFF"/>
              </w:rPr>
              <w:t>As adjusted</w:t>
            </w: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from operating activities</w:t>
            </w:r>
          </w:p>
        </w:tc>
        <w:tc>
          <w:tcPr>
            <w:tcW w:w="214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193,072</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62,207</w:t>
            </w:r>
          </w:p>
        </w:tc>
        <w:tc>
          <w:tcPr>
            <w:tcW w:w="21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255,279</w:t>
            </w: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14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(941,367)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12,684</w:t>
            </w:r>
          </w:p>
        </w:tc>
        <w:tc>
          <w:tcPr>
            <w:tcW w:w="21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(928,683)</w:t>
            </w:r>
          </w:p>
        </w:tc>
      </w:tr>
      <w:tr>
        <w:trPr>
          <w:trHeight w:val="149"/>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from financing activities</w:t>
            </w:r>
          </w:p>
        </w:tc>
        <w:tc>
          <w:tcPr>
            <w:tcW w:w="214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745,987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(74,891)</w:t>
            </w:r>
          </w:p>
        </w:tc>
        <w:tc>
          <w:tcPr>
            <w:tcW w:w="21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671,096</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Decrease in cash and cash equivalents</w:t>
            </w:r>
          </w:p>
        </w:tc>
        <w:tc>
          <w:tcPr>
            <w:tcW w:w="214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(2,308)</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1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(2,308)</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2040" w:type="dxa"/>
            <w:vAlign w:val="bottom"/>
            <w:shd w:val="clear" w:color="auto" w:fill="1764AC"/>
          </w:tcPr>
          <w:p>
            <w:pPr>
              <w:spacing w:after="0"/>
              <w:rPr>
                <w:sz w:val="13"/>
                <w:szCs w:val="13"/>
                <w:color w:val="auto"/>
              </w:rPr>
            </w:pPr>
          </w:p>
        </w:tc>
        <w:tc>
          <w:tcPr>
            <w:tcW w:w="2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For the three months ended</w:t>
            </w:r>
          </w:p>
        </w:tc>
        <w:tc>
          <w:tcPr>
            <w:tcW w:w="2040" w:type="dxa"/>
            <w:vAlign w:val="bottom"/>
            <w:shd w:val="clear" w:color="auto" w:fill="1764AC"/>
          </w:tcPr>
          <w:p>
            <w:pPr>
              <w:spacing w:after="0"/>
              <w:rPr>
                <w:sz w:val="13"/>
                <w:szCs w:val="13"/>
                <w:color w:val="auto"/>
              </w:rPr>
            </w:pPr>
          </w:p>
        </w:tc>
      </w:tr>
      <w:tr>
        <w:trPr>
          <w:trHeight w:val="153"/>
        </w:trPr>
        <w:tc>
          <w:tcPr>
            <w:tcW w:w="4660" w:type="dxa"/>
            <w:vAlign w:val="bottom"/>
            <w:shd w:val="clear" w:color="auto" w:fill="1764AC"/>
          </w:tcPr>
          <w:p>
            <w:pPr>
              <w:spacing w:after="0"/>
              <w:rPr>
                <w:sz w:val="13"/>
                <w:szCs w:val="13"/>
                <w:color w:val="auto"/>
              </w:rPr>
            </w:pPr>
          </w:p>
        </w:tc>
        <w:tc>
          <w:tcPr>
            <w:tcW w:w="2040" w:type="dxa"/>
            <w:vAlign w:val="bottom"/>
            <w:shd w:val="clear" w:color="auto" w:fill="1764AC"/>
          </w:tcPr>
          <w:p>
            <w:pPr>
              <w:spacing w:after="0"/>
              <w:rPr>
                <w:sz w:val="13"/>
                <w:szCs w:val="13"/>
                <w:color w:val="auto"/>
              </w:rPr>
            </w:pPr>
          </w:p>
        </w:tc>
        <w:tc>
          <w:tcPr>
            <w:tcW w:w="2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December 31, 2024</w:t>
            </w:r>
          </w:p>
        </w:tc>
        <w:tc>
          <w:tcPr>
            <w:tcW w:w="2040" w:type="dxa"/>
            <w:vAlign w:val="bottom"/>
            <w:shd w:val="clear" w:color="auto" w:fill="1764AC"/>
          </w:tcPr>
          <w:p>
            <w:pPr>
              <w:spacing w:after="0"/>
              <w:rPr>
                <w:sz w:val="13"/>
                <w:szCs w:val="13"/>
                <w:color w:val="auto"/>
              </w:rPr>
            </w:pPr>
          </w:p>
        </w:tc>
      </w:tr>
      <w:tr>
        <w:trPr>
          <w:trHeight w:val="153"/>
        </w:trPr>
        <w:tc>
          <w:tcPr>
            <w:tcW w:w="4660" w:type="dxa"/>
            <w:vAlign w:val="bottom"/>
            <w:shd w:val="clear" w:color="auto" w:fill="1764AC"/>
          </w:tcPr>
          <w:p>
            <w:pPr>
              <w:spacing w:after="0"/>
              <w:rPr>
                <w:sz w:val="13"/>
                <w:szCs w:val="13"/>
                <w:color w:val="auto"/>
              </w:rPr>
            </w:pPr>
          </w:p>
        </w:tc>
        <w:tc>
          <w:tcPr>
            <w:tcW w:w="2040" w:type="dxa"/>
            <w:vAlign w:val="bottom"/>
            <w:shd w:val="clear" w:color="auto" w:fill="1764AC"/>
          </w:tcPr>
          <w:p>
            <w:pPr>
              <w:ind w:left="860"/>
              <w:spacing w:after="0"/>
              <w:rPr>
                <w:sz w:val="20"/>
                <w:szCs w:val="20"/>
                <w:color w:val="auto"/>
              </w:rPr>
            </w:pPr>
            <w:r>
              <w:rPr>
                <w:rFonts w:ascii="Times New Roman" w:cs="Times New Roman" w:eastAsia="Times New Roman" w:hAnsi="Times New Roman"/>
                <w:sz w:val="12"/>
                <w:szCs w:val="12"/>
                <w:b w:val="1"/>
                <w:bCs w:val="1"/>
                <w:color w:val="FFFFFF"/>
              </w:rPr>
              <w:t>As reported</w:t>
            </w:r>
          </w:p>
        </w:tc>
        <w:tc>
          <w:tcPr>
            <w:tcW w:w="2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Adjustment</w:t>
            </w:r>
          </w:p>
        </w:tc>
        <w:tc>
          <w:tcPr>
            <w:tcW w:w="2040" w:type="dxa"/>
            <w:vAlign w:val="bottom"/>
            <w:shd w:val="clear" w:color="auto" w:fill="1764AC"/>
          </w:tcPr>
          <w:p>
            <w:pPr>
              <w:ind w:left="580"/>
              <w:spacing w:after="0"/>
              <w:rPr>
                <w:sz w:val="20"/>
                <w:szCs w:val="20"/>
                <w:color w:val="auto"/>
              </w:rPr>
            </w:pPr>
            <w:r>
              <w:rPr>
                <w:rFonts w:ascii="Times New Roman" w:cs="Times New Roman" w:eastAsia="Times New Roman" w:hAnsi="Times New Roman"/>
                <w:sz w:val="12"/>
                <w:szCs w:val="12"/>
                <w:b w:val="1"/>
                <w:bCs w:val="1"/>
                <w:color w:val="FFFFFF"/>
              </w:rPr>
              <w:t>As adjusted</w:t>
            </w: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from operating activities</w:t>
            </w:r>
          </w:p>
        </w:tc>
        <w:tc>
          <w:tcPr>
            <w:tcW w:w="204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w w:val="96"/>
              </w:rPr>
              <w:t>35,532</w:t>
            </w:r>
          </w:p>
        </w:tc>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18,464</w:t>
            </w:r>
          </w:p>
        </w:tc>
        <w:tc>
          <w:tcPr>
            <w:tcW w:w="20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w w:val="96"/>
              </w:rPr>
              <w:t>53,996</w:t>
            </w: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04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(173,235)</w:t>
            </w:r>
          </w:p>
        </w:tc>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4,879</w:t>
            </w:r>
          </w:p>
        </w:tc>
        <w:tc>
          <w:tcPr>
            <w:tcW w:w="20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(168,356)</w:t>
            </w:r>
          </w:p>
        </w:tc>
      </w:tr>
      <w:tr>
        <w:trPr>
          <w:trHeight w:val="149"/>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cash from financing activities</w:t>
            </w:r>
          </w:p>
        </w:tc>
        <w:tc>
          <w:tcPr>
            <w:tcW w:w="204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356,258</w:t>
            </w:r>
          </w:p>
        </w:tc>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(23,343)</w:t>
            </w:r>
          </w:p>
        </w:tc>
        <w:tc>
          <w:tcPr>
            <w:tcW w:w="20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332,915</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Decrease in cash and cash equivalents</w:t>
            </w:r>
          </w:p>
        </w:tc>
        <w:tc>
          <w:tcPr>
            <w:tcW w:w="204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(218,555)</w:t>
            </w:r>
          </w:p>
        </w:tc>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0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(218,555)</w:t>
            </w:r>
          </w:p>
        </w:tc>
      </w:tr>
      <w:tr>
        <w:trPr>
          <w:trHeight w:val="279"/>
        </w:trPr>
        <w:tc>
          <w:tcPr>
            <w:tcW w:w="4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5</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 Segment information: Operational projects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2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4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660" w:type="dxa"/>
            <w:vAlign w:val="bottom"/>
            <w:shd w:val="clear" w:color="auto" w:fill="1764AC"/>
          </w:tcPr>
          <w:p>
            <w:pPr>
              <w:spacing w:after="0"/>
              <w:rPr>
                <w:sz w:val="13"/>
                <w:szCs w:val="13"/>
                <w:color w:val="auto"/>
              </w:rPr>
            </w:pPr>
          </w:p>
        </w:tc>
        <w:tc>
          <w:tcPr>
            <w:tcW w:w="680" w:type="dxa"/>
            <w:vAlign w:val="bottom"/>
            <w:tcBorders>
              <w:right w:val="single" w:sz="8" w:color="1764AC"/>
            </w:tcBorders>
            <w:shd w:val="clear" w:color="auto" w:fill="1764AC"/>
          </w:tcPr>
          <w:p>
            <w:pPr>
              <w:spacing w:after="0"/>
              <w:rPr>
                <w:sz w:val="13"/>
                <w:szCs w:val="13"/>
                <w:color w:val="auto"/>
              </w:rPr>
            </w:pPr>
          </w:p>
        </w:tc>
        <w:tc>
          <w:tcPr>
            <w:tcW w:w="380" w:type="dxa"/>
            <w:vAlign w:val="bottom"/>
            <w:shd w:val="clear" w:color="auto" w:fill="1764AC"/>
          </w:tcPr>
          <w:p>
            <w:pPr>
              <w:spacing w:after="0"/>
              <w:rPr>
                <w:sz w:val="13"/>
                <w:szCs w:val="13"/>
                <w:color w:val="auto"/>
              </w:rPr>
            </w:pPr>
          </w:p>
        </w:tc>
        <w:tc>
          <w:tcPr>
            <w:tcW w:w="620" w:type="dxa"/>
            <w:vAlign w:val="bottom"/>
            <w:shd w:val="clear" w:color="auto" w:fill="1764AC"/>
          </w:tcPr>
          <w:p>
            <w:pPr>
              <w:spacing w:after="0"/>
              <w:rPr>
                <w:sz w:val="13"/>
                <w:szCs w:val="13"/>
                <w:color w:val="auto"/>
              </w:rPr>
            </w:pPr>
          </w:p>
        </w:tc>
        <w:tc>
          <w:tcPr>
            <w:tcW w:w="2320" w:type="dxa"/>
            <w:vAlign w:val="bottom"/>
            <w:gridSpan w:val="3"/>
            <w:shd w:val="clear" w:color="auto" w:fill="1764AC"/>
          </w:tcPr>
          <w:p>
            <w:pPr>
              <w:ind w:left="220"/>
              <w:spacing w:after="0"/>
              <w:rPr>
                <w:sz w:val="20"/>
                <w:szCs w:val="20"/>
                <w:color w:val="auto"/>
              </w:rPr>
            </w:pPr>
            <w:r>
              <w:rPr>
                <w:rFonts w:ascii="Times New Roman" w:cs="Times New Roman" w:eastAsia="Times New Roman" w:hAnsi="Times New Roman"/>
                <w:sz w:val="12"/>
                <w:szCs w:val="12"/>
                <w:b w:val="1"/>
                <w:bCs w:val="1"/>
                <w:color w:val="FFFFFF"/>
              </w:rPr>
              <w:t>12 Months ended December 31</w:t>
            </w:r>
          </w:p>
        </w:tc>
        <w:tc>
          <w:tcPr>
            <w:tcW w:w="740" w:type="dxa"/>
            <w:vAlign w:val="bottom"/>
            <w:tcBorders>
              <w:right w:val="single" w:sz="8" w:color="1764AC"/>
            </w:tcBorders>
            <w:shd w:val="clear" w:color="auto" w:fill="1764AC"/>
          </w:tcPr>
          <w:p>
            <w:pPr>
              <w:spacing w:after="0"/>
              <w:rPr>
                <w:sz w:val="13"/>
                <w:szCs w:val="13"/>
                <w:color w:val="auto"/>
              </w:rPr>
            </w:pPr>
          </w:p>
        </w:tc>
        <w:tc>
          <w:tcPr>
            <w:tcW w:w="860" w:type="dxa"/>
            <w:vAlign w:val="bottom"/>
            <w:shd w:val="clear" w:color="auto" w:fill="1764AC"/>
          </w:tcPr>
          <w:p>
            <w:pPr>
              <w:spacing w:after="0"/>
              <w:rPr>
                <w:sz w:val="13"/>
                <w:szCs w:val="13"/>
                <w:color w:val="auto"/>
              </w:rPr>
            </w:pPr>
          </w:p>
        </w:tc>
        <w:tc>
          <w:tcPr>
            <w:tcW w:w="400" w:type="dxa"/>
            <w:vAlign w:val="bottom"/>
            <w:shd w:val="clear" w:color="auto" w:fill="1764AC"/>
          </w:tcPr>
          <w:p>
            <w:pPr>
              <w:spacing w:after="0"/>
              <w:rPr>
                <w:sz w:val="13"/>
                <w:szCs w:val="13"/>
                <w:color w:val="auto"/>
              </w:rPr>
            </w:pPr>
          </w:p>
        </w:tc>
        <w:tc>
          <w:tcPr>
            <w:tcW w:w="1720" w:type="dxa"/>
            <w:vAlign w:val="bottom"/>
            <w:gridSpan w:val="2"/>
            <w:shd w:val="clear" w:color="auto" w:fill="1764AC"/>
          </w:tcPr>
          <w:p>
            <w:pPr>
              <w:jc w:val="right"/>
              <w:spacing w:after="0"/>
              <w:rPr>
                <w:sz w:val="20"/>
                <w:szCs w:val="20"/>
                <w:color w:val="auto"/>
              </w:rPr>
            </w:pPr>
            <w:r>
              <w:rPr>
                <w:rFonts w:ascii="Times New Roman" w:cs="Times New Roman" w:eastAsia="Times New Roman" w:hAnsi="Times New Roman"/>
                <w:sz w:val="12"/>
                <w:szCs w:val="12"/>
                <w:b w:val="1"/>
                <w:bCs w:val="1"/>
                <w:color w:val="FFFFFF"/>
              </w:rPr>
              <w:t>3 Months ended December 31</w:t>
            </w:r>
          </w:p>
        </w:tc>
        <w:tc>
          <w:tcPr>
            <w:tcW w:w="660" w:type="dxa"/>
            <w:vAlign w:val="bottom"/>
            <w:shd w:val="clear" w:color="auto" w:fill="1764AC"/>
          </w:tcPr>
          <w:p>
            <w:pPr>
              <w:spacing w:after="0"/>
              <w:rPr>
                <w:sz w:val="13"/>
                <w:szCs w:val="13"/>
                <w:color w:val="auto"/>
              </w:rPr>
            </w:pPr>
          </w:p>
        </w:tc>
        <w:tc>
          <w:tcPr>
            <w:tcW w:w="660" w:type="dxa"/>
            <w:vAlign w:val="bottom"/>
            <w:shd w:val="clear" w:color="auto" w:fill="1764A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vMerge w:val="restart"/>
            <w:shd w:val="clear" w:color="auto" w:fill="1764AC"/>
          </w:tcPr>
          <w:p>
            <w:pPr>
              <w:spacing w:after="0"/>
              <w:rPr>
                <w:sz w:val="20"/>
                <w:szCs w:val="20"/>
                <w:color w:val="auto"/>
              </w:rPr>
            </w:pPr>
            <w:r>
              <w:rPr>
                <w:rFonts w:ascii="Times New Roman" w:cs="Times New Roman" w:eastAsia="Times New Roman" w:hAnsi="Times New Roman"/>
                <w:sz w:val="12"/>
                <w:szCs w:val="12"/>
                <w:b w:val="1"/>
                <w:bCs w:val="1"/>
                <w:color w:val="FFFFFF"/>
                <w:w w:val="98"/>
              </w:rPr>
              <w:t>Operational Project Segments</w:t>
            </w:r>
          </w:p>
        </w:tc>
        <w:tc>
          <w:tcPr>
            <w:tcW w:w="6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Installed</w:t>
            </w:r>
          </w:p>
        </w:tc>
        <w:tc>
          <w:tcPr>
            <w:tcW w:w="68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Installed</w:t>
            </w:r>
          </w:p>
        </w:tc>
        <w:tc>
          <w:tcPr>
            <w:tcW w:w="1000" w:type="dxa"/>
            <w:vAlign w:val="bottom"/>
            <w:gridSpan w:val="2"/>
            <w:vMerge w:val="restart"/>
            <w:shd w:val="clear" w:color="auto" w:fill="1764AC"/>
          </w:tcPr>
          <w:p>
            <w:pPr>
              <w:jc w:val="center"/>
              <w:ind w:left="20"/>
              <w:spacing w:after="0"/>
              <w:rPr>
                <w:sz w:val="20"/>
                <w:szCs w:val="20"/>
                <w:color w:val="auto"/>
              </w:rPr>
            </w:pPr>
            <w:r>
              <w:rPr>
                <w:rFonts w:ascii="Times New Roman" w:cs="Times New Roman" w:eastAsia="Times New Roman" w:hAnsi="Times New Roman"/>
                <w:sz w:val="12"/>
                <w:szCs w:val="12"/>
                <w:color w:val="FFFFFF"/>
                <w:w w:val="97"/>
              </w:rPr>
              <w:t>Generation</w:t>
            </w:r>
          </w:p>
        </w:tc>
        <w:tc>
          <w:tcPr>
            <w:tcW w:w="1600" w:type="dxa"/>
            <w:vAlign w:val="bottom"/>
            <w:gridSpan w:val="2"/>
            <w:vMerge w:val="restart"/>
            <w:shd w:val="clear" w:color="auto" w:fill="1764AC"/>
          </w:tcPr>
          <w:p>
            <w:pPr>
              <w:jc w:val="center"/>
              <w:ind w:left="40"/>
              <w:spacing w:after="0"/>
              <w:rPr>
                <w:sz w:val="20"/>
                <w:szCs w:val="20"/>
                <w:color w:val="auto"/>
              </w:rPr>
            </w:pPr>
            <w:r>
              <w:rPr>
                <w:rFonts w:ascii="Times New Roman" w:cs="Times New Roman" w:eastAsia="Times New Roman" w:hAnsi="Times New Roman"/>
                <w:sz w:val="12"/>
                <w:szCs w:val="12"/>
                <w:color w:val="FFFFFF"/>
                <w:w w:val="98"/>
              </w:rPr>
              <w:t>Revenues and</w:t>
            </w:r>
          </w:p>
        </w:tc>
        <w:tc>
          <w:tcPr>
            <w:tcW w:w="1460" w:type="dxa"/>
            <w:vAlign w:val="bottom"/>
            <w:tcBorders>
              <w:right w:val="single" w:sz="8" w:color="1764AC"/>
            </w:tcBorders>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1260" w:type="dxa"/>
            <w:vAlign w:val="bottom"/>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Generation</w:t>
            </w:r>
          </w:p>
        </w:tc>
        <w:tc>
          <w:tcPr>
            <w:tcW w:w="1720" w:type="dxa"/>
            <w:vAlign w:val="bottom"/>
            <w:gridSpan w:val="2"/>
            <w:vMerge w:val="restart"/>
            <w:shd w:val="clear" w:color="auto" w:fill="1764AC"/>
          </w:tcPr>
          <w:p>
            <w:pPr>
              <w:jc w:val="right"/>
              <w:ind w:right="360"/>
              <w:spacing w:after="0"/>
              <w:rPr>
                <w:sz w:val="20"/>
                <w:szCs w:val="20"/>
                <w:color w:val="auto"/>
              </w:rPr>
            </w:pPr>
            <w:r>
              <w:rPr>
                <w:rFonts w:ascii="Times New Roman" w:cs="Times New Roman" w:eastAsia="Times New Roman" w:hAnsi="Times New Roman"/>
                <w:sz w:val="12"/>
                <w:szCs w:val="12"/>
                <w:color w:val="FFFFFF"/>
              </w:rPr>
              <w:t>Reported Revenue</w:t>
            </w:r>
          </w:p>
        </w:tc>
        <w:tc>
          <w:tcPr>
            <w:tcW w:w="1320" w:type="dxa"/>
            <w:vAlign w:val="bottom"/>
            <w:gridSpan w:val="2"/>
            <w:vMerge w:val="restart"/>
            <w:shd w:val="clear" w:color="auto" w:fill="1764AC"/>
          </w:tcPr>
          <w:p>
            <w:pPr>
              <w:jc w:val="center"/>
              <w:ind w:right="20"/>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540" w:type="dxa"/>
            <w:vAlign w:val="bottom"/>
            <w:vMerge w:val="continue"/>
            <w:shd w:val="clear" w:color="auto" w:fill="1764AC"/>
          </w:tcPr>
          <w:p>
            <w:pPr>
              <w:spacing w:after="0"/>
              <w:rPr>
                <w:sz w:val="6"/>
                <w:szCs w:val="6"/>
                <w:color w:val="auto"/>
              </w:rPr>
            </w:pP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Capacity</w:t>
            </w:r>
          </w:p>
        </w:tc>
        <w:tc>
          <w:tcPr>
            <w:tcW w:w="6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Storage</w:t>
            </w:r>
          </w:p>
        </w:tc>
        <w:tc>
          <w:tcPr>
            <w:tcW w:w="1000" w:type="dxa"/>
            <w:vAlign w:val="bottom"/>
            <w:gridSpan w:val="2"/>
            <w:vMerge w:val="continue"/>
            <w:shd w:val="clear" w:color="auto" w:fill="1764AC"/>
          </w:tcPr>
          <w:p>
            <w:pPr>
              <w:spacing w:after="0"/>
              <w:rPr>
                <w:sz w:val="6"/>
                <w:szCs w:val="6"/>
                <w:color w:val="auto"/>
              </w:rPr>
            </w:pPr>
          </w:p>
        </w:tc>
        <w:tc>
          <w:tcPr>
            <w:tcW w:w="1600" w:type="dxa"/>
            <w:vAlign w:val="bottom"/>
            <w:gridSpan w:val="2"/>
            <w:vMerge w:val="continue"/>
            <w:shd w:val="clear" w:color="auto" w:fill="1764AC"/>
          </w:tcPr>
          <w:p>
            <w:pPr>
              <w:spacing w:after="0"/>
              <w:rPr>
                <w:sz w:val="6"/>
                <w:szCs w:val="6"/>
                <w:color w:val="auto"/>
              </w:rPr>
            </w:pPr>
          </w:p>
        </w:tc>
        <w:tc>
          <w:tcPr>
            <w:tcW w:w="1460" w:type="dxa"/>
            <w:vAlign w:val="bottom"/>
            <w:tcBorders>
              <w:right w:val="single" w:sz="8" w:color="1764AC"/>
            </w:tcBorders>
            <w:gridSpan w:val="2"/>
            <w:vMerge w:val="continue"/>
            <w:shd w:val="clear" w:color="auto" w:fill="1764AC"/>
          </w:tcPr>
          <w:p>
            <w:pPr>
              <w:spacing w:after="0"/>
              <w:rPr>
                <w:sz w:val="6"/>
                <w:szCs w:val="6"/>
                <w:color w:val="auto"/>
              </w:rPr>
            </w:pPr>
          </w:p>
        </w:tc>
        <w:tc>
          <w:tcPr>
            <w:tcW w:w="1260" w:type="dxa"/>
            <w:vAlign w:val="bottom"/>
            <w:gridSpan w:val="2"/>
            <w:vMerge w:val="continue"/>
            <w:shd w:val="clear" w:color="auto" w:fill="1764AC"/>
          </w:tcPr>
          <w:p>
            <w:pPr>
              <w:spacing w:after="0"/>
              <w:rPr>
                <w:sz w:val="6"/>
                <w:szCs w:val="6"/>
                <w:color w:val="auto"/>
              </w:rPr>
            </w:pPr>
          </w:p>
        </w:tc>
        <w:tc>
          <w:tcPr>
            <w:tcW w:w="1720" w:type="dxa"/>
            <w:vAlign w:val="bottom"/>
            <w:gridSpan w:val="2"/>
            <w:vMerge w:val="continue"/>
            <w:shd w:val="clear" w:color="auto" w:fill="1764AC"/>
          </w:tcPr>
          <w:p>
            <w:pPr>
              <w:spacing w:after="0"/>
              <w:rPr>
                <w:sz w:val="6"/>
                <w:szCs w:val="6"/>
                <w:color w:val="auto"/>
              </w:rPr>
            </w:pPr>
          </w:p>
        </w:tc>
        <w:tc>
          <w:tcPr>
            <w:tcW w:w="1320" w:type="dxa"/>
            <w:vAlign w:val="bottom"/>
            <w:gridSpan w:val="2"/>
            <w:vMerge w:val="continue"/>
            <w:shd w:val="clear" w:color="auto" w:fill="1764AC"/>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40" w:type="dxa"/>
            <w:vAlign w:val="bottom"/>
            <w:vMerge w:val="continue"/>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680" w:type="dxa"/>
            <w:vAlign w:val="bottom"/>
            <w:tcBorders>
              <w:right w:val="single" w:sz="8" w:color="1764AC"/>
            </w:tcBorders>
            <w:vMerge w:val="continue"/>
            <w:shd w:val="clear" w:color="auto" w:fill="1764AC"/>
          </w:tcPr>
          <w:p>
            <w:pPr>
              <w:spacing w:after="0"/>
              <w:rPr>
                <w:sz w:val="7"/>
                <w:szCs w:val="7"/>
                <w:color w:val="auto"/>
              </w:rPr>
            </w:pPr>
          </w:p>
        </w:tc>
        <w:tc>
          <w:tcPr>
            <w:tcW w:w="380" w:type="dxa"/>
            <w:vAlign w:val="bottom"/>
            <w:shd w:val="clear" w:color="auto" w:fill="1764AC"/>
          </w:tcPr>
          <w:p>
            <w:pPr>
              <w:spacing w:after="0"/>
              <w:rPr>
                <w:sz w:val="7"/>
                <w:szCs w:val="7"/>
                <w:color w:val="auto"/>
              </w:rPr>
            </w:pPr>
          </w:p>
        </w:tc>
        <w:tc>
          <w:tcPr>
            <w:tcW w:w="620" w:type="dxa"/>
            <w:vAlign w:val="bottom"/>
            <w:vMerge w:val="restart"/>
            <w:shd w:val="clear" w:color="auto" w:fill="1764AC"/>
          </w:tcPr>
          <w:p>
            <w:pPr>
              <w:jc w:val="center"/>
              <w:ind w:right="220"/>
              <w:spacing w:after="0"/>
              <w:rPr>
                <w:sz w:val="20"/>
                <w:szCs w:val="20"/>
                <w:color w:val="auto"/>
              </w:rPr>
            </w:pPr>
            <w:r>
              <w:rPr>
                <w:rFonts w:ascii="Times New Roman" w:cs="Times New Roman" w:eastAsia="Times New Roman" w:hAnsi="Times New Roman"/>
                <w:sz w:val="12"/>
                <w:szCs w:val="12"/>
                <w:color w:val="FFFFFF"/>
                <w:w w:val="99"/>
              </w:rPr>
              <w:t>(GWh)</w:t>
            </w:r>
          </w:p>
        </w:tc>
        <w:tc>
          <w:tcPr>
            <w:tcW w:w="660" w:type="dxa"/>
            <w:vAlign w:val="bottom"/>
            <w:shd w:val="clear" w:color="auto" w:fill="1764AC"/>
          </w:tcPr>
          <w:p>
            <w:pPr>
              <w:spacing w:after="0"/>
              <w:rPr>
                <w:sz w:val="7"/>
                <w:szCs w:val="7"/>
                <w:color w:val="auto"/>
              </w:rPr>
            </w:pPr>
          </w:p>
        </w:tc>
        <w:tc>
          <w:tcPr>
            <w:tcW w:w="940" w:type="dxa"/>
            <w:vAlign w:val="bottom"/>
            <w:vMerge w:val="restart"/>
            <w:shd w:val="clear" w:color="auto" w:fill="1764AC"/>
          </w:tcPr>
          <w:p>
            <w:pPr>
              <w:jc w:val="center"/>
              <w:ind w:right="480"/>
              <w:spacing w:after="0"/>
              <w:rPr>
                <w:sz w:val="20"/>
                <w:szCs w:val="20"/>
                <w:color w:val="auto"/>
              </w:rPr>
            </w:pPr>
            <w:r>
              <w:rPr>
                <w:rFonts w:ascii="Times New Roman" w:cs="Times New Roman" w:eastAsia="Times New Roman" w:hAnsi="Times New Roman"/>
                <w:sz w:val="12"/>
                <w:szCs w:val="12"/>
                <w:color w:val="FFFFFF"/>
              </w:rPr>
              <w:t>income</w:t>
            </w:r>
          </w:p>
        </w:tc>
        <w:tc>
          <w:tcPr>
            <w:tcW w:w="1460" w:type="dxa"/>
            <w:vAlign w:val="bottom"/>
            <w:tcBorders>
              <w:right w:val="single" w:sz="8" w:color="1764AC"/>
            </w:tcBorders>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860" w:type="dxa"/>
            <w:vAlign w:val="bottom"/>
            <w:vMerge w:val="restart"/>
            <w:shd w:val="clear" w:color="auto" w:fill="1764AC"/>
          </w:tcPr>
          <w:p>
            <w:pPr>
              <w:jc w:val="center"/>
              <w:ind w:left="380"/>
              <w:spacing w:after="0"/>
              <w:rPr>
                <w:sz w:val="20"/>
                <w:szCs w:val="20"/>
                <w:color w:val="auto"/>
              </w:rPr>
            </w:pPr>
            <w:r>
              <w:rPr>
                <w:rFonts w:ascii="Times New Roman" w:cs="Times New Roman" w:eastAsia="Times New Roman" w:hAnsi="Times New Roman"/>
                <w:sz w:val="12"/>
                <w:szCs w:val="12"/>
                <w:color w:val="FFFFFF"/>
                <w:w w:val="99"/>
              </w:rPr>
              <w:t>(GWh)</w:t>
            </w:r>
          </w:p>
        </w:tc>
        <w:tc>
          <w:tcPr>
            <w:tcW w:w="400" w:type="dxa"/>
            <w:vAlign w:val="bottom"/>
            <w:shd w:val="clear" w:color="auto" w:fill="1764AC"/>
          </w:tcPr>
          <w:p>
            <w:pPr>
              <w:spacing w:after="0"/>
              <w:rPr>
                <w:sz w:val="7"/>
                <w:szCs w:val="7"/>
                <w:color w:val="auto"/>
              </w:rPr>
            </w:pPr>
          </w:p>
        </w:tc>
        <w:tc>
          <w:tcPr>
            <w:tcW w:w="1720" w:type="dxa"/>
            <w:vAlign w:val="bottom"/>
            <w:gridSpan w:val="2"/>
            <w:vMerge w:val="continue"/>
            <w:shd w:val="clear" w:color="auto" w:fill="1764AC"/>
          </w:tcPr>
          <w:p>
            <w:pPr>
              <w:spacing w:after="0"/>
              <w:rPr>
                <w:sz w:val="7"/>
                <w:szCs w:val="7"/>
                <w:color w:val="auto"/>
              </w:rPr>
            </w:pPr>
          </w:p>
        </w:tc>
        <w:tc>
          <w:tcPr>
            <w:tcW w:w="1320" w:type="dxa"/>
            <w:vAlign w:val="bottom"/>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540" w:type="dxa"/>
            <w:vAlign w:val="bottom"/>
            <w:shd w:val="clear" w:color="auto" w:fill="1764AC"/>
          </w:tcPr>
          <w:p>
            <w:pPr>
              <w:spacing w:after="0"/>
              <w:rPr>
                <w:sz w:val="6"/>
                <w:szCs w:val="6"/>
                <w:color w:val="auto"/>
              </w:rPr>
            </w:pP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w:t>
            </w:r>
          </w:p>
        </w:tc>
        <w:tc>
          <w:tcPr>
            <w:tcW w:w="6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4"/>
              </w:rPr>
              <w:t>(MWh)</w:t>
            </w:r>
          </w:p>
        </w:tc>
        <w:tc>
          <w:tcPr>
            <w:tcW w:w="380" w:type="dxa"/>
            <w:vAlign w:val="bottom"/>
            <w:shd w:val="clear" w:color="auto" w:fill="1764AC"/>
          </w:tcPr>
          <w:p>
            <w:pPr>
              <w:spacing w:after="0"/>
              <w:rPr>
                <w:sz w:val="6"/>
                <w:szCs w:val="6"/>
                <w:color w:val="auto"/>
              </w:rPr>
            </w:pPr>
          </w:p>
        </w:tc>
        <w:tc>
          <w:tcPr>
            <w:tcW w:w="620" w:type="dxa"/>
            <w:vAlign w:val="bottom"/>
            <w:vMerge w:val="continue"/>
            <w:shd w:val="clear" w:color="auto" w:fill="1764AC"/>
          </w:tcPr>
          <w:p>
            <w:pPr>
              <w:spacing w:after="0"/>
              <w:rPr>
                <w:sz w:val="6"/>
                <w:szCs w:val="6"/>
                <w:color w:val="auto"/>
              </w:rPr>
            </w:pPr>
          </w:p>
        </w:tc>
        <w:tc>
          <w:tcPr>
            <w:tcW w:w="660" w:type="dxa"/>
            <w:vAlign w:val="bottom"/>
            <w:shd w:val="clear" w:color="auto" w:fill="1764AC"/>
          </w:tcPr>
          <w:p>
            <w:pPr>
              <w:spacing w:after="0"/>
              <w:rPr>
                <w:sz w:val="6"/>
                <w:szCs w:val="6"/>
                <w:color w:val="auto"/>
              </w:rPr>
            </w:pPr>
          </w:p>
        </w:tc>
        <w:tc>
          <w:tcPr>
            <w:tcW w:w="940" w:type="dxa"/>
            <w:vAlign w:val="bottom"/>
            <w:vMerge w:val="continue"/>
            <w:shd w:val="clear" w:color="auto" w:fill="1764AC"/>
          </w:tcPr>
          <w:p>
            <w:pPr>
              <w:spacing w:after="0"/>
              <w:rPr>
                <w:sz w:val="6"/>
                <w:szCs w:val="6"/>
                <w:color w:val="auto"/>
              </w:rPr>
            </w:pPr>
          </w:p>
        </w:tc>
        <w:tc>
          <w:tcPr>
            <w:tcW w:w="1460" w:type="dxa"/>
            <w:vAlign w:val="bottom"/>
            <w:tcBorders>
              <w:right w:val="single" w:sz="8" w:color="1764AC"/>
            </w:tcBorders>
            <w:gridSpan w:val="2"/>
            <w:vMerge w:val="continue"/>
            <w:shd w:val="clear" w:color="auto" w:fill="1764AC"/>
          </w:tcPr>
          <w:p>
            <w:pPr>
              <w:spacing w:after="0"/>
              <w:rPr>
                <w:sz w:val="6"/>
                <w:szCs w:val="6"/>
                <w:color w:val="auto"/>
              </w:rPr>
            </w:pPr>
          </w:p>
        </w:tc>
        <w:tc>
          <w:tcPr>
            <w:tcW w:w="860" w:type="dxa"/>
            <w:vAlign w:val="bottom"/>
            <w:vMerge w:val="continue"/>
            <w:shd w:val="clear" w:color="auto" w:fill="1764AC"/>
          </w:tcPr>
          <w:p>
            <w:pPr>
              <w:spacing w:after="0"/>
              <w:rPr>
                <w:sz w:val="6"/>
                <w:szCs w:val="6"/>
                <w:color w:val="auto"/>
              </w:rPr>
            </w:pPr>
          </w:p>
        </w:tc>
        <w:tc>
          <w:tcPr>
            <w:tcW w:w="400" w:type="dxa"/>
            <w:vAlign w:val="bottom"/>
            <w:shd w:val="clear" w:color="auto" w:fill="1764AC"/>
          </w:tcPr>
          <w:p>
            <w:pPr>
              <w:spacing w:after="0"/>
              <w:rPr>
                <w:sz w:val="6"/>
                <w:szCs w:val="6"/>
                <w:color w:val="auto"/>
              </w:rPr>
            </w:pPr>
          </w:p>
        </w:tc>
        <w:tc>
          <w:tcPr>
            <w:tcW w:w="880" w:type="dxa"/>
            <w:vAlign w:val="bottom"/>
            <w:shd w:val="clear" w:color="auto" w:fill="1764AC"/>
          </w:tcPr>
          <w:p>
            <w:pPr>
              <w:spacing w:after="0"/>
              <w:rPr>
                <w:sz w:val="6"/>
                <w:szCs w:val="6"/>
                <w:color w:val="auto"/>
              </w:rPr>
            </w:pPr>
          </w:p>
        </w:tc>
        <w:tc>
          <w:tcPr>
            <w:tcW w:w="840" w:type="dxa"/>
            <w:vAlign w:val="bottom"/>
            <w:shd w:val="clear" w:color="auto" w:fill="1764AC"/>
          </w:tcPr>
          <w:p>
            <w:pPr>
              <w:spacing w:after="0"/>
              <w:rPr>
                <w:sz w:val="6"/>
                <w:szCs w:val="6"/>
                <w:color w:val="auto"/>
              </w:rPr>
            </w:pPr>
          </w:p>
        </w:tc>
        <w:tc>
          <w:tcPr>
            <w:tcW w:w="1320" w:type="dxa"/>
            <w:vAlign w:val="bottom"/>
            <w:gridSpan w:val="2"/>
            <w:vMerge w:val="continue"/>
            <w:shd w:val="clear" w:color="auto" w:fill="1764AC"/>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680" w:type="dxa"/>
            <w:vAlign w:val="bottom"/>
            <w:tcBorders>
              <w:right w:val="single" w:sz="8" w:color="1764AC"/>
            </w:tcBorders>
            <w:vMerge w:val="continue"/>
            <w:shd w:val="clear" w:color="auto" w:fill="1764AC"/>
          </w:tcPr>
          <w:p>
            <w:pPr>
              <w:spacing w:after="0"/>
              <w:rPr>
                <w:sz w:val="7"/>
                <w:szCs w:val="7"/>
                <w:color w:val="auto"/>
              </w:rPr>
            </w:pPr>
          </w:p>
        </w:tc>
        <w:tc>
          <w:tcPr>
            <w:tcW w:w="380" w:type="dxa"/>
            <w:vAlign w:val="bottom"/>
            <w:shd w:val="clear" w:color="auto" w:fill="1764AC"/>
          </w:tcPr>
          <w:p>
            <w:pPr>
              <w:spacing w:after="0"/>
              <w:rPr>
                <w:sz w:val="7"/>
                <w:szCs w:val="7"/>
                <w:color w:val="auto"/>
              </w:rPr>
            </w:pPr>
          </w:p>
        </w:tc>
        <w:tc>
          <w:tcPr>
            <w:tcW w:w="62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940" w:type="dxa"/>
            <w:vAlign w:val="bottom"/>
            <w:shd w:val="clear" w:color="auto" w:fill="1764AC"/>
          </w:tcPr>
          <w:p>
            <w:pPr>
              <w:spacing w:after="0"/>
              <w:rPr>
                <w:sz w:val="7"/>
                <w:szCs w:val="7"/>
                <w:color w:val="auto"/>
              </w:rPr>
            </w:pPr>
          </w:p>
        </w:tc>
        <w:tc>
          <w:tcPr>
            <w:tcW w:w="720" w:type="dxa"/>
            <w:vAlign w:val="bottom"/>
            <w:shd w:val="clear" w:color="auto" w:fill="1764AC"/>
          </w:tcPr>
          <w:p>
            <w:pPr>
              <w:spacing w:after="0"/>
              <w:rPr>
                <w:sz w:val="7"/>
                <w:szCs w:val="7"/>
                <w:color w:val="auto"/>
              </w:rPr>
            </w:pPr>
          </w:p>
        </w:tc>
        <w:tc>
          <w:tcPr>
            <w:tcW w:w="740" w:type="dxa"/>
            <w:vAlign w:val="bottom"/>
            <w:tcBorders>
              <w:right w:val="single" w:sz="8" w:color="1764AC"/>
            </w:tcBorders>
            <w:shd w:val="clear" w:color="auto" w:fill="1764AC"/>
          </w:tcPr>
          <w:p>
            <w:pPr>
              <w:spacing w:after="0"/>
              <w:rPr>
                <w:sz w:val="7"/>
                <w:szCs w:val="7"/>
                <w:color w:val="auto"/>
              </w:rPr>
            </w:pPr>
          </w:p>
        </w:tc>
        <w:tc>
          <w:tcPr>
            <w:tcW w:w="860" w:type="dxa"/>
            <w:vAlign w:val="bottom"/>
            <w:shd w:val="clear" w:color="auto" w:fill="1764AC"/>
          </w:tcPr>
          <w:p>
            <w:pPr>
              <w:spacing w:after="0"/>
              <w:rPr>
                <w:sz w:val="7"/>
                <w:szCs w:val="7"/>
                <w:color w:val="auto"/>
              </w:rPr>
            </w:pPr>
          </w:p>
        </w:tc>
        <w:tc>
          <w:tcPr>
            <w:tcW w:w="400" w:type="dxa"/>
            <w:vAlign w:val="bottom"/>
            <w:shd w:val="clear" w:color="auto" w:fill="1764AC"/>
          </w:tcPr>
          <w:p>
            <w:pPr>
              <w:spacing w:after="0"/>
              <w:rPr>
                <w:sz w:val="7"/>
                <w:szCs w:val="7"/>
                <w:color w:val="auto"/>
              </w:rPr>
            </w:pPr>
          </w:p>
        </w:tc>
        <w:tc>
          <w:tcPr>
            <w:tcW w:w="880" w:type="dxa"/>
            <w:vAlign w:val="bottom"/>
            <w:shd w:val="clear" w:color="auto" w:fill="1764AC"/>
          </w:tcPr>
          <w:p>
            <w:pPr>
              <w:spacing w:after="0"/>
              <w:rPr>
                <w:sz w:val="7"/>
                <w:szCs w:val="7"/>
                <w:color w:val="auto"/>
              </w:rPr>
            </w:pPr>
          </w:p>
        </w:tc>
        <w:tc>
          <w:tcPr>
            <w:tcW w:w="84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1764AC"/>
          </w:tcPr>
          <w:p>
            <w:pPr>
              <w:spacing w:after="0"/>
              <w:rPr>
                <w:sz w:val="15"/>
                <w:szCs w:val="15"/>
                <w:color w:val="auto"/>
              </w:rPr>
            </w:pPr>
          </w:p>
        </w:tc>
        <w:tc>
          <w:tcPr>
            <w:tcW w:w="660" w:type="dxa"/>
            <w:vAlign w:val="bottom"/>
            <w:shd w:val="clear" w:color="auto" w:fill="1764AC"/>
          </w:tcPr>
          <w:p>
            <w:pPr>
              <w:spacing w:after="0"/>
              <w:rPr>
                <w:sz w:val="15"/>
                <w:szCs w:val="15"/>
                <w:color w:val="auto"/>
              </w:rPr>
            </w:pPr>
          </w:p>
        </w:tc>
        <w:tc>
          <w:tcPr>
            <w:tcW w:w="680" w:type="dxa"/>
            <w:vAlign w:val="bottom"/>
            <w:tcBorders>
              <w:right w:val="single" w:sz="8" w:color="1764AC"/>
            </w:tcBorders>
            <w:shd w:val="clear" w:color="auto" w:fill="1764AC"/>
          </w:tcPr>
          <w:p>
            <w:pPr>
              <w:spacing w:after="0"/>
              <w:rPr>
                <w:sz w:val="15"/>
                <w:szCs w:val="15"/>
                <w:color w:val="auto"/>
              </w:rPr>
            </w:pPr>
          </w:p>
        </w:tc>
        <w:tc>
          <w:tcPr>
            <w:tcW w:w="380" w:type="dxa"/>
            <w:vAlign w:val="bottom"/>
            <w:shd w:val="clear" w:color="auto" w:fill="1764AC"/>
          </w:tcPr>
          <w:p>
            <w:pPr>
              <w:jc w:val="center"/>
              <w:ind w:left="40"/>
              <w:spacing w:after="0"/>
              <w:rPr>
                <w:sz w:val="20"/>
                <w:szCs w:val="20"/>
                <w:color w:val="auto"/>
              </w:rPr>
            </w:pPr>
            <w:r>
              <w:rPr>
                <w:rFonts w:ascii="Times New Roman" w:cs="Times New Roman" w:eastAsia="Times New Roman" w:hAnsi="Times New Roman"/>
                <w:sz w:val="12"/>
                <w:szCs w:val="12"/>
                <w:color w:val="FFFFFF"/>
                <w:w w:val="99"/>
              </w:rPr>
              <w:t>2025</w:t>
            </w:r>
          </w:p>
        </w:tc>
        <w:tc>
          <w:tcPr>
            <w:tcW w:w="620" w:type="dxa"/>
            <w:vAlign w:val="bottom"/>
            <w:shd w:val="clear" w:color="auto" w:fill="1764AC"/>
          </w:tcPr>
          <w:p>
            <w:pPr>
              <w:jc w:val="center"/>
              <w:ind w:left="120"/>
              <w:spacing w:after="0"/>
              <w:rPr>
                <w:sz w:val="20"/>
                <w:szCs w:val="20"/>
                <w:color w:val="auto"/>
              </w:rPr>
            </w:pPr>
            <w:r>
              <w:rPr>
                <w:rFonts w:ascii="Times New Roman" w:cs="Times New Roman" w:eastAsia="Times New Roman" w:hAnsi="Times New Roman"/>
                <w:sz w:val="12"/>
                <w:szCs w:val="12"/>
                <w:color w:val="FFFFFF"/>
                <w:w w:val="99"/>
              </w:rPr>
              <w:t>2024</w:t>
            </w:r>
          </w:p>
        </w:tc>
        <w:tc>
          <w:tcPr>
            <w:tcW w:w="660" w:type="dxa"/>
            <w:vAlign w:val="bottom"/>
            <w:shd w:val="clear" w:color="auto" w:fill="1764AC"/>
          </w:tcPr>
          <w:p>
            <w:pPr>
              <w:jc w:val="center"/>
              <w:ind w:left="200"/>
              <w:spacing w:after="0"/>
              <w:rPr>
                <w:sz w:val="20"/>
                <w:szCs w:val="20"/>
                <w:color w:val="auto"/>
              </w:rPr>
            </w:pPr>
            <w:r>
              <w:rPr>
                <w:rFonts w:ascii="Times New Roman" w:cs="Times New Roman" w:eastAsia="Times New Roman" w:hAnsi="Times New Roman"/>
                <w:sz w:val="12"/>
                <w:szCs w:val="12"/>
                <w:color w:val="FFFFFF"/>
                <w:w w:val="99"/>
              </w:rPr>
              <w:t>2025</w:t>
            </w:r>
          </w:p>
        </w:tc>
        <w:tc>
          <w:tcPr>
            <w:tcW w:w="940" w:type="dxa"/>
            <w:vAlign w:val="bottom"/>
            <w:shd w:val="clear" w:color="auto" w:fill="1764AC"/>
          </w:tcPr>
          <w:p>
            <w:pPr>
              <w:jc w:val="center"/>
              <w:ind w:left="120"/>
              <w:spacing w:after="0"/>
              <w:rPr>
                <w:sz w:val="20"/>
                <w:szCs w:val="20"/>
                <w:color w:val="auto"/>
              </w:rPr>
            </w:pPr>
            <w:r>
              <w:rPr>
                <w:rFonts w:ascii="Times New Roman" w:cs="Times New Roman" w:eastAsia="Times New Roman" w:hAnsi="Times New Roman"/>
                <w:sz w:val="12"/>
                <w:szCs w:val="12"/>
                <w:color w:val="FFFFFF"/>
                <w:w w:val="99"/>
              </w:rPr>
              <w:t>2024</w:t>
            </w:r>
          </w:p>
        </w:tc>
        <w:tc>
          <w:tcPr>
            <w:tcW w:w="7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2025</w:t>
            </w:r>
          </w:p>
        </w:tc>
        <w:tc>
          <w:tcPr>
            <w:tcW w:w="74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860" w:type="dxa"/>
            <w:vAlign w:val="bottom"/>
            <w:shd w:val="clear" w:color="auto" w:fill="1764AC"/>
          </w:tcPr>
          <w:p>
            <w:pPr>
              <w:jc w:val="right"/>
              <w:ind w:right="340"/>
              <w:spacing w:after="0"/>
              <w:rPr>
                <w:sz w:val="20"/>
                <w:szCs w:val="20"/>
                <w:color w:val="auto"/>
              </w:rPr>
            </w:pPr>
            <w:r>
              <w:rPr>
                <w:rFonts w:ascii="Times New Roman" w:cs="Times New Roman" w:eastAsia="Times New Roman" w:hAnsi="Times New Roman"/>
                <w:sz w:val="12"/>
                <w:szCs w:val="12"/>
                <w:color w:val="FFFFFF"/>
              </w:rPr>
              <w:t>2025</w:t>
            </w:r>
          </w:p>
        </w:tc>
        <w:tc>
          <w:tcPr>
            <w:tcW w:w="400" w:type="dxa"/>
            <w:vAlign w:val="bottom"/>
            <w:shd w:val="clear" w:color="auto" w:fill="1764AC"/>
          </w:tcPr>
          <w:p>
            <w:pPr>
              <w:jc w:val="center"/>
              <w:ind w:right="20"/>
              <w:spacing w:after="0"/>
              <w:rPr>
                <w:sz w:val="20"/>
                <w:szCs w:val="20"/>
                <w:color w:val="auto"/>
              </w:rPr>
            </w:pPr>
            <w:r>
              <w:rPr>
                <w:rFonts w:ascii="Times New Roman" w:cs="Times New Roman" w:eastAsia="Times New Roman" w:hAnsi="Times New Roman"/>
                <w:sz w:val="12"/>
                <w:szCs w:val="12"/>
                <w:color w:val="FFFFFF"/>
                <w:w w:val="99"/>
              </w:rPr>
              <w:t>2024</w:t>
            </w:r>
          </w:p>
        </w:tc>
        <w:tc>
          <w:tcPr>
            <w:tcW w:w="880" w:type="dxa"/>
            <w:vAlign w:val="bottom"/>
            <w:shd w:val="clear" w:color="auto" w:fill="1764AC"/>
          </w:tcPr>
          <w:p>
            <w:pPr>
              <w:jc w:val="center"/>
              <w:ind w:left="100"/>
              <w:spacing w:after="0"/>
              <w:rPr>
                <w:sz w:val="20"/>
                <w:szCs w:val="20"/>
                <w:color w:val="auto"/>
              </w:rPr>
            </w:pPr>
            <w:r>
              <w:rPr>
                <w:rFonts w:ascii="Times New Roman" w:cs="Times New Roman" w:eastAsia="Times New Roman" w:hAnsi="Times New Roman"/>
                <w:sz w:val="12"/>
                <w:szCs w:val="12"/>
                <w:color w:val="FFFFFF"/>
                <w:w w:val="99"/>
              </w:rPr>
              <w:t>2025</w:t>
            </w:r>
          </w:p>
        </w:tc>
        <w:tc>
          <w:tcPr>
            <w:tcW w:w="8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660" w:type="dxa"/>
            <w:vAlign w:val="bottom"/>
            <w:shd w:val="clear" w:color="auto" w:fill="1764AC"/>
          </w:tcPr>
          <w:p>
            <w:pPr>
              <w:jc w:val="center"/>
              <w:ind w:right="40"/>
              <w:spacing w:after="0"/>
              <w:rPr>
                <w:sz w:val="20"/>
                <w:szCs w:val="20"/>
                <w:color w:val="auto"/>
              </w:rPr>
            </w:pPr>
            <w:r>
              <w:rPr>
                <w:rFonts w:ascii="Times New Roman" w:cs="Times New Roman" w:eastAsia="Times New Roman" w:hAnsi="Times New Roman"/>
                <w:sz w:val="12"/>
                <w:szCs w:val="12"/>
                <w:color w:val="FFFFFF"/>
                <w:w w:val="99"/>
              </w:rPr>
              <w:t>2025</w:t>
            </w:r>
          </w:p>
        </w:tc>
        <w:tc>
          <w:tcPr>
            <w:tcW w:w="6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MENA</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676</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819</w:t>
            </w:r>
          </w:p>
        </w:tc>
        <w:tc>
          <w:tcPr>
            <w:tcW w:w="38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rPr>
              <w:t>1,461</w:t>
            </w:r>
          </w:p>
        </w:tc>
        <w:tc>
          <w:tcPr>
            <w:tcW w:w="6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1,297</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222,388</w:t>
            </w: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155,693</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144,516</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123,724</w:t>
            </w: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303</w:t>
            </w: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w:t>
            </w:r>
          </w:p>
        </w:tc>
        <w:tc>
          <w:tcPr>
            <w:tcW w:w="88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6"/>
              </w:rPr>
              <w:t>49,208</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34,086</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29,002</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24,065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Europe</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1,327</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38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rPr>
              <w:t>2,688</w:t>
            </w:r>
          </w:p>
        </w:tc>
        <w:tc>
          <w:tcPr>
            <w:tcW w:w="6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2,766</w:t>
            </w:r>
          </w:p>
        </w:tc>
        <w:tc>
          <w:tcPr>
            <w:tcW w:w="660" w:type="dxa"/>
            <w:vAlign w:val="bottom"/>
          </w:tcPr>
          <w:p>
            <w:pPr>
              <w:jc w:val="center"/>
              <w:ind w:left="200"/>
              <w:spacing w:after="0"/>
              <w:rPr>
                <w:sz w:val="20"/>
                <w:szCs w:val="20"/>
                <w:color w:val="auto"/>
              </w:rPr>
            </w:pPr>
            <w:r>
              <w:rPr>
                <w:rFonts w:ascii="Times New Roman" w:cs="Times New Roman" w:eastAsia="Times New Roman" w:hAnsi="Times New Roman"/>
                <w:sz w:val="12"/>
                <w:szCs w:val="12"/>
                <w:color w:val="auto"/>
              </w:rPr>
              <w:t>199,763</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7"/>
              </w:rPr>
              <w:t>197,143</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159,015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165,383</w:t>
            </w: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776</w:t>
            </w: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772</w:t>
            </w:r>
          </w:p>
        </w:tc>
        <w:tc>
          <w:tcPr>
            <w:tcW w:w="8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55,261</w:t>
            </w: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49,979</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41,587</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35,997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USA</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896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2,540</w:t>
            </w:r>
          </w:p>
        </w:tc>
        <w:tc>
          <w:tcPr>
            <w:tcW w:w="3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944</w:t>
            </w:r>
          </w:p>
        </w:tc>
        <w:tc>
          <w:tcPr>
            <w:tcW w:w="62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2"/>
                <w:szCs w:val="12"/>
                <w:color w:val="auto"/>
                <w:w w:val="99"/>
              </w:rPr>
              <w:t>392</w:t>
            </w:r>
          </w:p>
        </w:tc>
        <w:tc>
          <w:tcPr>
            <w:tcW w:w="6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color w:val="auto"/>
              </w:rPr>
              <w:t>158,580</w:t>
            </w:r>
          </w:p>
        </w:tc>
        <w:tc>
          <w:tcPr>
            <w:tcW w:w="9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2"/>
                <w:szCs w:val="12"/>
                <w:color w:val="auto"/>
              </w:rPr>
              <w:t>36,608</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142,568</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33,539</w:t>
            </w:r>
          </w:p>
        </w:tc>
        <w:tc>
          <w:tcPr>
            <w:tcW w:w="8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154</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166</w:t>
            </w:r>
          </w:p>
        </w:tc>
        <w:tc>
          <w:tcPr>
            <w:tcW w:w="8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47,632</w:t>
            </w: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17,894</w:t>
            </w:r>
          </w:p>
        </w:tc>
        <w:tc>
          <w:tcPr>
            <w:tcW w:w="6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44,397</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17,573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2,899</w:t>
            </w:r>
          </w:p>
        </w:tc>
        <w:tc>
          <w:tcPr>
            <w:tcW w:w="6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3,359</w:t>
            </w:r>
          </w:p>
        </w:tc>
        <w:tc>
          <w:tcPr>
            <w:tcW w:w="380" w:type="dxa"/>
            <w:vAlign w:val="bottom"/>
            <w:tcBorders>
              <w:bottom w:val="single" w:sz="8" w:color="auto"/>
            </w:tcBorders>
            <w:shd w:val="clear" w:color="auto" w:fill="BDD6EE"/>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rPr>
              <w:t>5,093</w:t>
            </w:r>
          </w:p>
        </w:tc>
        <w:tc>
          <w:tcPr>
            <w:tcW w:w="620" w:type="dxa"/>
            <w:vAlign w:val="bottom"/>
            <w:tcBorders>
              <w:bottom w:val="single" w:sz="8" w:color="auto"/>
            </w:tcBorders>
            <w:shd w:val="clear" w:color="auto" w:fill="BDD6EE"/>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4,455</w:t>
            </w:r>
          </w:p>
        </w:tc>
        <w:tc>
          <w:tcPr>
            <w:tcW w:w="660" w:type="dxa"/>
            <w:vAlign w:val="bottom"/>
            <w:tcBorders>
              <w:bottom w:val="single" w:sz="8" w:color="auto"/>
            </w:tcBorders>
            <w:shd w:val="clear" w:color="auto" w:fill="BDD6EE"/>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rPr>
              <w:t>580,731</w:t>
            </w:r>
          </w:p>
        </w:tc>
        <w:tc>
          <w:tcPr>
            <w:tcW w:w="940" w:type="dxa"/>
            <w:vAlign w:val="bottom"/>
            <w:tcBorders>
              <w:bottom w:val="single" w:sz="8" w:color="auto"/>
            </w:tcBorders>
            <w:shd w:val="clear" w:color="auto" w:fill="BDD6EE"/>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7"/>
              </w:rPr>
              <w:t>389,444</w:t>
            </w: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446,099</w:t>
            </w:r>
          </w:p>
        </w:tc>
        <w:tc>
          <w:tcPr>
            <w:tcW w:w="74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322,646</w:t>
            </w:r>
          </w:p>
        </w:tc>
        <w:tc>
          <w:tcPr>
            <w:tcW w:w="860" w:type="dxa"/>
            <w:vAlign w:val="bottom"/>
            <w:tcBorders>
              <w:bottom w:val="single" w:sz="8" w:color="auto"/>
            </w:tcBorders>
            <w:shd w:val="clear" w:color="auto" w:fill="BDD6EE"/>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1,233</w:t>
            </w:r>
          </w:p>
        </w:tc>
        <w:tc>
          <w:tcPr>
            <w:tcW w:w="4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1,223</w:t>
            </w:r>
          </w:p>
        </w:tc>
        <w:tc>
          <w:tcPr>
            <w:tcW w:w="880" w:type="dxa"/>
            <w:vAlign w:val="bottom"/>
            <w:tcBorders>
              <w:bottom w:val="single" w:sz="8" w:color="auto"/>
            </w:tcBorders>
            <w:shd w:val="clear" w:color="auto" w:fill="BDD6EE"/>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152,101</w:t>
            </w:r>
          </w:p>
        </w:tc>
        <w:tc>
          <w:tcPr>
            <w:tcW w:w="8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101,959</w:t>
            </w:r>
          </w:p>
        </w:tc>
        <w:tc>
          <w:tcPr>
            <w:tcW w:w="660" w:type="dxa"/>
            <w:vAlign w:val="bottom"/>
            <w:tcBorders>
              <w:bottom w:val="single" w:sz="8" w:color="auto"/>
            </w:tcBorders>
            <w:shd w:val="clear" w:color="auto" w:fill="BDD6EE"/>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114,986</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77,635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Unconsolidated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5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at Share</w:t>
            </w:r>
          </w:p>
        </w:tc>
        <w:tc>
          <w:tcPr>
            <w:tcW w:w="660" w:type="dxa"/>
            <w:vAlign w:val="bottom"/>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54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2,944</w:t>
            </w:r>
          </w:p>
        </w:tc>
        <w:tc>
          <w:tcPr>
            <w:tcW w:w="6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3,401</w:t>
            </w:r>
          </w:p>
        </w:tc>
        <w:tc>
          <w:tcPr>
            <w:tcW w:w="380" w:type="dxa"/>
            <w:vAlign w:val="bottom"/>
            <w:tcBorders>
              <w:bottom w:val="single" w:sz="8" w:color="auto"/>
            </w:tcBorders>
            <w:shd w:val="clear" w:color="auto" w:fill="BDD6EE"/>
          </w:tcPr>
          <w:p>
            <w:pPr>
              <w:spacing w:after="0"/>
              <w:rPr>
                <w:sz w:val="14"/>
                <w:szCs w:val="14"/>
                <w:color w:val="auto"/>
              </w:rPr>
            </w:pPr>
          </w:p>
        </w:tc>
        <w:tc>
          <w:tcPr>
            <w:tcW w:w="620" w:type="dxa"/>
            <w:vAlign w:val="bottom"/>
            <w:tcBorders>
              <w:bottom w:val="single" w:sz="8" w:color="auto"/>
            </w:tcBorders>
            <w:shd w:val="clear" w:color="auto" w:fill="BDD6EE"/>
          </w:tcPr>
          <w:p>
            <w:pPr>
              <w:spacing w:after="0"/>
              <w:rPr>
                <w:sz w:val="14"/>
                <w:szCs w:val="14"/>
                <w:color w:val="auto"/>
              </w:rPr>
            </w:pPr>
          </w:p>
        </w:tc>
        <w:tc>
          <w:tcPr>
            <w:tcW w:w="660" w:type="dxa"/>
            <w:vAlign w:val="bottom"/>
            <w:tcBorders>
              <w:bottom w:val="single" w:sz="8" w:color="auto"/>
            </w:tcBorders>
            <w:shd w:val="clear" w:color="auto" w:fill="BDD6EE"/>
          </w:tcPr>
          <w:p>
            <w:pPr>
              <w:spacing w:after="0"/>
              <w:rPr>
                <w:sz w:val="14"/>
                <w:szCs w:val="14"/>
                <w:color w:val="auto"/>
              </w:rPr>
            </w:pPr>
          </w:p>
        </w:tc>
        <w:tc>
          <w:tcPr>
            <w:tcW w:w="94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spacing w:after="0"/>
              <w:rPr>
                <w:sz w:val="14"/>
                <w:szCs w:val="14"/>
                <w:color w:val="auto"/>
              </w:rPr>
            </w:pPr>
          </w:p>
        </w:tc>
        <w:tc>
          <w:tcPr>
            <w:tcW w:w="740" w:type="dxa"/>
            <w:vAlign w:val="bottom"/>
            <w:tcBorders>
              <w:bottom w:val="single" w:sz="8" w:color="auto"/>
              <w:right w:val="single" w:sz="8" w:color="BDD6EE"/>
            </w:tcBorders>
            <w:shd w:val="clear" w:color="auto" w:fill="BDD6EE"/>
          </w:tcPr>
          <w:p>
            <w:pPr>
              <w:spacing w:after="0"/>
              <w:rPr>
                <w:sz w:val="14"/>
                <w:szCs w:val="14"/>
                <w:color w:val="auto"/>
              </w:rPr>
            </w:pPr>
          </w:p>
        </w:tc>
        <w:tc>
          <w:tcPr>
            <w:tcW w:w="860" w:type="dxa"/>
            <w:vAlign w:val="bottom"/>
            <w:tcBorders>
              <w:bottom w:val="single" w:sz="8" w:color="auto"/>
            </w:tcBorders>
            <w:shd w:val="clear" w:color="auto" w:fill="BDD6EE"/>
          </w:tcPr>
          <w:p>
            <w:pPr>
              <w:spacing w:after="0"/>
              <w:rPr>
                <w:sz w:val="14"/>
                <w:szCs w:val="14"/>
                <w:color w:val="auto"/>
              </w:rPr>
            </w:pPr>
          </w:p>
        </w:tc>
        <w:tc>
          <w:tcPr>
            <w:tcW w:w="400" w:type="dxa"/>
            <w:vAlign w:val="bottom"/>
            <w:tcBorders>
              <w:bottom w:val="single" w:sz="8" w:color="auto"/>
            </w:tcBorders>
            <w:shd w:val="clear" w:color="auto" w:fill="BDD6EE"/>
          </w:tcPr>
          <w:p>
            <w:pPr>
              <w:spacing w:after="0"/>
              <w:rPr>
                <w:sz w:val="14"/>
                <w:szCs w:val="14"/>
                <w:color w:val="auto"/>
              </w:rPr>
            </w:pPr>
          </w:p>
        </w:tc>
        <w:tc>
          <w:tcPr>
            <w:tcW w:w="880" w:type="dxa"/>
            <w:vAlign w:val="bottom"/>
            <w:tcBorders>
              <w:bottom w:val="single" w:sz="8" w:color="auto"/>
            </w:tcBorders>
            <w:shd w:val="clear" w:color="auto" w:fill="BDD6EE"/>
          </w:tcPr>
          <w:p>
            <w:pPr>
              <w:spacing w:after="0"/>
              <w:rPr>
                <w:sz w:val="14"/>
                <w:szCs w:val="14"/>
                <w:color w:val="auto"/>
              </w:rPr>
            </w:pPr>
          </w:p>
        </w:tc>
        <w:tc>
          <w:tcPr>
            <w:tcW w:w="840" w:type="dxa"/>
            <w:vAlign w:val="bottom"/>
            <w:tcBorders>
              <w:bottom w:val="single" w:sz="8" w:color="auto"/>
            </w:tcBorders>
            <w:shd w:val="clear" w:color="auto" w:fill="BDD6EE"/>
          </w:tcPr>
          <w:p>
            <w:pPr>
              <w:spacing w:after="0"/>
              <w:rPr>
                <w:sz w:val="14"/>
                <w:szCs w:val="14"/>
                <w:color w:val="auto"/>
              </w:rPr>
            </w:pPr>
          </w:p>
        </w:tc>
        <w:tc>
          <w:tcPr>
            <w:tcW w:w="660" w:type="dxa"/>
            <w:vAlign w:val="bottom"/>
            <w:tcBorders>
              <w:bottom w:val="single" w:sz="8" w:color="auto"/>
            </w:tcBorders>
            <w:shd w:val="clear" w:color="auto" w:fill="BDD6EE"/>
          </w:tcPr>
          <w:p>
            <w:pPr>
              <w:spacing w:after="0"/>
              <w:rPr>
                <w:sz w:val="14"/>
                <w:szCs w:val="14"/>
                <w:color w:val="auto"/>
              </w:rPr>
            </w:pPr>
          </w:p>
        </w:tc>
        <w:tc>
          <w:tcPr>
            <w:tcW w:w="660" w:type="dxa"/>
            <w:vAlign w:val="bottom"/>
            <w:tcBorders>
              <w:bottom w:val="single" w:sz="8" w:color="auto"/>
            </w:tcBorders>
            <w:shd w:val="clear" w:color="auto" w:fill="BDD6EE"/>
          </w:tcPr>
          <w:p>
            <w:pPr>
              <w:spacing w:after="0"/>
              <w:rPr>
                <w:sz w:val="14"/>
                <w:szCs w:val="14"/>
                <w:color w:val="auto"/>
              </w:rPr>
            </w:pPr>
          </w:p>
        </w:tc>
        <w:tc>
          <w:tcPr>
            <w:tcW w:w="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28" w:name="page29"/>
    <w:bookmarkEnd w:id="2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  Operational Projects Further Detail</w:t>
            </w: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60" w:type="dxa"/>
            <w:vAlign w:val="bottom"/>
            <w:gridSpan w:val="2"/>
          </w:tcPr>
          <w:p>
            <w:pPr>
              <w:spacing w:after="0"/>
              <w:rPr>
                <w:sz w:val="12"/>
                <w:szCs w:val="12"/>
                <w:color w:val="auto"/>
              </w:rPr>
            </w:pPr>
          </w:p>
        </w:tc>
        <w:tc>
          <w:tcPr>
            <w:tcW w:w="2400" w:type="dxa"/>
            <w:vAlign w:val="bottom"/>
            <w:gridSpan w:val="2"/>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2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880" w:type="dxa"/>
            <w:vAlign w:val="bottom"/>
            <w:shd w:val="clear" w:color="auto" w:fill="1764AC"/>
          </w:tcPr>
          <w:p>
            <w:pPr>
              <w:spacing w:after="0"/>
              <w:rPr>
                <w:sz w:val="13"/>
                <w:szCs w:val="13"/>
                <w:color w:val="auto"/>
              </w:rPr>
            </w:pPr>
          </w:p>
        </w:tc>
        <w:tc>
          <w:tcPr>
            <w:tcW w:w="720" w:type="dxa"/>
            <w:vAlign w:val="bottom"/>
            <w:shd w:val="clear" w:color="auto" w:fill="1764AC"/>
          </w:tcPr>
          <w:p>
            <w:pPr>
              <w:spacing w:after="0"/>
              <w:rPr>
                <w:sz w:val="13"/>
                <w:szCs w:val="13"/>
                <w:color w:val="auto"/>
              </w:rPr>
            </w:pPr>
          </w:p>
        </w:tc>
        <w:tc>
          <w:tcPr>
            <w:tcW w:w="1060" w:type="dxa"/>
            <w:vAlign w:val="bottom"/>
            <w:tcBorders>
              <w:right w:val="single" w:sz="8" w:color="1764AC"/>
            </w:tcBorders>
            <w:shd w:val="clear" w:color="auto" w:fill="1764AC"/>
          </w:tcPr>
          <w:p>
            <w:pPr>
              <w:spacing w:after="0"/>
              <w:rPr>
                <w:sz w:val="13"/>
                <w:szCs w:val="13"/>
                <w:color w:val="auto"/>
              </w:rPr>
            </w:pPr>
          </w:p>
        </w:tc>
        <w:tc>
          <w:tcPr>
            <w:tcW w:w="2260" w:type="dxa"/>
            <w:vAlign w:val="bottom"/>
            <w:tcBorders>
              <w:right w:val="single" w:sz="8" w:color="1764AC"/>
            </w:tcBorders>
            <w:gridSpan w:val="2"/>
            <w:shd w:val="clear" w:color="auto" w:fill="1764AC"/>
          </w:tcPr>
          <w:p>
            <w:pPr>
              <w:ind w:left="180"/>
              <w:spacing w:after="0"/>
              <w:rPr>
                <w:sz w:val="20"/>
                <w:szCs w:val="20"/>
                <w:color w:val="auto"/>
              </w:rPr>
            </w:pPr>
            <w:r>
              <w:rPr>
                <w:rFonts w:ascii="Times New Roman" w:cs="Times New Roman" w:eastAsia="Times New Roman" w:hAnsi="Times New Roman"/>
                <w:sz w:val="12"/>
                <w:szCs w:val="12"/>
                <w:b w:val="1"/>
                <w:bCs w:val="1"/>
                <w:color w:val="FFFFFF"/>
              </w:rPr>
              <w:t>12 Months ended December 31, 2025</w:t>
            </w:r>
          </w:p>
        </w:tc>
        <w:tc>
          <w:tcPr>
            <w:tcW w:w="2400" w:type="dxa"/>
            <w:vAlign w:val="bottom"/>
            <w:tcBorders>
              <w:right w:val="single" w:sz="8" w:color="1764AC"/>
            </w:tcBorders>
            <w:gridSpan w:val="2"/>
            <w:shd w:val="clear" w:color="auto" w:fill="1764AC"/>
          </w:tcPr>
          <w:p>
            <w:pPr>
              <w:ind w:left="280"/>
              <w:spacing w:after="0"/>
              <w:rPr>
                <w:sz w:val="20"/>
                <w:szCs w:val="20"/>
                <w:color w:val="auto"/>
              </w:rPr>
            </w:pPr>
            <w:r>
              <w:rPr>
                <w:rFonts w:ascii="Times New Roman" w:cs="Times New Roman" w:eastAsia="Times New Roman" w:hAnsi="Times New Roman"/>
                <w:sz w:val="12"/>
                <w:szCs w:val="12"/>
                <w:b w:val="1"/>
                <w:bCs w:val="1"/>
                <w:color w:val="FFFFFF"/>
              </w:rPr>
              <w:t>3 Months ended December 31, 2025</w:t>
            </w:r>
          </w:p>
        </w:tc>
        <w:tc>
          <w:tcPr>
            <w:tcW w:w="1300" w:type="dxa"/>
            <w:vAlign w:val="bottom"/>
            <w:shd w:val="clear" w:color="auto" w:fill="1764AC"/>
          </w:tcPr>
          <w:p>
            <w:pPr>
              <w:spacing w:after="0"/>
              <w:rPr>
                <w:sz w:val="13"/>
                <w:szCs w:val="13"/>
                <w:color w:val="auto"/>
              </w:rPr>
            </w:pPr>
          </w:p>
        </w:tc>
        <w:tc>
          <w:tcPr>
            <w:tcW w:w="11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20" w:type="dxa"/>
            <w:vAlign w:val="bottom"/>
            <w:vMerge w:val="restart"/>
            <w:shd w:val="clear" w:color="auto" w:fill="1764AC"/>
          </w:tcPr>
          <w:p>
            <w:pPr>
              <w:spacing w:after="0"/>
              <w:rPr>
                <w:sz w:val="20"/>
                <w:szCs w:val="20"/>
                <w:color w:val="auto"/>
              </w:rPr>
            </w:pPr>
            <w:r>
              <w:rPr>
                <w:rFonts w:ascii="Times New Roman" w:cs="Times New Roman" w:eastAsia="Times New Roman" w:hAnsi="Times New Roman"/>
                <w:sz w:val="12"/>
                <w:szCs w:val="12"/>
                <w:b w:val="1"/>
                <w:bCs w:val="1"/>
                <w:color w:val="FFFFFF"/>
              </w:rPr>
              <w:t>Operational Project</w:t>
            </w:r>
          </w:p>
        </w:tc>
        <w:tc>
          <w:tcPr>
            <w:tcW w:w="88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Segment</w:t>
            </w:r>
          </w:p>
        </w:tc>
        <w:tc>
          <w:tcPr>
            <w:tcW w:w="7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Installed</w:t>
            </w:r>
          </w:p>
        </w:tc>
        <w:tc>
          <w:tcPr>
            <w:tcW w:w="10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Installed Storage</w:t>
            </w:r>
          </w:p>
        </w:tc>
        <w:tc>
          <w:tcPr>
            <w:tcW w:w="108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Revenues and</w:t>
            </w:r>
          </w:p>
        </w:tc>
        <w:tc>
          <w:tcPr>
            <w:tcW w:w="11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122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Reported Revenue</w:t>
            </w:r>
          </w:p>
        </w:tc>
        <w:tc>
          <w:tcPr>
            <w:tcW w:w="11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Segment Adjusted</w:t>
            </w:r>
          </w:p>
        </w:tc>
        <w:tc>
          <w:tcPr>
            <w:tcW w:w="130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Debt balance as of</w:t>
            </w:r>
          </w:p>
        </w:tc>
        <w:tc>
          <w:tcPr>
            <w:tcW w:w="1160" w:type="dxa"/>
            <w:vAlign w:val="bottom"/>
            <w:vMerge w:val="restart"/>
            <w:shd w:val="clear" w:color="auto" w:fill="1764AC"/>
          </w:tcPr>
          <w:p>
            <w:pPr>
              <w:ind w:left="180"/>
              <w:spacing w:after="0"/>
              <w:rPr>
                <w:sz w:val="20"/>
                <w:szCs w:val="20"/>
                <w:color w:val="auto"/>
              </w:rPr>
            </w:pPr>
            <w:r>
              <w:rPr>
                <w:rFonts w:ascii="Times New Roman" w:cs="Times New Roman" w:eastAsia="Times New Roman" w:hAnsi="Times New Roman"/>
                <w:sz w:val="12"/>
                <w:szCs w:val="12"/>
                <w:color w:val="FFFFFF"/>
              </w:rPr>
              <w:t>Ownership %**</w:t>
            </w:r>
          </w:p>
        </w:tc>
        <w:tc>
          <w:tcPr>
            <w:tcW w:w="0" w:type="dxa"/>
            <w:vAlign w:val="bottom"/>
          </w:tcPr>
          <w:p>
            <w:pPr>
              <w:spacing w:after="0"/>
              <w:rPr>
                <w:sz w:val="1"/>
                <w:szCs w:val="1"/>
                <w:color w:val="auto"/>
              </w:rPr>
            </w:pPr>
          </w:p>
        </w:tc>
      </w:tr>
      <w:tr>
        <w:trPr>
          <w:trHeight w:val="72"/>
        </w:trPr>
        <w:tc>
          <w:tcPr>
            <w:tcW w:w="1520" w:type="dxa"/>
            <w:vAlign w:val="bottom"/>
            <w:vMerge w:val="continue"/>
            <w:shd w:val="clear" w:color="auto" w:fill="1764AC"/>
          </w:tcPr>
          <w:p>
            <w:pPr>
              <w:spacing w:after="0"/>
              <w:rPr>
                <w:sz w:val="6"/>
                <w:szCs w:val="6"/>
                <w:color w:val="auto"/>
              </w:rPr>
            </w:pPr>
          </w:p>
        </w:tc>
        <w:tc>
          <w:tcPr>
            <w:tcW w:w="880" w:type="dxa"/>
            <w:vAlign w:val="bottom"/>
            <w:vMerge w:val="continue"/>
            <w:shd w:val="clear" w:color="auto" w:fill="1764AC"/>
          </w:tcPr>
          <w:p>
            <w:pPr>
              <w:spacing w:after="0"/>
              <w:rPr>
                <w:sz w:val="6"/>
                <w:szCs w:val="6"/>
                <w:color w:val="auto"/>
              </w:rPr>
            </w:pPr>
          </w:p>
        </w:tc>
        <w:tc>
          <w:tcPr>
            <w:tcW w:w="72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Capacity</w:t>
            </w:r>
          </w:p>
        </w:tc>
        <w:tc>
          <w:tcPr>
            <w:tcW w:w="1060" w:type="dxa"/>
            <w:vAlign w:val="bottom"/>
            <w:tcBorders>
              <w:right w:val="single" w:sz="8" w:color="1764AC"/>
            </w:tcBorders>
            <w:vMerge w:val="continue"/>
            <w:shd w:val="clear" w:color="auto" w:fill="1764AC"/>
          </w:tcPr>
          <w:p>
            <w:pPr>
              <w:spacing w:after="0"/>
              <w:rPr>
                <w:sz w:val="6"/>
                <w:szCs w:val="6"/>
                <w:color w:val="auto"/>
              </w:rPr>
            </w:pPr>
          </w:p>
        </w:tc>
        <w:tc>
          <w:tcPr>
            <w:tcW w:w="1080" w:type="dxa"/>
            <w:vAlign w:val="bottom"/>
            <w:vMerge w:val="continue"/>
            <w:shd w:val="clear" w:color="auto" w:fill="1764AC"/>
          </w:tcPr>
          <w:p>
            <w:pPr>
              <w:spacing w:after="0"/>
              <w:rPr>
                <w:sz w:val="6"/>
                <w:szCs w:val="6"/>
                <w:color w:val="auto"/>
              </w:rPr>
            </w:pPr>
          </w:p>
        </w:tc>
        <w:tc>
          <w:tcPr>
            <w:tcW w:w="1180" w:type="dxa"/>
            <w:vAlign w:val="bottom"/>
            <w:tcBorders>
              <w:right w:val="single" w:sz="8" w:color="1764AC"/>
            </w:tcBorders>
            <w:vMerge w:val="continue"/>
            <w:shd w:val="clear" w:color="auto" w:fill="1764AC"/>
          </w:tcPr>
          <w:p>
            <w:pPr>
              <w:spacing w:after="0"/>
              <w:rPr>
                <w:sz w:val="6"/>
                <w:szCs w:val="6"/>
                <w:color w:val="auto"/>
              </w:rPr>
            </w:pPr>
          </w:p>
        </w:tc>
        <w:tc>
          <w:tcPr>
            <w:tcW w:w="1220" w:type="dxa"/>
            <w:vAlign w:val="bottom"/>
            <w:vMerge w:val="continue"/>
            <w:shd w:val="clear" w:color="auto" w:fill="1764AC"/>
          </w:tcPr>
          <w:p>
            <w:pPr>
              <w:spacing w:after="0"/>
              <w:rPr>
                <w:sz w:val="6"/>
                <w:szCs w:val="6"/>
                <w:color w:val="auto"/>
              </w:rPr>
            </w:pPr>
          </w:p>
        </w:tc>
        <w:tc>
          <w:tcPr>
            <w:tcW w:w="1180" w:type="dxa"/>
            <w:vAlign w:val="bottom"/>
            <w:tcBorders>
              <w:right w:val="single" w:sz="8" w:color="1764AC"/>
            </w:tcBorders>
            <w:vMerge w:val="continue"/>
            <w:shd w:val="clear" w:color="auto" w:fill="1764AC"/>
          </w:tcPr>
          <w:p>
            <w:pPr>
              <w:spacing w:after="0"/>
              <w:rPr>
                <w:sz w:val="6"/>
                <w:szCs w:val="6"/>
                <w:color w:val="auto"/>
              </w:rPr>
            </w:pPr>
          </w:p>
        </w:tc>
        <w:tc>
          <w:tcPr>
            <w:tcW w:w="1300" w:type="dxa"/>
            <w:vAlign w:val="bottom"/>
            <w:vMerge w:val="continue"/>
            <w:shd w:val="clear" w:color="auto" w:fill="1764AC"/>
          </w:tcPr>
          <w:p>
            <w:pPr>
              <w:spacing w:after="0"/>
              <w:rPr>
                <w:sz w:val="6"/>
                <w:szCs w:val="6"/>
                <w:color w:val="auto"/>
              </w:rPr>
            </w:pPr>
          </w:p>
        </w:tc>
        <w:tc>
          <w:tcPr>
            <w:tcW w:w="1160" w:type="dxa"/>
            <w:vAlign w:val="bottom"/>
            <w:vMerge w:val="continue"/>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shd w:val="clear" w:color="auto" w:fill="1764AC"/>
          </w:tcPr>
          <w:p>
            <w:pPr>
              <w:spacing w:after="0"/>
              <w:rPr>
                <w:sz w:val="7"/>
                <w:szCs w:val="7"/>
                <w:color w:val="auto"/>
              </w:rPr>
            </w:pPr>
          </w:p>
        </w:tc>
        <w:tc>
          <w:tcPr>
            <w:tcW w:w="880" w:type="dxa"/>
            <w:vAlign w:val="bottom"/>
            <w:vMerge w:val="continue"/>
            <w:shd w:val="clear" w:color="auto" w:fill="1764AC"/>
          </w:tcPr>
          <w:p>
            <w:pPr>
              <w:spacing w:after="0"/>
              <w:rPr>
                <w:sz w:val="7"/>
                <w:szCs w:val="7"/>
                <w:color w:val="auto"/>
              </w:rPr>
            </w:pPr>
          </w:p>
        </w:tc>
        <w:tc>
          <w:tcPr>
            <w:tcW w:w="720" w:type="dxa"/>
            <w:vAlign w:val="bottom"/>
            <w:vMerge w:val="continue"/>
            <w:shd w:val="clear" w:color="auto" w:fill="1764AC"/>
          </w:tcPr>
          <w:p>
            <w:pPr>
              <w:spacing w:after="0"/>
              <w:rPr>
                <w:sz w:val="7"/>
                <w:szCs w:val="7"/>
                <w:color w:val="auto"/>
              </w:rPr>
            </w:pPr>
          </w:p>
        </w:tc>
        <w:tc>
          <w:tcPr>
            <w:tcW w:w="10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(MWh)</w:t>
            </w:r>
          </w:p>
        </w:tc>
        <w:tc>
          <w:tcPr>
            <w:tcW w:w="108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6"/>
              </w:rPr>
              <w:t>income</w:t>
            </w:r>
          </w:p>
        </w:tc>
        <w:tc>
          <w:tcPr>
            <w:tcW w:w="11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1220" w:type="dxa"/>
            <w:vAlign w:val="bottom"/>
            <w:vMerge w:val="continue"/>
            <w:shd w:val="clear" w:color="auto" w:fill="1764AC"/>
          </w:tcPr>
          <w:p>
            <w:pPr>
              <w:spacing w:after="0"/>
              <w:rPr>
                <w:sz w:val="7"/>
                <w:szCs w:val="7"/>
                <w:color w:val="auto"/>
              </w:rPr>
            </w:pPr>
          </w:p>
        </w:tc>
        <w:tc>
          <w:tcPr>
            <w:tcW w:w="11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130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December 31, 2025</w:t>
            </w:r>
          </w:p>
        </w:tc>
        <w:tc>
          <w:tcPr>
            <w:tcW w:w="1160" w:type="dxa"/>
            <w:vAlign w:val="bottom"/>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520" w:type="dxa"/>
            <w:vAlign w:val="bottom"/>
            <w:shd w:val="clear" w:color="auto" w:fill="1764AC"/>
          </w:tcPr>
          <w:p>
            <w:pPr>
              <w:spacing w:after="0"/>
              <w:rPr>
                <w:sz w:val="6"/>
                <w:szCs w:val="6"/>
                <w:color w:val="auto"/>
              </w:rPr>
            </w:pPr>
          </w:p>
        </w:tc>
        <w:tc>
          <w:tcPr>
            <w:tcW w:w="880" w:type="dxa"/>
            <w:vAlign w:val="bottom"/>
            <w:shd w:val="clear" w:color="auto" w:fill="1764AC"/>
          </w:tcPr>
          <w:p>
            <w:pPr>
              <w:spacing w:after="0"/>
              <w:rPr>
                <w:sz w:val="6"/>
                <w:szCs w:val="6"/>
                <w:color w:val="auto"/>
              </w:rPr>
            </w:pPr>
          </w:p>
        </w:tc>
        <w:tc>
          <w:tcPr>
            <w:tcW w:w="72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w:t>
            </w:r>
          </w:p>
        </w:tc>
        <w:tc>
          <w:tcPr>
            <w:tcW w:w="1060" w:type="dxa"/>
            <w:vAlign w:val="bottom"/>
            <w:tcBorders>
              <w:right w:val="single" w:sz="8" w:color="1764AC"/>
            </w:tcBorders>
            <w:vMerge w:val="continue"/>
            <w:shd w:val="clear" w:color="auto" w:fill="1764AC"/>
          </w:tcPr>
          <w:p>
            <w:pPr>
              <w:spacing w:after="0"/>
              <w:rPr>
                <w:sz w:val="6"/>
                <w:szCs w:val="6"/>
                <w:color w:val="auto"/>
              </w:rPr>
            </w:pPr>
          </w:p>
        </w:tc>
        <w:tc>
          <w:tcPr>
            <w:tcW w:w="1080" w:type="dxa"/>
            <w:vAlign w:val="bottom"/>
            <w:vMerge w:val="continue"/>
            <w:shd w:val="clear" w:color="auto" w:fill="1764AC"/>
          </w:tcPr>
          <w:p>
            <w:pPr>
              <w:spacing w:after="0"/>
              <w:rPr>
                <w:sz w:val="6"/>
                <w:szCs w:val="6"/>
                <w:color w:val="auto"/>
              </w:rPr>
            </w:pPr>
          </w:p>
        </w:tc>
        <w:tc>
          <w:tcPr>
            <w:tcW w:w="1180" w:type="dxa"/>
            <w:vAlign w:val="bottom"/>
            <w:tcBorders>
              <w:right w:val="single" w:sz="8" w:color="1764AC"/>
            </w:tcBorders>
            <w:vMerge w:val="continue"/>
            <w:shd w:val="clear" w:color="auto" w:fill="1764AC"/>
          </w:tcPr>
          <w:p>
            <w:pPr>
              <w:spacing w:after="0"/>
              <w:rPr>
                <w:sz w:val="6"/>
                <w:szCs w:val="6"/>
                <w:color w:val="auto"/>
              </w:rPr>
            </w:pPr>
          </w:p>
        </w:tc>
        <w:tc>
          <w:tcPr>
            <w:tcW w:w="1220" w:type="dxa"/>
            <w:vAlign w:val="bottom"/>
            <w:shd w:val="clear" w:color="auto" w:fill="1764AC"/>
          </w:tcPr>
          <w:p>
            <w:pPr>
              <w:spacing w:after="0"/>
              <w:rPr>
                <w:sz w:val="6"/>
                <w:szCs w:val="6"/>
                <w:color w:val="auto"/>
              </w:rPr>
            </w:pPr>
          </w:p>
        </w:tc>
        <w:tc>
          <w:tcPr>
            <w:tcW w:w="1180" w:type="dxa"/>
            <w:vAlign w:val="bottom"/>
            <w:tcBorders>
              <w:right w:val="single" w:sz="8" w:color="1764AC"/>
            </w:tcBorders>
            <w:vMerge w:val="continue"/>
            <w:shd w:val="clear" w:color="auto" w:fill="1764AC"/>
          </w:tcPr>
          <w:p>
            <w:pPr>
              <w:spacing w:after="0"/>
              <w:rPr>
                <w:sz w:val="6"/>
                <w:szCs w:val="6"/>
                <w:color w:val="auto"/>
              </w:rPr>
            </w:pPr>
          </w:p>
        </w:tc>
        <w:tc>
          <w:tcPr>
            <w:tcW w:w="1300" w:type="dxa"/>
            <w:vAlign w:val="bottom"/>
            <w:vMerge w:val="continue"/>
            <w:shd w:val="clear" w:color="auto" w:fill="1764AC"/>
          </w:tcPr>
          <w:p>
            <w:pPr>
              <w:spacing w:after="0"/>
              <w:rPr>
                <w:sz w:val="6"/>
                <w:szCs w:val="6"/>
                <w:color w:val="auto"/>
              </w:rPr>
            </w:pPr>
          </w:p>
        </w:tc>
        <w:tc>
          <w:tcPr>
            <w:tcW w:w="1160" w:type="dxa"/>
            <w:vAlign w:val="bottom"/>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520" w:type="dxa"/>
            <w:vAlign w:val="bottom"/>
            <w:shd w:val="clear" w:color="auto" w:fill="1764AC"/>
          </w:tcPr>
          <w:p>
            <w:pPr>
              <w:spacing w:after="0"/>
              <w:rPr>
                <w:sz w:val="7"/>
                <w:szCs w:val="7"/>
                <w:color w:val="auto"/>
              </w:rPr>
            </w:pPr>
          </w:p>
        </w:tc>
        <w:tc>
          <w:tcPr>
            <w:tcW w:w="880" w:type="dxa"/>
            <w:vAlign w:val="bottom"/>
            <w:shd w:val="clear" w:color="auto" w:fill="1764AC"/>
          </w:tcPr>
          <w:p>
            <w:pPr>
              <w:spacing w:after="0"/>
              <w:rPr>
                <w:sz w:val="7"/>
                <w:szCs w:val="7"/>
                <w:color w:val="auto"/>
              </w:rPr>
            </w:pPr>
          </w:p>
        </w:tc>
        <w:tc>
          <w:tcPr>
            <w:tcW w:w="720" w:type="dxa"/>
            <w:vAlign w:val="bottom"/>
            <w:vMerge w:val="continue"/>
            <w:shd w:val="clear" w:color="auto" w:fill="1764AC"/>
          </w:tcPr>
          <w:p>
            <w:pPr>
              <w:spacing w:after="0"/>
              <w:rPr>
                <w:sz w:val="7"/>
                <w:szCs w:val="7"/>
                <w:color w:val="auto"/>
              </w:rPr>
            </w:pPr>
          </w:p>
        </w:tc>
        <w:tc>
          <w:tcPr>
            <w:tcW w:w="1060" w:type="dxa"/>
            <w:vAlign w:val="bottom"/>
            <w:tcBorders>
              <w:right w:val="single" w:sz="8" w:color="1764AC"/>
            </w:tcBorders>
            <w:shd w:val="clear" w:color="auto" w:fill="1764AC"/>
          </w:tcPr>
          <w:p>
            <w:pPr>
              <w:spacing w:after="0"/>
              <w:rPr>
                <w:sz w:val="7"/>
                <w:szCs w:val="7"/>
                <w:color w:val="auto"/>
              </w:rPr>
            </w:pPr>
          </w:p>
        </w:tc>
        <w:tc>
          <w:tcPr>
            <w:tcW w:w="1080" w:type="dxa"/>
            <w:vAlign w:val="bottom"/>
            <w:shd w:val="clear" w:color="auto" w:fill="1764AC"/>
          </w:tcPr>
          <w:p>
            <w:pPr>
              <w:spacing w:after="0"/>
              <w:rPr>
                <w:sz w:val="7"/>
                <w:szCs w:val="7"/>
                <w:color w:val="auto"/>
              </w:rPr>
            </w:pPr>
          </w:p>
        </w:tc>
        <w:tc>
          <w:tcPr>
            <w:tcW w:w="1180" w:type="dxa"/>
            <w:vAlign w:val="bottom"/>
            <w:tcBorders>
              <w:right w:val="single" w:sz="8" w:color="1764AC"/>
            </w:tcBorders>
            <w:shd w:val="clear" w:color="auto" w:fill="1764AC"/>
          </w:tcPr>
          <w:p>
            <w:pPr>
              <w:spacing w:after="0"/>
              <w:rPr>
                <w:sz w:val="7"/>
                <w:szCs w:val="7"/>
                <w:color w:val="auto"/>
              </w:rPr>
            </w:pPr>
          </w:p>
        </w:tc>
        <w:tc>
          <w:tcPr>
            <w:tcW w:w="1220" w:type="dxa"/>
            <w:vAlign w:val="bottom"/>
            <w:shd w:val="clear" w:color="auto" w:fill="1764AC"/>
          </w:tcPr>
          <w:p>
            <w:pPr>
              <w:spacing w:after="0"/>
              <w:rPr>
                <w:sz w:val="7"/>
                <w:szCs w:val="7"/>
                <w:color w:val="auto"/>
              </w:rPr>
            </w:pPr>
          </w:p>
        </w:tc>
        <w:tc>
          <w:tcPr>
            <w:tcW w:w="1180" w:type="dxa"/>
            <w:vAlign w:val="bottom"/>
            <w:tcBorders>
              <w:right w:val="single" w:sz="8" w:color="1764AC"/>
            </w:tcBorders>
            <w:shd w:val="clear" w:color="auto" w:fill="1764AC"/>
          </w:tcPr>
          <w:p>
            <w:pPr>
              <w:spacing w:after="0"/>
              <w:rPr>
                <w:sz w:val="7"/>
                <w:szCs w:val="7"/>
                <w:color w:val="auto"/>
              </w:rPr>
            </w:pPr>
          </w:p>
        </w:tc>
        <w:tc>
          <w:tcPr>
            <w:tcW w:w="1300" w:type="dxa"/>
            <w:vAlign w:val="bottom"/>
            <w:shd w:val="clear" w:color="auto" w:fill="1764AC"/>
          </w:tcPr>
          <w:p>
            <w:pPr>
              <w:spacing w:after="0"/>
              <w:rPr>
                <w:sz w:val="7"/>
                <w:szCs w:val="7"/>
                <w:color w:val="auto"/>
              </w:rPr>
            </w:pPr>
          </w:p>
        </w:tc>
        <w:tc>
          <w:tcPr>
            <w:tcW w:w="116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MENA Wind</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MENA</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316</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6"/>
              </w:rPr>
              <w:t>92,798</w:t>
            </w:r>
          </w:p>
        </w:tc>
        <w:tc>
          <w:tcPr>
            <w:tcW w:w="1180" w:type="dxa"/>
            <w:vAlign w:val="bottom"/>
            <w:tcBorders>
              <w:right w:val="single" w:sz="8" w:color="auto"/>
            </w:tcBorders>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20,115</w:t>
            </w:r>
          </w:p>
        </w:tc>
        <w:tc>
          <w:tcPr>
            <w:tcW w:w="1180" w:type="dxa"/>
            <w:vAlign w:val="bottom"/>
            <w:tcBorders>
              <w:right w:val="single" w:sz="8" w:color="auto"/>
            </w:tcBorders>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516,669</w:t>
            </w:r>
          </w:p>
        </w:tc>
        <w:tc>
          <w:tcPr>
            <w:tcW w:w="11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49%</w:t>
            </w:r>
          </w:p>
        </w:tc>
        <w:tc>
          <w:tcPr>
            <w:tcW w:w="0" w:type="dxa"/>
            <w:vAlign w:val="bottom"/>
          </w:tcPr>
          <w:p>
            <w:pPr>
              <w:spacing w:after="0"/>
              <w:rPr>
                <w:sz w:val="1"/>
                <w:szCs w:val="1"/>
                <w:color w:val="auto"/>
              </w:rPr>
            </w:pPr>
          </w:p>
        </w:tc>
      </w:tr>
      <w:tr>
        <w:trPr>
          <w:trHeight w:val="18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MENA PV</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MENA</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360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819</w:t>
            </w:r>
          </w:p>
        </w:tc>
        <w:tc>
          <w:tcPr>
            <w:tcW w:w="10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129,590</w:t>
            </w: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29,093</w:t>
            </w:r>
          </w:p>
        </w:tc>
        <w:tc>
          <w:tcPr>
            <w:tcW w:w="11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567,684</w:t>
            </w:r>
          </w:p>
        </w:tc>
        <w:tc>
          <w:tcPr>
            <w:tcW w:w="11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w w:val="99"/>
              </w:rPr>
              <w:t>85%</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MENA</w:t>
            </w:r>
          </w:p>
        </w:tc>
        <w:tc>
          <w:tcPr>
            <w:tcW w:w="88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676</w:t>
            </w:r>
          </w:p>
        </w:tc>
        <w:tc>
          <w:tcPr>
            <w:tcW w:w="10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819</w:t>
            </w:r>
          </w:p>
        </w:tc>
        <w:tc>
          <w:tcPr>
            <w:tcW w:w="108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222,388</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144,516</w:t>
            </w:r>
          </w:p>
        </w:tc>
        <w:tc>
          <w:tcPr>
            <w:tcW w:w="12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49,208</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29,002</w:t>
            </w:r>
          </w:p>
        </w:tc>
        <w:tc>
          <w:tcPr>
            <w:tcW w:w="13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1,084,353</w:t>
            </w:r>
          </w:p>
        </w:tc>
        <w:tc>
          <w:tcPr>
            <w:tcW w:w="11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Europe Wind</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Europe</w:t>
            </w:r>
          </w:p>
        </w:tc>
        <w:tc>
          <w:tcPr>
            <w:tcW w:w="7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1,184</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184,332</w:t>
            </w:r>
          </w:p>
        </w:tc>
        <w:tc>
          <w:tcPr>
            <w:tcW w:w="1180" w:type="dxa"/>
            <w:vAlign w:val="bottom"/>
            <w:tcBorders>
              <w:right w:val="single" w:sz="8" w:color="auto"/>
            </w:tcBorders>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52,963</w:t>
            </w:r>
          </w:p>
        </w:tc>
        <w:tc>
          <w:tcPr>
            <w:tcW w:w="1180" w:type="dxa"/>
            <w:vAlign w:val="bottom"/>
            <w:tcBorders>
              <w:right w:val="single" w:sz="8" w:color="auto"/>
            </w:tcBorders>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859,540</w:t>
            </w:r>
          </w:p>
        </w:tc>
        <w:tc>
          <w:tcPr>
            <w:tcW w:w="11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65%</w:t>
            </w:r>
          </w:p>
        </w:tc>
        <w:tc>
          <w:tcPr>
            <w:tcW w:w="0" w:type="dxa"/>
            <w:vAlign w:val="bottom"/>
          </w:tcPr>
          <w:p>
            <w:pPr>
              <w:spacing w:after="0"/>
              <w:rPr>
                <w:sz w:val="1"/>
                <w:szCs w:val="1"/>
                <w:color w:val="auto"/>
              </w:rPr>
            </w:pPr>
          </w:p>
        </w:tc>
      </w:tr>
      <w:tr>
        <w:trPr>
          <w:trHeight w:val="18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Europe PV</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Europe</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15,431</w:t>
            </w: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2,298</w:t>
            </w:r>
          </w:p>
        </w:tc>
        <w:tc>
          <w:tcPr>
            <w:tcW w:w="11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72,322</w:t>
            </w:r>
          </w:p>
        </w:tc>
        <w:tc>
          <w:tcPr>
            <w:tcW w:w="11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w w:val="99"/>
              </w:rPr>
              <w:t>72%</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Europe</w:t>
            </w:r>
          </w:p>
        </w:tc>
        <w:tc>
          <w:tcPr>
            <w:tcW w:w="88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1,327</w:t>
            </w:r>
          </w:p>
        </w:tc>
        <w:tc>
          <w:tcPr>
            <w:tcW w:w="10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108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199,763</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159,015</w:t>
            </w:r>
          </w:p>
        </w:tc>
        <w:tc>
          <w:tcPr>
            <w:tcW w:w="12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55,261</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41,587</w:t>
            </w:r>
          </w:p>
        </w:tc>
        <w:tc>
          <w:tcPr>
            <w:tcW w:w="13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931,862</w:t>
            </w:r>
          </w:p>
        </w:tc>
        <w:tc>
          <w:tcPr>
            <w:tcW w:w="11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USA PV</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894</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2,540</w:t>
            </w:r>
          </w:p>
        </w:tc>
        <w:tc>
          <w:tcPr>
            <w:tcW w:w="10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158,580</w:t>
            </w:r>
          </w:p>
        </w:tc>
        <w:tc>
          <w:tcPr>
            <w:tcW w:w="11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47,632</w:t>
            </w:r>
          </w:p>
        </w:tc>
        <w:tc>
          <w:tcPr>
            <w:tcW w:w="11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921,400</w:t>
            </w:r>
          </w:p>
        </w:tc>
        <w:tc>
          <w:tcPr>
            <w:tcW w:w="11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USA</w:t>
            </w:r>
          </w:p>
        </w:tc>
        <w:tc>
          <w:tcPr>
            <w:tcW w:w="88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894</w:t>
            </w:r>
          </w:p>
        </w:tc>
        <w:tc>
          <w:tcPr>
            <w:tcW w:w="10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2,540</w:t>
            </w:r>
          </w:p>
        </w:tc>
        <w:tc>
          <w:tcPr>
            <w:tcW w:w="108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158,580</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142,568</w:t>
            </w:r>
          </w:p>
        </w:tc>
        <w:tc>
          <w:tcPr>
            <w:tcW w:w="12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47,632</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44,397</w:t>
            </w:r>
          </w:p>
        </w:tc>
        <w:tc>
          <w:tcPr>
            <w:tcW w:w="13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921,400</w:t>
            </w:r>
          </w:p>
        </w:tc>
        <w:tc>
          <w:tcPr>
            <w:tcW w:w="11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 Projects</w:t>
            </w:r>
          </w:p>
        </w:tc>
        <w:tc>
          <w:tcPr>
            <w:tcW w:w="88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2,899</w:t>
            </w:r>
          </w:p>
        </w:tc>
        <w:tc>
          <w:tcPr>
            <w:tcW w:w="10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3,359</w:t>
            </w:r>
          </w:p>
        </w:tc>
        <w:tc>
          <w:tcPr>
            <w:tcW w:w="108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580,731</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446,099</w:t>
            </w:r>
          </w:p>
        </w:tc>
        <w:tc>
          <w:tcPr>
            <w:tcW w:w="12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152,101</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114,986</w:t>
            </w:r>
          </w:p>
        </w:tc>
        <w:tc>
          <w:tcPr>
            <w:tcW w:w="13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2,937,615</w:t>
            </w:r>
          </w:p>
        </w:tc>
        <w:tc>
          <w:tcPr>
            <w:tcW w:w="11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Uncons. Projects at share</w:t>
            </w: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80" w:type="dxa"/>
            <w:vAlign w:val="bottom"/>
            <w:tcBorders>
              <w:bottom w:val="single" w:sz="8" w:color="auto"/>
            </w:tcBorders>
            <w:shd w:val="clear" w:color="auto" w:fill="BDD6EE"/>
          </w:tcPr>
          <w:p>
            <w:pPr>
              <w:spacing w:after="0"/>
              <w:rPr>
                <w:sz w:val="14"/>
                <w:szCs w:val="14"/>
                <w:color w:val="auto"/>
              </w:rPr>
            </w:pPr>
          </w:p>
        </w:tc>
        <w:tc>
          <w:tcPr>
            <w:tcW w:w="7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2,944</w:t>
            </w:r>
          </w:p>
        </w:tc>
        <w:tc>
          <w:tcPr>
            <w:tcW w:w="10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3,401</w:t>
            </w:r>
          </w:p>
        </w:tc>
        <w:tc>
          <w:tcPr>
            <w:tcW w:w="108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580,731</w:t>
            </w:r>
          </w:p>
        </w:tc>
        <w:tc>
          <w:tcPr>
            <w:tcW w:w="1180" w:type="dxa"/>
            <w:vAlign w:val="bottom"/>
            <w:tcBorders>
              <w:bottom w:val="single" w:sz="8" w:color="auto"/>
              <w:right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446,099</w:t>
            </w:r>
          </w:p>
        </w:tc>
        <w:tc>
          <w:tcPr>
            <w:tcW w:w="1220" w:type="dxa"/>
            <w:vAlign w:val="bottom"/>
            <w:tcBorders>
              <w:bottom w:val="single" w:sz="8" w:color="auto"/>
            </w:tcBorders>
            <w:shd w:val="clear" w:color="auto" w:fill="BDD6EE"/>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152,101</w:t>
            </w:r>
          </w:p>
        </w:tc>
        <w:tc>
          <w:tcPr>
            <w:tcW w:w="1180" w:type="dxa"/>
            <w:vAlign w:val="bottom"/>
            <w:tcBorders>
              <w:bottom w:val="single" w:sz="8" w:color="auto"/>
              <w:right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114,986</w:t>
            </w:r>
          </w:p>
        </w:tc>
        <w:tc>
          <w:tcPr>
            <w:tcW w:w="13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2,937,615</w:t>
            </w:r>
          </w:p>
        </w:tc>
        <w:tc>
          <w:tcPr>
            <w:tcW w:w="11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 w:right="3020" w:hanging="8"/>
        <w:spacing w:after="0" w:line="545" w:lineRule="auto"/>
        <w:tabs>
          <w:tab w:leader="none" w:pos="9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results included $13m in the 12 months ended December 25 and $2m in the 3 months ended December 25, of compensation recognized from Björnberget project ** Ownership % is calculated based on the project's share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59"/>
        </w:trPr>
        <w:tc>
          <w:tcPr>
            <w:tcW w:w="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Projects under construction</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shd w:val="clear" w:color="auto" w:fill="1764AC"/>
          </w:tcPr>
          <w:p>
            <w:pPr>
              <w:spacing w:after="0"/>
              <w:rPr>
                <w:sz w:val="12"/>
                <w:szCs w:val="12"/>
                <w:color w:val="auto"/>
              </w:rPr>
            </w:pPr>
          </w:p>
        </w:tc>
        <w:tc>
          <w:tcPr>
            <w:tcW w:w="1700" w:type="dxa"/>
            <w:vAlign w:val="bottom"/>
            <w:tcBorders>
              <w:right w:val="single" w:sz="8" w:color="1764AC"/>
            </w:tcBorders>
            <w:shd w:val="clear" w:color="auto" w:fill="1764AC"/>
          </w:tcPr>
          <w:p>
            <w:pPr>
              <w:spacing w:after="0"/>
              <w:rPr>
                <w:sz w:val="12"/>
                <w:szCs w:val="12"/>
                <w:color w:val="auto"/>
              </w:rPr>
            </w:pPr>
          </w:p>
        </w:tc>
        <w:tc>
          <w:tcPr>
            <w:tcW w:w="460" w:type="dxa"/>
            <w:vAlign w:val="bottom"/>
            <w:shd w:val="clear" w:color="auto" w:fill="1764AC"/>
          </w:tcPr>
          <w:p>
            <w:pPr>
              <w:spacing w:after="0"/>
              <w:rPr>
                <w:sz w:val="12"/>
                <w:szCs w:val="12"/>
                <w:color w:val="auto"/>
              </w:rPr>
            </w:pPr>
          </w:p>
        </w:tc>
        <w:tc>
          <w:tcPr>
            <w:tcW w:w="6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7"/>
              </w:rPr>
              <w:t>Generation</w:t>
            </w:r>
          </w:p>
        </w:tc>
        <w:tc>
          <w:tcPr>
            <w:tcW w:w="940" w:type="dxa"/>
            <w:vAlign w:val="bottom"/>
            <w:tcBorders>
              <w:right w:val="single" w:sz="8" w:color="1764AC"/>
            </w:tcBorders>
            <w:shd w:val="clear" w:color="auto" w:fill="1764AC"/>
          </w:tcPr>
          <w:p>
            <w:pPr>
              <w:spacing w:after="0"/>
              <w:rPr>
                <w:sz w:val="12"/>
                <w:szCs w:val="12"/>
                <w:color w:val="auto"/>
              </w:rPr>
            </w:pPr>
          </w:p>
        </w:tc>
        <w:tc>
          <w:tcPr>
            <w:tcW w:w="600" w:type="dxa"/>
            <w:vAlign w:val="bottom"/>
            <w:shd w:val="clear" w:color="auto" w:fill="1764AC"/>
          </w:tcPr>
          <w:p>
            <w:pPr>
              <w:spacing w:after="0"/>
              <w:rPr>
                <w:sz w:val="12"/>
                <w:szCs w:val="12"/>
                <w:color w:val="auto"/>
              </w:rPr>
            </w:pPr>
          </w:p>
        </w:tc>
        <w:tc>
          <w:tcPr>
            <w:tcW w:w="560" w:type="dxa"/>
            <w:vAlign w:val="bottom"/>
            <w:shd w:val="clear" w:color="auto" w:fill="1764AC"/>
          </w:tcPr>
          <w:p>
            <w:pPr>
              <w:spacing w:after="0"/>
              <w:rPr>
                <w:sz w:val="12"/>
                <w:szCs w:val="12"/>
                <w:color w:val="auto"/>
              </w:rPr>
            </w:pPr>
          </w:p>
        </w:tc>
        <w:tc>
          <w:tcPr>
            <w:tcW w:w="1100" w:type="dxa"/>
            <w:vAlign w:val="bottom"/>
            <w:shd w:val="clear" w:color="auto" w:fill="1764AC"/>
          </w:tcPr>
          <w:p>
            <w:pPr>
              <w:spacing w:after="0"/>
              <w:rPr>
                <w:sz w:val="12"/>
                <w:szCs w:val="12"/>
                <w:color w:val="auto"/>
              </w:rPr>
            </w:pPr>
          </w:p>
        </w:tc>
        <w:tc>
          <w:tcPr>
            <w:tcW w:w="560" w:type="dxa"/>
            <w:vAlign w:val="bottom"/>
            <w:shd w:val="clear" w:color="auto" w:fill="1764AC"/>
          </w:tcPr>
          <w:p>
            <w:pPr>
              <w:spacing w:after="0"/>
              <w:rPr>
                <w:sz w:val="12"/>
                <w:szCs w:val="12"/>
                <w:color w:val="auto"/>
              </w:rPr>
            </w:pPr>
          </w:p>
        </w:tc>
        <w:tc>
          <w:tcPr>
            <w:tcW w:w="600" w:type="dxa"/>
            <w:vAlign w:val="bottom"/>
            <w:shd w:val="clear" w:color="auto" w:fill="1764AC"/>
          </w:tcPr>
          <w:p>
            <w:pPr>
              <w:spacing w:after="0"/>
              <w:rPr>
                <w:sz w:val="12"/>
                <w:szCs w:val="12"/>
                <w:color w:val="auto"/>
              </w:rPr>
            </w:pPr>
          </w:p>
        </w:tc>
        <w:tc>
          <w:tcPr>
            <w:tcW w:w="5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Capital</w:t>
            </w:r>
          </w:p>
        </w:tc>
        <w:tc>
          <w:tcPr>
            <w:tcW w:w="920" w:type="dxa"/>
            <w:vAlign w:val="bottom"/>
            <w:shd w:val="clear" w:color="auto" w:fill="1764AC"/>
          </w:tcPr>
          <w:p>
            <w:pPr>
              <w:spacing w:after="0"/>
              <w:rPr>
                <w:sz w:val="12"/>
                <w:szCs w:val="12"/>
                <w:color w:val="auto"/>
              </w:rPr>
            </w:pPr>
          </w:p>
        </w:tc>
        <w:tc>
          <w:tcPr>
            <w:tcW w:w="620" w:type="dxa"/>
            <w:vAlign w:val="bottom"/>
            <w:shd w:val="clear" w:color="auto" w:fill="1764AC"/>
          </w:tcPr>
          <w:p>
            <w:pPr>
              <w:jc w:val="center"/>
              <w:ind w:right="80"/>
              <w:spacing w:after="0"/>
              <w:rPr>
                <w:sz w:val="20"/>
                <w:szCs w:val="20"/>
                <w:color w:val="auto"/>
              </w:rPr>
            </w:pPr>
            <w:r>
              <w:rPr>
                <w:rFonts w:ascii="Times New Roman" w:cs="Times New Roman" w:eastAsia="Times New Roman" w:hAnsi="Times New Roman"/>
                <w:sz w:val="12"/>
                <w:szCs w:val="12"/>
                <w:color w:val="FFFFFF"/>
                <w:w w:val="99"/>
              </w:rPr>
              <w:t>Equity</w:t>
            </w:r>
          </w:p>
        </w:tc>
        <w:tc>
          <w:tcPr>
            <w:tcW w:w="860" w:type="dxa"/>
            <w:vAlign w:val="bottom"/>
            <w:shd w:val="clear" w:color="auto" w:fill="1764AC"/>
          </w:tcPr>
          <w:p>
            <w:pPr>
              <w:spacing w:after="0"/>
              <w:rPr>
                <w:sz w:val="12"/>
                <w:szCs w:val="12"/>
                <w:color w:val="auto"/>
              </w:rPr>
            </w:pPr>
          </w:p>
        </w:tc>
        <w:tc>
          <w:tcPr>
            <w:tcW w:w="700" w:type="dxa"/>
            <w:vAlign w:val="bottom"/>
            <w:shd w:val="clear" w:color="auto" w:fill="1764AC"/>
          </w:tcPr>
          <w:p>
            <w:pPr>
              <w:spacing w:after="0"/>
              <w:rPr>
                <w:sz w:val="12"/>
                <w:szCs w:val="12"/>
                <w:color w:val="auto"/>
              </w:rPr>
            </w:pPr>
          </w:p>
        </w:tc>
        <w:tc>
          <w:tcPr>
            <w:tcW w:w="220" w:type="dxa"/>
            <w:vAlign w:val="bottom"/>
            <w:shd w:val="clear" w:color="auto" w:fill="1764AC"/>
          </w:tcPr>
          <w:p>
            <w:pPr>
              <w:spacing w:after="0"/>
              <w:rPr>
                <w:sz w:val="12"/>
                <w:szCs w:val="12"/>
                <w:color w:val="auto"/>
              </w:rPr>
            </w:pPr>
          </w:p>
        </w:tc>
        <w:tc>
          <w:tcPr>
            <w:tcW w:w="60" w:type="dxa"/>
            <w:vAlign w:val="bottom"/>
            <w:shd w:val="clear" w:color="auto" w:fill="1764A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shd w:val="clear" w:color="auto" w:fill="1764AC"/>
          </w:tcPr>
          <w:p>
            <w:pPr>
              <w:spacing w:after="0"/>
              <w:rPr>
                <w:sz w:val="12"/>
                <w:szCs w:val="12"/>
                <w:color w:val="auto"/>
              </w:rPr>
            </w:pPr>
          </w:p>
        </w:tc>
        <w:tc>
          <w:tcPr>
            <w:tcW w:w="1700" w:type="dxa"/>
            <w:vAlign w:val="bottom"/>
            <w:tcBorders>
              <w:right w:val="single" w:sz="8" w:color="1764AC"/>
            </w:tcBorders>
            <w:shd w:val="clear" w:color="auto" w:fill="1764AC"/>
          </w:tcPr>
          <w:p>
            <w:pPr>
              <w:spacing w:after="0"/>
              <w:rPr>
                <w:sz w:val="12"/>
                <w:szCs w:val="12"/>
                <w:color w:val="auto"/>
              </w:rPr>
            </w:pPr>
          </w:p>
        </w:tc>
        <w:tc>
          <w:tcPr>
            <w:tcW w:w="460" w:type="dxa"/>
            <w:vAlign w:val="bottom"/>
            <w:shd w:val="clear" w:color="auto" w:fill="1764AC"/>
          </w:tcPr>
          <w:p>
            <w:pPr>
              <w:spacing w:after="0"/>
              <w:rPr>
                <w:sz w:val="12"/>
                <w:szCs w:val="12"/>
                <w:color w:val="auto"/>
              </w:rPr>
            </w:pPr>
          </w:p>
        </w:tc>
        <w:tc>
          <w:tcPr>
            <w:tcW w:w="6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and energy</w:t>
            </w:r>
          </w:p>
        </w:tc>
        <w:tc>
          <w:tcPr>
            <w:tcW w:w="940" w:type="dxa"/>
            <w:vAlign w:val="bottom"/>
            <w:tcBorders>
              <w:right w:val="single" w:sz="8" w:color="1764AC"/>
            </w:tcBorders>
            <w:shd w:val="clear" w:color="auto" w:fill="1764AC"/>
          </w:tcPr>
          <w:p>
            <w:pPr>
              <w:spacing w:after="0"/>
              <w:rPr>
                <w:sz w:val="12"/>
                <w:szCs w:val="12"/>
                <w:color w:val="auto"/>
              </w:rPr>
            </w:pPr>
          </w:p>
        </w:tc>
        <w:tc>
          <w:tcPr>
            <w:tcW w:w="600" w:type="dxa"/>
            <w:vAlign w:val="bottom"/>
            <w:shd w:val="clear" w:color="auto" w:fill="1764AC"/>
          </w:tcPr>
          <w:p>
            <w:pPr>
              <w:spacing w:after="0"/>
              <w:rPr>
                <w:sz w:val="12"/>
                <w:szCs w:val="12"/>
                <w:color w:val="auto"/>
              </w:rPr>
            </w:pP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7"/>
              </w:rPr>
              <w:t>Tax credit</w:t>
            </w:r>
          </w:p>
        </w:tc>
        <w:tc>
          <w:tcPr>
            <w:tcW w:w="1100" w:type="dxa"/>
            <w:vAlign w:val="bottom"/>
            <w:shd w:val="clear" w:color="auto" w:fill="1764AC"/>
          </w:tcPr>
          <w:p>
            <w:pPr>
              <w:spacing w:after="0"/>
              <w:rPr>
                <w:sz w:val="12"/>
                <w:szCs w:val="12"/>
                <w:color w:val="auto"/>
              </w:rPr>
            </w:pP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4"/>
              </w:rPr>
              <w:t>Est. Total</w:t>
            </w:r>
          </w:p>
        </w:tc>
        <w:tc>
          <w:tcPr>
            <w:tcW w:w="5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Invested</w:t>
            </w:r>
          </w:p>
        </w:tc>
        <w:tc>
          <w:tcPr>
            <w:tcW w:w="920" w:type="dxa"/>
            <w:vAlign w:val="bottom"/>
            <w:shd w:val="clear" w:color="auto" w:fill="1764AC"/>
          </w:tcPr>
          <w:p>
            <w:pPr>
              <w:spacing w:after="0"/>
              <w:rPr>
                <w:sz w:val="12"/>
                <w:szCs w:val="12"/>
                <w:color w:val="auto"/>
              </w:rPr>
            </w:pPr>
          </w:p>
        </w:tc>
        <w:tc>
          <w:tcPr>
            <w:tcW w:w="620" w:type="dxa"/>
            <w:vAlign w:val="bottom"/>
            <w:shd w:val="clear" w:color="auto" w:fill="1764AC"/>
          </w:tcPr>
          <w:p>
            <w:pPr>
              <w:jc w:val="center"/>
              <w:ind w:right="60"/>
              <w:spacing w:after="0"/>
              <w:rPr>
                <w:sz w:val="20"/>
                <w:szCs w:val="20"/>
                <w:color w:val="auto"/>
              </w:rPr>
            </w:pPr>
            <w:r>
              <w:rPr>
                <w:rFonts w:ascii="Times New Roman" w:cs="Times New Roman" w:eastAsia="Times New Roman" w:hAnsi="Times New Roman"/>
                <w:sz w:val="12"/>
                <w:szCs w:val="12"/>
                <w:color w:val="FFFFFF"/>
              </w:rPr>
              <w:t>Invested</w:t>
            </w:r>
          </w:p>
        </w:tc>
        <w:tc>
          <w:tcPr>
            <w:tcW w:w="860" w:type="dxa"/>
            <w:vAlign w:val="bottom"/>
            <w:shd w:val="clear" w:color="auto" w:fill="1764AC"/>
          </w:tcPr>
          <w:p>
            <w:pPr>
              <w:spacing w:after="0"/>
              <w:rPr>
                <w:sz w:val="12"/>
                <w:szCs w:val="12"/>
                <w:color w:val="auto"/>
              </w:rPr>
            </w:pPr>
          </w:p>
        </w:tc>
        <w:tc>
          <w:tcPr>
            <w:tcW w:w="700" w:type="dxa"/>
            <w:vAlign w:val="bottom"/>
            <w:shd w:val="clear" w:color="auto" w:fill="1764AC"/>
          </w:tcPr>
          <w:p>
            <w:pPr>
              <w:spacing w:after="0"/>
              <w:rPr>
                <w:sz w:val="12"/>
                <w:szCs w:val="12"/>
                <w:color w:val="auto"/>
              </w:rPr>
            </w:pPr>
          </w:p>
        </w:tc>
        <w:tc>
          <w:tcPr>
            <w:tcW w:w="220" w:type="dxa"/>
            <w:vAlign w:val="bottom"/>
            <w:shd w:val="clear" w:color="auto" w:fill="1764AC"/>
          </w:tcPr>
          <w:p>
            <w:pPr>
              <w:spacing w:after="0"/>
              <w:rPr>
                <w:sz w:val="12"/>
                <w:szCs w:val="12"/>
                <w:color w:val="auto"/>
              </w:rPr>
            </w:pPr>
          </w:p>
        </w:tc>
        <w:tc>
          <w:tcPr>
            <w:tcW w:w="60" w:type="dxa"/>
            <w:vAlign w:val="bottom"/>
            <w:shd w:val="clear" w:color="auto" w:fill="1764A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shd w:val="clear" w:color="auto" w:fill="1764AC"/>
          </w:tcPr>
          <w:p>
            <w:pPr>
              <w:spacing w:after="0"/>
              <w:rPr>
                <w:sz w:val="13"/>
                <w:szCs w:val="13"/>
                <w:color w:val="auto"/>
              </w:rPr>
            </w:pPr>
          </w:p>
        </w:tc>
        <w:tc>
          <w:tcPr>
            <w:tcW w:w="1700" w:type="dxa"/>
            <w:vAlign w:val="bottom"/>
            <w:tcBorders>
              <w:right w:val="single" w:sz="8" w:color="1764AC"/>
            </w:tcBorders>
            <w:shd w:val="clear" w:color="auto" w:fill="1764AC"/>
          </w:tcPr>
          <w:p>
            <w:pPr>
              <w:spacing w:after="0"/>
              <w:rPr>
                <w:sz w:val="13"/>
                <w:szCs w:val="13"/>
                <w:color w:val="auto"/>
              </w:rPr>
            </w:pPr>
          </w:p>
        </w:tc>
        <w:tc>
          <w:tcPr>
            <w:tcW w:w="460" w:type="dxa"/>
            <w:vAlign w:val="bottom"/>
            <w:shd w:val="clear" w:color="auto" w:fill="1764AC"/>
          </w:tcPr>
          <w:p>
            <w:pPr>
              <w:spacing w:after="0"/>
              <w:rPr>
                <w:sz w:val="13"/>
                <w:szCs w:val="13"/>
                <w:color w:val="auto"/>
              </w:rPr>
            </w:pPr>
          </w:p>
        </w:tc>
        <w:tc>
          <w:tcPr>
            <w:tcW w:w="6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storage</w:t>
            </w:r>
          </w:p>
        </w:tc>
        <w:tc>
          <w:tcPr>
            <w:tcW w:w="940" w:type="dxa"/>
            <w:vAlign w:val="bottom"/>
            <w:tcBorders>
              <w:right w:val="single" w:sz="8" w:color="1764AC"/>
            </w:tcBorders>
            <w:shd w:val="clear" w:color="auto" w:fill="1764AC"/>
          </w:tcPr>
          <w:p>
            <w:pPr>
              <w:spacing w:after="0"/>
              <w:rPr>
                <w:sz w:val="13"/>
                <w:szCs w:val="13"/>
                <w:color w:val="auto"/>
              </w:rPr>
            </w:pP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1100" w:type="dxa"/>
            <w:vAlign w:val="bottom"/>
            <w:shd w:val="clear" w:color="auto" w:fill="1764AC"/>
          </w:tcPr>
          <w:p>
            <w:pPr>
              <w:spacing w:after="0"/>
              <w:rPr>
                <w:sz w:val="13"/>
                <w:szCs w:val="13"/>
                <w:color w:val="auto"/>
              </w:rPr>
            </w:pP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5"/>
              </w:rPr>
              <w:t>Value of</w:t>
            </w: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Project</w:t>
            </w:r>
          </w:p>
        </w:tc>
        <w:tc>
          <w:tcPr>
            <w:tcW w:w="5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as of</w:t>
            </w:r>
          </w:p>
        </w:tc>
        <w:tc>
          <w:tcPr>
            <w:tcW w:w="920" w:type="dxa"/>
            <w:vAlign w:val="bottom"/>
            <w:shd w:val="clear" w:color="auto" w:fill="1764AC"/>
          </w:tcPr>
          <w:p>
            <w:pPr>
              <w:spacing w:after="0"/>
              <w:rPr>
                <w:sz w:val="13"/>
                <w:szCs w:val="13"/>
                <w:color w:val="auto"/>
              </w:rPr>
            </w:pPr>
          </w:p>
        </w:tc>
        <w:tc>
          <w:tcPr>
            <w:tcW w:w="620" w:type="dxa"/>
            <w:vAlign w:val="bottom"/>
            <w:shd w:val="clear" w:color="auto" w:fill="1764AC"/>
          </w:tcPr>
          <w:p>
            <w:pPr>
              <w:jc w:val="center"/>
              <w:ind w:right="60"/>
              <w:spacing w:after="0"/>
              <w:rPr>
                <w:sz w:val="20"/>
                <w:szCs w:val="20"/>
                <w:color w:val="auto"/>
              </w:rPr>
            </w:pPr>
            <w:r>
              <w:rPr>
                <w:rFonts w:ascii="Times New Roman" w:cs="Times New Roman" w:eastAsia="Times New Roman" w:hAnsi="Times New Roman"/>
                <w:sz w:val="12"/>
                <w:szCs w:val="12"/>
                <w:color w:val="FFFFFF"/>
                <w:w w:val="95"/>
              </w:rPr>
              <w:t>as of</w:t>
            </w:r>
          </w:p>
        </w:tc>
        <w:tc>
          <w:tcPr>
            <w:tcW w:w="860" w:type="dxa"/>
            <w:vAlign w:val="bottom"/>
            <w:shd w:val="clear" w:color="auto" w:fill="1764AC"/>
          </w:tcPr>
          <w:p>
            <w:pPr>
              <w:spacing w:after="0"/>
              <w:rPr>
                <w:sz w:val="13"/>
                <w:szCs w:val="13"/>
                <w:color w:val="auto"/>
              </w:rPr>
            </w:pPr>
          </w:p>
        </w:tc>
        <w:tc>
          <w:tcPr>
            <w:tcW w:w="7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Est. First Full</w:t>
            </w:r>
          </w:p>
        </w:tc>
        <w:tc>
          <w:tcPr>
            <w:tcW w:w="220" w:type="dxa"/>
            <w:vAlign w:val="bottom"/>
            <w:shd w:val="clear" w:color="auto" w:fill="1764AC"/>
          </w:tcPr>
          <w:p>
            <w:pPr>
              <w:spacing w:after="0"/>
              <w:rPr>
                <w:sz w:val="13"/>
                <w:szCs w:val="13"/>
                <w:color w:val="auto"/>
              </w:rPr>
            </w:pPr>
          </w:p>
        </w:tc>
        <w:tc>
          <w:tcPr>
            <w:tcW w:w="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1764AC"/>
          </w:tcPr>
          <w:p>
            <w:pPr>
              <w:spacing w:after="0"/>
              <w:rPr>
                <w:sz w:val="12"/>
                <w:szCs w:val="12"/>
                <w:color w:val="auto"/>
              </w:rPr>
            </w:pPr>
          </w:p>
        </w:tc>
        <w:tc>
          <w:tcPr>
            <w:tcW w:w="1700" w:type="dxa"/>
            <w:vAlign w:val="bottom"/>
            <w:tcBorders>
              <w:right w:val="single" w:sz="8" w:color="1764AC"/>
            </w:tcBorders>
            <w:shd w:val="clear" w:color="auto" w:fill="1764AC"/>
          </w:tcPr>
          <w:p>
            <w:pPr>
              <w:jc w:val="center"/>
              <w:ind w:right="260"/>
              <w:spacing w:after="0"/>
              <w:rPr>
                <w:sz w:val="20"/>
                <w:szCs w:val="20"/>
                <w:color w:val="auto"/>
              </w:rPr>
            </w:pPr>
            <w:r>
              <w:rPr>
                <w:rFonts w:ascii="Times New Roman" w:cs="Times New Roman" w:eastAsia="Times New Roman" w:hAnsi="Times New Roman"/>
                <w:sz w:val="12"/>
                <w:szCs w:val="12"/>
                <w:b w:val="1"/>
                <w:bCs w:val="1"/>
                <w:color w:val="FFFFFF"/>
              </w:rPr>
              <w:t>($ millions)</w:t>
            </w:r>
          </w:p>
        </w:tc>
        <w:tc>
          <w:tcPr>
            <w:tcW w:w="460" w:type="dxa"/>
            <w:vAlign w:val="bottom"/>
            <w:shd w:val="clear" w:color="auto" w:fill="1764AC"/>
          </w:tcPr>
          <w:p>
            <w:pPr>
              <w:spacing w:after="0"/>
              <w:rPr>
                <w:sz w:val="12"/>
                <w:szCs w:val="12"/>
                <w:color w:val="auto"/>
              </w:rPr>
            </w:pPr>
          </w:p>
        </w:tc>
        <w:tc>
          <w:tcPr>
            <w:tcW w:w="6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Capacity</w:t>
            </w:r>
          </w:p>
        </w:tc>
        <w:tc>
          <w:tcPr>
            <w:tcW w:w="94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7"/>
              </w:rPr>
              <w:t>Est.</w:t>
            </w: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Project</w:t>
            </w: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11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Tax credit benefit-</w:t>
            </w: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6"/>
              </w:rPr>
              <w:t>Tax</w:t>
            </w:r>
          </w:p>
        </w:tc>
        <w:tc>
          <w:tcPr>
            <w:tcW w:w="1120" w:type="dxa"/>
            <w:vAlign w:val="bottom"/>
            <w:gridSpan w:val="2"/>
            <w:shd w:val="clear" w:color="auto" w:fill="1764AC"/>
          </w:tcPr>
          <w:p>
            <w:pPr>
              <w:ind w:left="40"/>
              <w:spacing w:after="0"/>
              <w:rPr>
                <w:sz w:val="20"/>
                <w:szCs w:val="20"/>
                <w:color w:val="auto"/>
              </w:rPr>
            </w:pPr>
            <w:r>
              <w:rPr>
                <w:rFonts w:ascii="Times New Roman" w:cs="Times New Roman" w:eastAsia="Times New Roman" w:hAnsi="Times New Roman"/>
                <w:sz w:val="12"/>
                <w:szCs w:val="12"/>
                <w:color w:val="FFFFFF"/>
              </w:rPr>
              <w:t>Cost net of December</w:t>
            </w:r>
          </w:p>
        </w:tc>
        <w:tc>
          <w:tcPr>
            <w:tcW w:w="9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Est. Equity</w:t>
            </w:r>
          </w:p>
        </w:tc>
        <w:tc>
          <w:tcPr>
            <w:tcW w:w="1480" w:type="dxa"/>
            <w:vAlign w:val="bottom"/>
            <w:gridSpan w:val="2"/>
            <w:shd w:val="clear" w:color="auto" w:fill="1764AC"/>
          </w:tcPr>
          <w:p>
            <w:pPr>
              <w:jc w:val="right"/>
              <w:spacing w:after="0"/>
              <w:rPr>
                <w:sz w:val="20"/>
                <w:szCs w:val="20"/>
                <w:color w:val="auto"/>
              </w:rPr>
            </w:pPr>
            <w:r>
              <w:rPr>
                <w:rFonts w:ascii="Times New Roman" w:cs="Times New Roman" w:eastAsia="Times New Roman" w:hAnsi="Times New Roman"/>
                <w:sz w:val="12"/>
                <w:szCs w:val="12"/>
                <w:color w:val="FFFFFF"/>
                <w:w w:val="99"/>
              </w:rPr>
              <w:t>December Est. First Full Year</w:t>
            </w:r>
          </w:p>
        </w:tc>
        <w:tc>
          <w:tcPr>
            <w:tcW w:w="7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4"/>
              </w:rPr>
              <w:t>Year</w:t>
            </w:r>
          </w:p>
        </w:tc>
        <w:tc>
          <w:tcPr>
            <w:tcW w:w="280" w:type="dxa"/>
            <w:vAlign w:val="bottom"/>
            <w:gridSpan w:val="2"/>
            <w:shd w:val="clear" w:color="auto" w:fill="1764AC"/>
          </w:tcPr>
          <w:p>
            <w:pPr>
              <w:jc w:val="right"/>
              <w:ind w:right="20"/>
              <w:spacing w:after="0"/>
              <w:rPr>
                <w:sz w:val="20"/>
                <w:szCs w:val="20"/>
                <w:color w:val="auto"/>
              </w:rPr>
            </w:pPr>
            <w:r>
              <w:rPr>
                <w:rFonts w:ascii="Times New Roman" w:cs="Times New Roman" w:eastAsia="Times New Roman" w:hAnsi="Times New Roman"/>
                <w:sz w:val="12"/>
                <w:szCs w:val="12"/>
                <w:color w:val="FFFFFF"/>
              </w:rPr>
              <w:t>Own</w:t>
            </w:r>
          </w:p>
        </w:tc>
        <w:tc>
          <w:tcPr>
            <w:tcW w:w="0" w:type="dxa"/>
            <w:vAlign w:val="bottom"/>
          </w:tcPr>
          <w:p>
            <w:pPr>
              <w:spacing w:after="0"/>
              <w:rPr>
                <w:sz w:val="1"/>
                <w:szCs w:val="1"/>
                <w:color w:val="auto"/>
              </w:rPr>
            </w:pPr>
          </w:p>
        </w:tc>
      </w:tr>
      <w:tr>
        <w:trPr>
          <w:trHeight w:val="177"/>
        </w:trPr>
        <w:tc>
          <w:tcPr>
            <w:tcW w:w="320" w:type="dxa"/>
            <w:vAlign w:val="bottom"/>
            <w:shd w:val="clear" w:color="auto" w:fill="1764AC"/>
          </w:tcPr>
          <w:p>
            <w:pPr>
              <w:spacing w:after="0"/>
              <w:rPr>
                <w:sz w:val="15"/>
                <w:szCs w:val="15"/>
                <w:color w:val="auto"/>
              </w:rPr>
            </w:pPr>
          </w:p>
        </w:tc>
        <w:tc>
          <w:tcPr>
            <w:tcW w:w="1700" w:type="dxa"/>
            <w:vAlign w:val="bottom"/>
            <w:tcBorders>
              <w:right w:val="single" w:sz="8" w:color="1764AC"/>
            </w:tcBorders>
            <w:shd w:val="clear" w:color="auto" w:fill="1764AC"/>
          </w:tcPr>
          <w:p>
            <w:pPr>
              <w:jc w:val="center"/>
              <w:ind w:right="280"/>
              <w:spacing w:after="0"/>
              <w:rPr>
                <w:sz w:val="20"/>
                <w:szCs w:val="20"/>
                <w:color w:val="auto"/>
              </w:rPr>
            </w:pPr>
            <w:r>
              <w:rPr>
                <w:rFonts w:ascii="Times New Roman" w:cs="Times New Roman" w:eastAsia="Times New Roman" w:hAnsi="Times New Roman"/>
                <w:sz w:val="12"/>
                <w:szCs w:val="12"/>
                <w:b w:val="1"/>
                <w:bCs w:val="1"/>
                <w:color w:val="FFFFFF"/>
                <w:w w:val="99"/>
              </w:rPr>
              <w:t>Consolidated Projects</w:t>
            </w:r>
          </w:p>
        </w:tc>
        <w:tc>
          <w:tcPr>
            <w:tcW w:w="1080" w:type="dxa"/>
            <w:vAlign w:val="bottom"/>
            <w:gridSpan w:val="2"/>
            <w:shd w:val="clear" w:color="auto" w:fill="1764AC"/>
          </w:tcPr>
          <w:p>
            <w:pPr>
              <w:ind w:left="20"/>
              <w:spacing w:after="0"/>
              <w:rPr>
                <w:sz w:val="20"/>
                <w:szCs w:val="20"/>
                <w:color w:val="auto"/>
              </w:rPr>
            </w:pPr>
            <w:r>
              <w:rPr>
                <w:rFonts w:ascii="Times New Roman" w:cs="Times New Roman" w:eastAsia="Times New Roman" w:hAnsi="Times New Roman"/>
                <w:sz w:val="12"/>
                <w:szCs w:val="12"/>
                <w:color w:val="FFFFFF"/>
              </w:rPr>
              <w:t>Country (MW/MWh(</w:t>
            </w:r>
          </w:p>
        </w:tc>
        <w:tc>
          <w:tcPr>
            <w:tcW w:w="94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COD</w:t>
            </w: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Cost</w:t>
            </w:r>
          </w:p>
        </w:tc>
        <w:tc>
          <w:tcPr>
            <w:tcW w:w="5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category</w:t>
            </w:r>
          </w:p>
        </w:tc>
        <w:tc>
          <w:tcPr>
            <w:tcW w:w="11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Adders*****</w:t>
            </w:r>
          </w:p>
        </w:tc>
        <w:tc>
          <w:tcPr>
            <w:tcW w:w="1160" w:type="dxa"/>
            <w:vAlign w:val="bottom"/>
            <w:gridSpan w:val="2"/>
            <w:shd w:val="clear" w:color="auto" w:fill="1764AC"/>
          </w:tcPr>
          <w:p>
            <w:pPr>
              <w:spacing w:after="0"/>
              <w:rPr>
                <w:sz w:val="20"/>
                <w:szCs w:val="20"/>
                <w:color w:val="auto"/>
              </w:rPr>
            </w:pPr>
            <w:r>
              <w:rPr>
                <w:rFonts w:ascii="Times New Roman" w:cs="Times New Roman" w:eastAsia="Times New Roman" w:hAnsi="Times New Roman"/>
                <w:sz w:val="12"/>
                <w:szCs w:val="12"/>
                <w:color w:val="FFFFFF"/>
              </w:rPr>
              <w:t>Benefit*** tax benefit</w:t>
            </w:r>
          </w:p>
        </w:tc>
        <w:tc>
          <w:tcPr>
            <w:tcW w:w="5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31, 2025</w:t>
            </w:r>
          </w:p>
        </w:tc>
        <w:tc>
          <w:tcPr>
            <w:tcW w:w="9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Required (%)</w:t>
            </w:r>
          </w:p>
        </w:tc>
        <w:tc>
          <w:tcPr>
            <w:tcW w:w="2180" w:type="dxa"/>
            <w:vAlign w:val="bottom"/>
            <w:gridSpan w:val="3"/>
            <w:shd w:val="clear" w:color="auto" w:fill="1764AC"/>
          </w:tcPr>
          <w:p>
            <w:pPr>
              <w:ind w:left="40"/>
              <w:spacing w:after="0"/>
              <w:rPr>
                <w:sz w:val="20"/>
                <w:szCs w:val="20"/>
                <w:color w:val="auto"/>
              </w:rPr>
            </w:pPr>
            <w:r>
              <w:rPr>
                <w:rFonts w:ascii="Times New Roman" w:cs="Times New Roman" w:eastAsia="Times New Roman" w:hAnsi="Times New Roman"/>
                <w:sz w:val="12"/>
                <w:szCs w:val="12"/>
                <w:color w:val="FFFFFF"/>
                <w:w w:val="99"/>
              </w:rPr>
              <w:t>31, 2025 Revenue********* EBITDA****</w:t>
            </w:r>
          </w:p>
        </w:tc>
        <w:tc>
          <w:tcPr>
            <w:tcW w:w="280" w:type="dxa"/>
            <w:vAlign w:val="bottom"/>
            <w:gridSpan w:val="2"/>
            <w:shd w:val="clear" w:color="auto" w:fill="1764AC"/>
          </w:tcPr>
          <w:p>
            <w:pPr>
              <w:jc w:val="right"/>
              <w:spacing w:after="0"/>
              <w:rPr>
                <w:sz w:val="20"/>
                <w:szCs w:val="20"/>
                <w:color w:val="auto"/>
              </w:rPr>
            </w:pPr>
            <w:r>
              <w:rPr>
                <w:rFonts w:ascii="Times New Roman" w:cs="Times New Roman" w:eastAsia="Times New Roman" w:hAnsi="Times New Roman"/>
                <w:sz w:val="12"/>
                <w:szCs w:val="12"/>
                <w:color w:val="FFFFFF"/>
              </w:rPr>
              <w:t>%</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Country Acres</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403/688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Q4 2026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800-842</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DC (10%)</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401-422</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399-420</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596</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0%-10%********</w:t>
            </w:r>
          </w:p>
        </w:tc>
        <w:tc>
          <w:tcPr>
            <w:tcW w:w="6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91</w:t>
            </w: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61-65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48-50</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 Bar 1</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258/824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H2 2027-</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612-644</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277-292</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335-352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156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w w:val="99"/>
              </w:rPr>
              <w:t>156</w:t>
            </w:r>
          </w:p>
        </w:tc>
        <w:tc>
          <w:tcPr>
            <w:tcW w:w="86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auto"/>
                <w:w w:val="99"/>
              </w:rPr>
              <w:t>91-96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73-77</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61"/>
        </w:trPr>
        <w:tc>
          <w:tcPr>
            <w:tcW w:w="20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Co Bar 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128/0</w:t>
            </w:r>
          </w:p>
        </w:tc>
        <w:tc>
          <w:tcPr>
            <w:tcW w:w="9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H1 2028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605-637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279-293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326-344</w:t>
            </w:r>
          </w:p>
        </w:tc>
        <w:tc>
          <w:tcPr>
            <w:tcW w:w="520" w:type="dxa"/>
            <w:vAlign w:val="bottom"/>
            <w:vMerge w:val="continue"/>
          </w:tcPr>
          <w:p>
            <w:pPr>
              <w:spacing w:after="0"/>
              <w:rPr>
                <w:sz w:val="5"/>
                <w:szCs w:val="5"/>
                <w:color w:val="auto"/>
              </w:rPr>
            </w:pPr>
          </w:p>
        </w:tc>
        <w:tc>
          <w:tcPr>
            <w:tcW w:w="9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11"/>
        </w:trPr>
        <w:tc>
          <w:tcPr>
            <w:tcW w:w="2020" w:type="dxa"/>
            <w:vAlign w:val="bottom"/>
            <w:tcBorders>
              <w:bottom w:val="single" w:sz="8" w:color="auto"/>
              <w:right w:val="single" w:sz="8" w:color="auto"/>
            </w:tcBorders>
            <w:gridSpan w:val="2"/>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Crimson Orchard</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120/400</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Q2 2027</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326-342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EC (10%) +</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166-175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160-167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0%-10%********</w:t>
            </w:r>
          </w:p>
        </w:tc>
        <w:tc>
          <w:tcPr>
            <w:tcW w:w="62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9"/>
              </w:rPr>
              <w:t>28</w:t>
            </w:r>
          </w:p>
        </w:tc>
        <w:tc>
          <w:tcPr>
            <w:tcW w:w="86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auto"/>
                <w:w w:val="99"/>
              </w:rPr>
              <w:t>27-28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gridSpan w:val="2"/>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DC (10% BESS only)</w:t>
            </w:r>
          </w:p>
        </w:tc>
        <w:tc>
          <w:tcPr>
            <w:tcW w:w="5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Snowflake 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600/1,900</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H2 2027</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1,506-1,584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EC (10%) +</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769-808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737-776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408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0%-10%********</w:t>
            </w:r>
          </w:p>
        </w:tc>
        <w:tc>
          <w:tcPr>
            <w:tcW w:w="62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w w:val="99"/>
              </w:rPr>
              <w:t>159</w:t>
            </w:r>
          </w:p>
        </w:tc>
        <w:tc>
          <w:tcPr>
            <w:tcW w:w="86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auto"/>
                <w:w w:val="99"/>
              </w:rPr>
              <w:t>124-131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100-105</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gridSpan w:val="2"/>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DC (10% BESS only)</w:t>
            </w:r>
          </w:p>
        </w:tc>
        <w:tc>
          <w:tcPr>
            <w:tcW w:w="5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Gecama Solar</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Spain</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227/220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Q4 2026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218-229</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218-229</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158</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23%-28%</w:t>
            </w:r>
          </w:p>
        </w:tc>
        <w:tc>
          <w:tcPr>
            <w:tcW w:w="6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158</w:t>
            </w: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43-45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35-37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Sestanovac</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Croatia</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23/75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Q4 2026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37-39</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37-39</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30%-40%</w:t>
            </w:r>
          </w:p>
        </w:tc>
        <w:tc>
          <w:tcPr>
            <w:tcW w:w="6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6-7</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Tapolca Bess</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Hungary</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0/140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Q4 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22-23</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22-23</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6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8-9</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Bjornberget – BESS</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Sweden</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0/100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Q3 2026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24-26</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24-26</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6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16</w:t>
            </w: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4</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Israel Construction</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Israel</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4/222</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53-56</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53-56</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30%-40%</w:t>
            </w:r>
          </w:p>
        </w:tc>
        <w:tc>
          <w:tcPr>
            <w:tcW w:w="6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10</w:t>
            </w: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3</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89"/>
        </w:trPr>
        <w:tc>
          <w:tcPr>
            <w:tcW w:w="2020" w:type="dxa"/>
            <w:vAlign w:val="bottom"/>
            <w:tcBorders>
              <w:right w:val="single" w:sz="8" w:color="auto"/>
            </w:tcBorders>
            <w:gridSpan w:val="2"/>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 Projects</w:t>
            </w:r>
          </w:p>
        </w:tc>
        <w:tc>
          <w:tcPr>
            <w:tcW w:w="460" w:type="dxa"/>
            <w:vAlign w:val="bottom"/>
            <w:shd w:val="clear" w:color="auto" w:fill="BDD6EE"/>
          </w:tcPr>
          <w:p>
            <w:pPr>
              <w:spacing w:after="0"/>
              <w:rPr>
                <w:sz w:val="16"/>
                <w:szCs w:val="16"/>
                <w:color w:val="auto"/>
              </w:rPr>
            </w:pPr>
          </w:p>
        </w:tc>
        <w:tc>
          <w:tcPr>
            <w:tcW w:w="6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2,109/</w:t>
            </w:r>
          </w:p>
        </w:tc>
        <w:tc>
          <w:tcPr>
            <w:tcW w:w="940" w:type="dxa"/>
            <w:vAlign w:val="bottom"/>
            <w:tcBorders>
              <w:right w:val="single" w:sz="8" w:color="auto"/>
            </w:tcBorders>
            <w:shd w:val="clear" w:color="auto" w:fill="BDD6EE"/>
          </w:tcPr>
          <w:p>
            <w:pPr>
              <w:spacing w:after="0"/>
              <w:rPr>
                <w:sz w:val="16"/>
                <w:szCs w:val="16"/>
                <w:color w:val="auto"/>
              </w:rPr>
            </w:pPr>
          </w:p>
        </w:tc>
        <w:tc>
          <w:tcPr>
            <w:tcW w:w="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4,203-4,422</w:t>
            </w:r>
          </w:p>
        </w:tc>
        <w:tc>
          <w:tcPr>
            <w:tcW w:w="560" w:type="dxa"/>
            <w:vAlign w:val="bottom"/>
            <w:shd w:val="clear" w:color="auto" w:fill="BDD6EE"/>
          </w:tcPr>
          <w:p>
            <w:pPr>
              <w:spacing w:after="0"/>
              <w:rPr>
                <w:sz w:val="16"/>
                <w:szCs w:val="16"/>
                <w:color w:val="auto"/>
              </w:rPr>
            </w:pPr>
          </w:p>
        </w:tc>
        <w:tc>
          <w:tcPr>
            <w:tcW w:w="1100" w:type="dxa"/>
            <w:vAlign w:val="bottom"/>
            <w:shd w:val="clear" w:color="auto" w:fill="BDD6EE"/>
          </w:tcPr>
          <w:p>
            <w:pPr>
              <w:spacing w:after="0"/>
              <w:rPr>
                <w:sz w:val="16"/>
                <w:szCs w:val="16"/>
                <w:color w:val="auto"/>
              </w:rPr>
            </w:pPr>
          </w:p>
        </w:tc>
        <w:tc>
          <w:tcPr>
            <w:tcW w:w="560" w:type="dxa"/>
            <w:vAlign w:val="bottom"/>
            <w:shd w:val="clear" w:color="auto" w:fill="BDD6EE"/>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1,892-</w:t>
            </w:r>
          </w:p>
        </w:tc>
        <w:tc>
          <w:tcPr>
            <w:tcW w:w="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2,311-2,432</w:t>
            </w:r>
          </w:p>
        </w:tc>
        <w:tc>
          <w:tcPr>
            <w:tcW w:w="5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1,372</w:t>
            </w:r>
          </w:p>
        </w:tc>
        <w:tc>
          <w:tcPr>
            <w:tcW w:w="920" w:type="dxa"/>
            <w:vAlign w:val="bottom"/>
            <w:shd w:val="clear" w:color="auto" w:fill="BDD6EE"/>
          </w:tcPr>
          <w:p>
            <w:pPr>
              <w:spacing w:after="0"/>
              <w:rPr>
                <w:sz w:val="16"/>
                <w:szCs w:val="16"/>
                <w:color w:val="auto"/>
              </w:rPr>
            </w:pPr>
          </w:p>
        </w:tc>
        <w:tc>
          <w:tcPr>
            <w:tcW w:w="620" w:type="dxa"/>
            <w:vAlign w:val="bottom"/>
            <w:shd w:val="clear" w:color="auto" w:fill="BDD6EE"/>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618</w:t>
            </w:r>
          </w:p>
        </w:tc>
        <w:tc>
          <w:tcPr>
            <w:tcW w:w="860" w:type="dxa"/>
            <w:vAlign w:val="bottom"/>
            <w:shd w:val="clear" w:color="auto" w:fill="BDD6EE"/>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368-389</w:t>
            </w:r>
          </w:p>
        </w:tc>
        <w:tc>
          <w:tcPr>
            <w:tcW w:w="7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293-308</w:t>
            </w:r>
          </w:p>
        </w:tc>
        <w:tc>
          <w:tcPr>
            <w:tcW w:w="220" w:type="dxa"/>
            <w:vAlign w:val="bottom"/>
            <w:shd w:val="clear" w:color="auto" w:fill="BDD6EE"/>
          </w:tcPr>
          <w:p>
            <w:pPr>
              <w:spacing w:after="0"/>
              <w:rPr>
                <w:sz w:val="16"/>
                <w:szCs w:val="16"/>
                <w:color w:val="auto"/>
              </w:rPr>
            </w:pPr>
          </w:p>
        </w:tc>
        <w:tc>
          <w:tcPr>
            <w:tcW w:w="60" w:type="dxa"/>
            <w:vAlign w:val="bottom"/>
            <w:shd w:val="clear" w:color="auto" w:fill="BDD6E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0" w:type="dxa"/>
            <w:vAlign w:val="bottom"/>
            <w:tcBorders>
              <w:bottom w:val="single" w:sz="8" w:color="auto"/>
            </w:tcBorders>
            <w:shd w:val="clear" w:color="auto" w:fill="BDD6EE"/>
          </w:tcPr>
          <w:p>
            <w:pPr>
              <w:spacing w:after="0"/>
              <w:rPr>
                <w:sz w:val="10"/>
                <w:szCs w:val="10"/>
                <w:color w:val="auto"/>
              </w:rPr>
            </w:pPr>
          </w:p>
        </w:tc>
        <w:tc>
          <w:tcPr>
            <w:tcW w:w="1700" w:type="dxa"/>
            <w:vAlign w:val="bottom"/>
            <w:tcBorders>
              <w:bottom w:val="single" w:sz="8" w:color="auto"/>
              <w:right w:val="single" w:sz="8" w:color="auto"/>
            </w:tcBorders>
            <w:shd w:val="clear" w:color="auto" w:fill="BDD6EE"/>
          </w:tcPr>
          <w:p>
            <w:pPr>
              <w:spacing w:after="0"/>
              <w:rPr>
                <w:sz w:val="10"/>
                <w:szCs w:val="10"/>
                <w:color w:val="auto"/>
              </w:rPr>
            </w:pPr>
          </w:p>
        </w:tc>
        <w:tc>
          <w:tcPr>
            <w:tcW w:w="460" w:type="dxa"/>
            <w:vAlign w:val="bottom"/>
            <w:tcBorders>
              <w:bottom w:val="single" w:sz="8" w:color="auto"/>
            </w:tcBorders>
            <w:shd w:val="clear" w:color="auto" w:fill="BDD6EE"/>
          </w:tcPr>
          <w:p>
            <w:pPr>
              <w:spacing w:after="0"/>
              <w:rPr>
                <w:sz w:val="10"/>
                <w:szCs w:val="10"/>
                <w:color w:val="auto"/>
              </w:rPr>
            </w:pPr>
          </w:p>
        </w:tc>
        <w:tc>
          <w:tcPr>
            <w:tcW w:w="620" w:type="dxa"/>
            <w:vAlign w:val="bottom"/>
            <w:tcBorders>
              <w:bottom w:val="single" w:sz="8" w:color="auto"/>
            </w:tcBorders>
            <w:shd w:val="clear" w:color="auto" w:fill="BDD6EE"/>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4,569</w:t>
            </w:r>
          </w:p>
        </w:tc>
        <w:tc>
          <w:tcPr>
            <w:tcW w:w="940" w:type="dxa"/>
            <w:vAlign w:val="bottom"/>
            <w:tcBorders>
              <w:bottom w:val="single" w:sz="8" w:color="auto"/>
              <w:right w:val="single" w:sz="8" w:color="auto"/>
            </w:tcBorders>
            <w:shd w:val="clear" w:color="auto" w:fill="BDD6EE"/>
          </w:tcPr>
          <w:p>
            <w:pPr>
              <w:spacing w:after="0"/>
              <w:rPr>
                <w:sz w:val="10"/>
                <w:szCs w:val="10"/>
                <w:color w:val="auto"/>
              </w:rPr>
            </w:pPr>
          </w:p>
        </w:tc>
        <w:tc>
          <w:tcPr>
            <w:tcW w:w="600" w:type="dxa"/>
            <w:vAlign w:val="bottom"/>
            <w:tcBorders>
              <w:bottom w:val="single" w:sz="8" w:color="auto"/>
            </w:tcBorders>
            <w:shd w:val="clear" w:color="auto" w:fill="BDD6EE"/>
          </w:tcPr>
          <w:p>
            <w:pPr>
              <w:spacing w:after="0"/>
              <w:rPr>
                <w:sz w:val="10"/>
                <w:szCs w:val="10"/>
                <w:color w:val="auto"/>
              </w:rPr>
            </w:pPr>
          </w:p>
        </w:tc>
        <w:tc>
          <w:tcPr>
            <w:tcW w:w="560" w:type="dxa"/>
            <w:vAlign w:val="bottom"/>
            <w:tcBorders>
              <w:bottom w:val="single" w:sz="8" w:color="auto"/>
            </w:tcBorders>
            <w:shd w:val="clear" w:color="auto" w:fill="BDD6EE"/>
          </w:tcPr>
          <w:p>
            <w:pPr>
              <w:spacing w:after="0"/>
              <w:rPr>
                <w:sz w:val="10"/>
                <w:szCs w:val="10"/>
                <w:color w:val="auto"/>
              </w:rPr>
            </w:pPr>
          </w:p>
        </w:tc>
        <w:tc>
          <w:tcPr>
            <w:tcW w:w="1100" w:type="dxa"/>
            <w:vAlign w:val="bottom"/>
            <w:tcBorders>
              <w:bottom w:val="single" w:sz="8" w:color="auto"/>
            </w:tcBorders>
            <w:shd w:val="clear" w:color="auto" w:fill="BDD6EE"/>
          </w:tcPr>
          <w:p>
            <w:pPr>
              <w:spacing w:after="0"/>
              <w:rPr>
                <w:sz w:val="10"/>
                <w:szCs w:val="10"/>
                <w:color w:val="auto"/>
              </w:rPr>
            </w:pPr>
          </w:p>
        </w:tc>
        <w:tc>
          <w:tcPr>
            <w:tcW w:w="560" w:type="dxa"/>
            <w:vAlign w:val="bottom"/>
            <w:tcBorders>
              <w:bottom w:val="single" w:sz="8" w:color="auto"/>
            </w:tcBorders>
            <w:shd w:val="clear" w:color="auto" w:fill="BDD6EE"/>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1,990</w:t>
            </w:r>
          </w:p>
        </w:tc>
        <w:tc>
          <w:tcPr>
            <w:tcW w:w="600" w:type="dxa"/>
            <w:vAlign w:val="bottom"/>
            <w:tcBorders>
              <w:bottom w:val="single" w:sz="8" w:color="auto"/>
            </w:tcBorders>
            <w:shd w:val="clear" w:color="auto" w:fill="BDD6EE"/>
          </w:tcPr>
          <w:p>
            <w:pPr>
              <w:spacing w:after="0"/>
              <w:rPr>
                <w:sz w:val="10"/>
                <w:szCs w:val="10"/>
                <w:color w:val="auto"/>
              </w:rPr>
            </w:pPr>
          </w:p>
        </w:tc>
        <w:tc>
          <w:tcPr>
            <w:tcW w:w="520" w:type="dxa"/>
            <w:vAlign w:val="bottom"/>
            <w:tcBorders>
              <w:bottom w:val="single" w:sz="8" w:color="auto"/>
            </w:tcBorders>
            <w:shd w:val="clear" w:color="auto" w:fill="BDD6EE"/>
          </w:tcPr>
          <w:p>
            <w:pPr>
              <w:spacing w:after="0"/>
              <w:rPr>
                <w:sz w:val="10"/>
                <w:szCs w:val="10"/>
                <w:color w:val="auto"/>
              </w:rPr>
            </w:pPr>
          </w:p>
        </w:tc>
        <w:tc>
          <w:tcPr>
            <w:tcW w:w="920" w:type="dxa"/>
            <w:vAlign w:val="bottom"/>
            <w:tcBorders>
              <w:bottom w:val="single" w:sz="8" w:color="auto"/>
            </w:tcBorders>
            <w:shd w:val="clear" w:color="auto" w:fill="BDD6EE"/>
          </w:tcPr>
          <w:p>
            <w:pPr>
              <w:spacing w:after="0"/>
              <w:rPr>
                <w:sz w:val="10"/>
                <w:szCs w:val="10"/>
                <w:color w:val="auto"/>
              </w:rPr>
            </w:pPr>
          </w:p>
        </w:tc>
        <w:tc>
          <w:tcPr>
            <w:tcW w:w="620" w:type="dxa"/>
            <w:vAlign w:val="bottom"/>
            <w:tcBorders>
              <w:bottom w:val="single" w:sz="8" w:color="auto"/>
            </w:tcBorders>
            <w:shd w:val="clear" w:color="auto" w:fill="BDD6EE"/>
          </w:tcPr>
          <w:p>
            <w:pPr>
              <w:spacing w:after="0"/>
              <w:rPr>
                <w:sz w:val="10"/>
                <w:szCs w:val="10"/>
                <w:color w:val="auto"/>
              </w:rPr>
            </w:pPr>
          </w:p>
        </w:tc>
        <w:tc>
          <w:tcPr>
            <w:tcW w:w="860" w:type="dxa"/>
            <w:vAlign w:val="bottom"/>
            <w:tcBorders>
              <w:bottom w:val="single" w:sz="8" w:color="auto"/>
            </w:tcBorders>
            <w:shd w:val="clear" w:color="auto" w:fill="BDD6EE"/>
          </w:tcPr>
          <w:p>
            <w:pPr>
              <w:spacing w:after="0"/>
              <w:rPr>
                <w:sz w:val="10"/>
                <w:szCs w:val="10"/>
                <w:color w:val="auto"/>
              </w:rPr>
            </w:pPr>
          </w:p>
        </w:tc>
        <w:tc>
          <w:tcPr>
            <w:tcW w:w="700" w:type="dxa"/>
            <w:vAlign w:val="bottom"/>
            <w:tcBorders>
              <w:bottom w:val="single" w:sz="8" w:color="auto"/>
            </w:tcBorders>
            <w:shd w:val="clear" w:color="auto" w:fill="BDD6EE"/>
          </w:tcPr>
          <w:p>
            <w:pPr>
              <w:spacing w:after="0"/>
              <w:rPr>
                <w:sz w:val="10"/>
                <w:szCs w:val="10"/>
                <w:color w:val="auto"/>
              </w:rPr>
            </w:pPr>
          </w:p>
        </w:tc>
        <w:tc>
          <w:tcPr>
            <w:tcW w:w="220" w:type="dxa"/>
            <w:vAlign w:val="bottom"/>
            <w:tcBorders>
              <w:bottom w:val="single" w:sz="8" w:color="auto"/>
            </w:tcBorders>
            <w:shd w:val="clear" w:color="auto" w:fill="BDD6EE"/>
          </w:tcPr>
          <w:p>
            <w:pPr>
              <w:spacing w:after="0"/>
              <w:rPr>
                <w:sz w:val="10"/>
                <w:szCs w:val="10"/>
                <w:color w:val="auto"/>
              </w:rPr>
            </w:pPr>
          </w:p>
        </w:tc>
        <w:tc>
          <w:tcPr>
            <w:tcW w:w="60" w:type="dxa"/>
            <w:vAlign w:val="bottom"/>
            <w:tcBorders>
              <w:bottom w:val="single" w:sz="8" w:color="auto"/>
            </w:tcBorders>
            <w:shd w:val="clear" w:color="auto" w:fill="BDD6E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9"/>
              </w:rPr>
              <w:t>Unconsolidated Projects at share*******</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Israel</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13/274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Q1 2026- Q1 2027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63-66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63-66</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15%-20%</w:t>
            </w:r>
          </w:p>
        </w:tc>
        <w:tc>
          <w:tcPr>
            <w:tcW w:w="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48</w:t>
            </w:r>
          </w:p>
        </w:tc>
        <w:tc>
          <w:tcPr>
            <w:tcW w:w="8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10-11</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88"/>
        </w:trPr>
        <w:tc>
          <w:tcPr>
            <w:tcW w:w="320" w:type="dxa"/>
            <w:vAlign w:val="bottom"/>
            <w:tcBorders>
              <w:bottom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 w:type="dxa"/>
            <w:vAlign w:val="bottom"/>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700" w:type="dxa"/>
            <w:vAlign w:val="bottom"/>
            <w:tcBorders>
              <w:right w:val="single" w:sz="8" w:color="auto"/>
            </w:tcBorders>
            <w:shd w:val="clear" w:color="auto" w:fill="BDD6EE"/>
          </w:tcPr>
          <w:p>
            <w:pPr>
              <w:spacing w:after="0"/>
              <w:rPr>
                <w:sz w:val="16"/>
                <w:szCs w:val="16"/>
                <w:color w:val="auto"/>
              </w:rPr>
            </w:pPr>
          </w:p>
        </w:tc>
        <w:tc>
          <w:tcPr>
            <w:tcW w:w="460" w:type="dxa"/>
            <w:vAlign w:val="bottom"/>
            <w:shd w:val="clear" w:color="auto" w:fill="BDD6EE"/>
          </w:tcPr>
          <w:p>
            <w:pPr>
              <w:spacing w:after="0"/>
              <w:rPr>
                <w:sz w:val="16"/>
                <w:szCs w:val="16"/>
                <w:color w:val="auto"/>
              </w:rPr>
            </w:pPr>
          </w:p>
        </w:tc>
        <w:tc>
          <w:tcPr>
            <w:tcW w:w="6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2,122/</w:t>
            </w:r>
          </w:p>
        </w:tc>
        <w:tc>
          <w:tcPr>
            <w:tcW w:w="940" w:type="dxa"/>
            <w:vAlign w:val="bottom"/>
            <w:tcBorders>
              <w:right w:val="single" w:sz="8" w:color="auto"/>
            </w:tcBorders>
            <w:shd w:val="clear" w:color="auto" w:fill="BDD6EE"/>
          </w:tcPr>
          <w:p>
            <w:pPr>
              <w:spacing w:after="0"/>
              <w:rPr>
                <w:sz w:val="16"/>
                <w:szCs w:val="16"/>
                <w:color w:val="auto"/>
              </w:rPr>
            </w:pPr>
          </w:p>
        </w:tc>
        <w:tc>
          <w:tcPr>
            <w:tcW w:w="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4,266-4,488</w:t>
            </w:r>
          </w:p>
        </w:tc>
        <w:tc>
          <w:tcPr>
            <w:tcW w:w="560" w:type="dxa"/>
            <w:vAlign w:val="bottom"/>
            <w:shd w:val="clear" w:color="auto" w:fill="BDD6EE"/>
          </w:tcPr>
          <w:p>
            <w:pPr>
              <w:spacing w:after="0"/>
              <w:rPr>
                <w:sz w:val="16"/>
                <w:szCs w:val="16"/>
                <w:color w:val="auto"/>
              </w:rPr>
            </w:pPr>
          </w:p>
        </w:tc>
        <w:tc>
          <w:tcPr>
            <w:tcW w:w="1100" w:type="dxa"/>
            <w:vAlign w:val="bottom"/>
            <w:shd w:val="clear" w:color="auto" w:fill="BDD6EE"/>
          </w:tcPr>
          <w:p>
            <w:pPr>
              <w:spacing w:after="0"/>
              <w:rPr>
                <w:sz w:val="16"/>
                <w:szCs w:val="16"/>
                <w:color w:val="auto"/>
              </w:rPr>
            </w:pPr>
          </w:p>
        </w:tc>
        <w:tc>
          <w:tcPr>
            <w:tcW w:w="560" w:type="dxa"/>
            <w:vAlign w:val="bottom"/>
            <w:shd w:val="clear" w:color="auto" w:fill="BDD6EE"/>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1,892-</w:t>
            </w:r>
          </w:p>
        </w:tc>
        <w:tc>
          <w:tcPr>
            <w:tcW w:w="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2,374-2,498</w:t>
            </w:r>
          </w:p>
        </w:tc>
        <w:tc>
          <w:tcPr>
            <w:tcW w:w="5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1,420</w:t>
            </w:r>
          </w:p>
        </w:tc>
        <w:tc>
          <w:tcPr>
            <w:tcW w:w="920" w:type="dxa"/>
            <w:vAlign w:val="bottom"/>
            <w:shd w:val="clear" w:color="auto" w:fill="BDD6EE"/>
          </w:tcPr>
          <w:p>
            <w:pPr>
              <w:spacing w:after="0"/>
              <w:rPr>
                <w:sz w:val="16"/>
                <w:szCs w:val="16"/>
                <w:color w:val="auto"/>
              </w:rPr>
            </w:pPr>
          </w:p>
        </w:tc>
        <w:tc>
          <w:tcPr>
            <w:tcW w:w="620" w:type="dxa"/>
            <w:vAlign w:val="bottom"/>
            <w:shd w:val="clear" w:color="auto" w:fill="BDD6EE"/>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666</w:t>
            </w:r>
          </w:p>
        </w:tc>
        <w:tc>
          <w:tcPr>
            <w:tcW w:w="860" w:type="dxa"/>
            <w:vAlign w:val="bottom"/>
            <w:shd w:val="clear" w:color="auto" w:fill="BDD6EE"/>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378-400</w:t>
            </w:r>
          </w:p>
        </w:tc>
        <w:tc>
          <w:tcPr>
            <w:tcW w:w="7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299-316</w:t>
            </w:r>
          </w:p>
        </w:tc>
        <w:tc>
          <w:tcPr>
            <w:tcW w:w="220" w:type="dxa"/>
            <w:vAlign w:val="bottom"/>
            <w:shd w:val="clear" w:color="auto" w:fill="BDD6EE"/>
          </w:tcPr>
          <w:p>
            <w:pPr>
              <w:spacing w:after="0"/>
              <w:rPr>
                <w:sz w:val="16"/>
                <w:szCs w:val="16"/>
                <w:color w:val="auto"/>
              </w:rPr>
            </w:pPr>
          </w:p>
        </w:tc>
        <w:tc>
          <w:tcPr>
            <w:tcW w:w="60" w:type="dxa"/>
            <w:vAlign w:val="bottom"/>
            <w:shd w:val="clear" w:color="auto" w:fill="BDD6E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0" w:type="dxa"/>
            <w:vAlign w:val="bottom"/>
            <w:tcBorders>
              <w:bottom w:val="single" w:sz="8" w:color="auto"/>
            </w:tcBorders>
            <w:shd w:val="clear" w:color="auto" w:fill="BDD6EE"/>
          </w:tcPr>
          <w:p>
            <w:pPr>
              <w:spacing w:after="0"/>
              <w:rPr>
                <w:sz w:val="10"/>
                <w:szCs w:val="10"/>
                <w:color w:val="auto"/>
              </w:rPr>
            </w:pPr>
          </w:p>
        </w:tc>
        <w:tc>
          <w:tcPr>
            <w:tcW w:w="1700" w:type="dxa"/>
            <w:vAlign w:val="bottom"/>
            <w:tcBorders>
              <w:bottom w:val="single" w:sz="8" w:color="auto"/>
              <w:right w:val="single" w:sz="8" w:color="auto"/>
            </w:tcBorders>
            <w:shd w:val="clear" w:color="auto" w:fill="BDD6EE"/>
          </w:tcPr>
          <w:p>
            <w:pPr>
              <w:spacing w:after="0"/>
              <w:rPr>
                <w:sz w:val="10"/>
                <w:szCs w:val="10"/>
                <w:color w:val="auto"/>
              </w:rPr>
            </w:pPr>
          </w:p>
        </w:tc>
        <w:tc>
          <w:tcPr>
            <w:tcW w:w="460" w:type="dxa"/>
            <w:vAlign w:val="bottom"/>
            <w:tcBorders>
              <w:bottom w:val="single" w:sz="8" w:color="auto"/>
            </w:tcBorders>
            <w:shd w:val="clear" w:color="auto" w:fill="BDD6EE"/>
          </w:tcPr>
          <w:p>
            <w:pPr>
              <w:spacing w:after="0"/>
              <w:rPr>
                <w:sz w:val="10"/>
                <w:szCs w:val="10"/>
                <w:color w:val="auto"/>
              </w:rPr>
            </w:pPr>
          </w:p>
        </w:tc>
        <w:tc>
          <w:tcPr>
            <w:tcW w:w="620" w:type="dxa"/>
            <w:vAlign w:val="bottom"/>
            <w:tcBorders>
              <w:bottom w:val="single" w:sz="8" w:color="auto"/>
            </w:tcBorders>
            <w:shd w:val="clear" w:color="auto" w:fill="BDD6EE"/>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4,843</w:t>
            </w:r>
          </w:p>
        </w:tc>
        <w:tc>
          <w:tcPr>
            <w:tcW w:w="940" w:type="dxa"/>
            <w:vAlign w:val="bottom"/>
            <w:tcBorders>
              <w:bottom w:val="single" w:sz="8" w:color="auto"/>
              <w:right w:val="single" w:sz="8" w:color="auto"/>
            </w:tcBorders>
            <w:shd w:val="clear" w:color="auto" w:fill="BDD6EE"/>
          </w:tcPr>
          <w:p>
            <w:pPr>
              <w:spacing w:after="0"/>
              <w:rPr>
                <w:sz w:val="10"/>
                <w:szCs w:val="10"/>
                <w:color w:val="auto"/>
              </w:rPr>
            </w:pPr>
          </w:p>
        </w:tc>
        <w:tc>
          <w:tcPr>
            <w:tcW w:w="600" w:type="dxa"/>
            <w:vAlign w:val="bottom"/>
            <w:tcBorders>
              <w:bottom w:val="single" w:sz="8" w:color="auto"/>
            </w:tcBorders>
            <w:shd w:val="clear" w:color="auto" w:fill="BDD6EE"/>
          </w:tcPr>
          <w:p>
            <w:pPr>
              <w:spacing w:after="0"/>
              <w:rPr>
                <w:sz w:val="10"/>
                <w:szCs w:val="10"/>
                <w:color w:val="auto"/>
              </w:rPr>
            </w:pPr>
          </w:p>
        </w:tc>
        <w:tc>
          <w:tcPr>
            <w:tcW w:w="560" w:type="dxa"/>
            <w:vAlign w:val="bottom"/>
            <w:tcBorders>
              <w:bottom w:val="single" w:sz="8" w:color="auto"/>
            </w:tcBorders>
            <w:shd w:val="clear" w:color="auto" w:fill="BDD6EE"/>
          </w:tcPr>
          <w:p>
            <w:pPr>
              <w:spacing w:after="0"/>
              <w:rPr>
                <w:sz w:val="10"/>
                <w:szCs w:val="10"/>
                <w:color w:val="auto"/>
              </w:rPr>
            </w:pPr>
          </w:p>
        </w:tc>
        <w:tc>
          <w:tcPr>
            <w:tcW w:w="1100" w:type="dxa"/>
            <w:vAlign w:val="bottom"/>
            <w:tcBorders>
              <w:bottom w:val="single" w:sz="8" w:color="auto"/>
            </w:tcBorders>
            <w:shd w:val="clear" w:color="auto" w:fill="BDD6EE"/>
          </w:tcPr>
          <w:p>
            <w:pPr>
              <w:spacing w:after="0"/>
              <w:rPr>
                <w:sz w:val="10"/>
                <w:szCs w:val="10"/>
                <w:color w:val="auto"/>
              </w:rPr>
            </w:pPr>
          </w:p>
        </w:tc>
        <w:tc>
          <w:tcPr>
            <w:tcW w:w="560" w:type="dxa"/>
            <w:vAlign w:val="bottom"/>
            <w:tcBorders>
              <w:bottom w:val="single" w:sz="8" w:color="auto"/>
            </w:tcBorders>
            <w:shd w:val="clear" w:color="auto" w:fill="BDD6EE"/>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1,990</w:t>
            </w:r>
          </w:p>
        </w:tc>
        <w:tc>
          <w:tcPr>
            <w:tcW w:w="600" w:type="dxa"/>
            <w:vAlign w:val="bottom"/>
            <w:tcBorders>
              <w:bottom w:val="single" w:sz="8" w:color="auto"/>
            </w:tcBorders>
            <w:shd w:val="clear" w:color="auto" w:fill="BDD6EE"/>
          </w:tcPr>
          <w:p>
            <w:pPr>
              <w:spacing w:after="0"/>
              <w:rPr>
                <w:sz w:val="10"/>
                <w:szCs w:val="10"/>
                <w:color w:val="auto"/>
              </w:rPr>
            </w:pPr>
          </w:p>
        </w:tc>
        <w:tc>
          <w:tcPr>
            <w:tcW w:w="520" w:type="dxa"/>
            <w:vAlign w:val="bottom"/>
            <w:tcBorders>
              <w:bottom w:val="single" w:sz="8" w:color="auto"/>
            </w:tcBorders>
            <w:shd w:val="clear" w:color="auto" w:fill="BDD6EE"/>
          </w:tcPr>
          <w:p>
            <w:pPr>
              <w:spacing w:after="0"/>
              <w:rPr>
                <w:sz w:val="10"/>
                <w:szCs w:val="10"/>
                <w:color w:val="auto"/>
              </w:rPr>
            </w:pPr>
          </w:p>
        </w:tc>
        <w:tc>
          <w:tcPr>
            <w:tcW w:w="920" w:type="dxa"/>
            <w:vAlign w:val="bottom"/>
            <w:tcBorders>
              <w:bottom w:val="single" w:sz="8" w:color="auto"/>
            </w:tcBorders>
            <w:shd w:val="clear" w:color="auto" w:fill="BDD6EE"/>
          </w:tcPr>
          <w:p>
            <w:pPr>
              <w:spacing w:after="0"/>
              <w:rPr>
                <w:sz w:val="10"/>
                <w:szCs w:val="10"/>
                <w:color w:val="auto"/>
              </w:rPr>
            </w:pPr>
          </w:p>
        </w:tc>
        <w:tc>
          <w:tcPr>
            <w:tcW w:w="620" w:type="dxa"/>
            <w:vAlign w:val="bottom"/>
            <w:tcBorders>
              <w:bottom w:val="single" w:sz="8" w:color="auto"/>
            </w:tcBorders>
            <w:shd w:val="clear" w:color="auto" w:fill="BDD6EE"/>
          </w:tcPr>
          <w:p>
            <w:pPr>
              <w:spacing w:after="0"/>
              <w:rPr>
                <w:sz w:val="10"/>
                <w:szCs w:val="10"/>
                <w:color w:val="auto"/>
              </w:rPr>
            </w:pPr>
          </w:p>
        </w:tc>
        <w:tc>
          <w:tcPr>
            <w:tcW w:w="860" w:type="dxa"/>
            <w:vAlign w:val="bottom"/>
            <w:tcBorders>
              <w:bottom w:val="single" w:sz="8" w:color="auto"/>
            </w:tcBorders>
            <w:shd w:val="clear" w:color="auto" w:fill="BDD6EE"/>
          </w:tcPr>
          <w:p>
            <w:pPr>
              <w:spacing w:after="0"/>
              <w:rPr>
                <w:sz w:val="10"/>
                <w:szCs w:val="10"/>
                <w:color w:val="auto"/>
              </w:rPr>
            </w:pPr>
          </w:p>
        </w:tc>
        <w:tc>
          <w:tcPr>
            <w:tcW w:w="700" w:type="dxa"/>
            <w:vAlign w:val="bottom"/>
            <w:tcBorders>
              <w:bottom w:val="single" w:sz="8" w:color="auto"/>
            </w:tcBorders>
            <w:shd w:val="clear" w:color="auto" w:fill="BDD6EE"/>
          </w:tcPr>
          <w:p>
            <w:pPr>
              <w:spacing w:after="0"/>
              <w:rPr>
                <w:sz w:val="10"/>
                <w:szCs w:val="10"/>
                <w:color w:val="auto"/>
              </w:rPr>
            </w:pPr>
          </w:p>
        </w:tc>
        <w:tc>
          <w:tcPr>
            <w:tcW w:w="220" w:type="dxa"/>
            <w:vAlign w:val="bottom"/>
            <w:tcBorders>
              <w:bottom w:val="single" w:sz="8" w:color="auto"/>
            </w:tcBorders>
            <w:shd w:val="clear" w:color="auto" w:fill="BDD6EE"/>
          </w:tcPr>
          <w:p>
            <w:pPr>
              <w:spacing w:after="0"/>
              <w:rPr>
                <w:sz w:val="10"/>
                <w:szCs w:val="10"/>
                <w:color w:val="auto"/>
              </w:rPr>
            </w:pPr>
          </w:p>
        </w:tc>
        <w:tc>
          <w:tcPr>
            <w:tcW w:w="60" w:type="dxa"/>
            <w:vAlign w:val="bottom"/>
            <w:tcBorders>
              <w:bottom w:val="single" w:sz="8" w:color="auto"/>
            </w:tcBorders>
            <w:shd w:val="clear" w:color="auto" w:fill="BDD6E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3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278" w:right="239" w:bottom="1440" w:gutter="0" w:footer="0" w:header="0"/>
        </w:sectPr>
      </w:pPr>
    </w:p>
    <w:bookmarkStart w:id="30" w:name="page31"/>
    <w:bookmarkEnd w:id="30"/>
    <w:p>
      <w:pPr>
        <w:ind w:left="408" w:hanging="408"/>
        <w:spacing w:after="0"/>
        <w:tabs>
          <w:tab w:leader="none" w:pos="408"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Pre-Construction Projects (due to commence construction within 12 months of the Approval Date)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2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 millions)</w:t>
            </w:r>
          </w:p>
        </w:tc>
        <w:tc>
          <w:tcPr>
            <w:tcW w:w="700" w:type="dxa"/>
            <w:vAlign w:val="bottom"/>
            <w:shd w:val="clear" w:color="auto" w:fill="2E74B5"/>
          </w:tcPr>
          <w:p>
            <w:pPr>
              <w:spacing w:after="0"/>
              <w:rPr>
                <w:sz w:val="13"/>
                <w:szCs w:val="13"/>
                <w:color w:val="auto"/>
              </w:rPr>
            </w:pPr>
          </w:p>
        </w:tc>
        <w:tc>
          <w:tcPr>
            <w:tcW w:w="7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Generation</w:t>
            </w:r>
          </w:p>
        </w:tc>
        <w:tc>
          <w:tcPr>
            <w:tcW w:w="500" w:type="dxa"/>
            <w:vAlign w:val="bottom"/>
            <w:tcBorders>
              <w:right w:val="single" w:sz="8" w:color="2E74B5"/>
            </w:tcBorders>
            <w:shd w:val="clear" w:color="auto" w:fill="2E74B5"/>
          </w:tcPr>
          <w:p>
            <w:pPr>
              <w:spacing w:after="0"/>
              <w:rPr>
                <w:sz w:val="13"/>
                <w:szCs w:val="13"/>
                <w:color w:val="auto"/>
              </w:rPr>
            </w:pPr>
          </w:p>
        </w:tc>
        <w:tc>
          <w:tcPr>
            <w:tcW w:w="66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1540" w:type="dxa"/>
            <w:vAlign w:val="bottom"/>
            <w:tcBorders>
              <w:right w:val="single" w:sz="8" w:color="2E74B5"/>
            </w:tcBorders>
            <w:gridSpan w:val="2"/>
            <w:shd w:val="clear" w:color="auto" w:fill="2E74B5"/>
          </w:tcPr>
          <w:p>
            <w:pPr>
              <w:ind w:left="300"/>
              <w:spacing w:after="0"/>
              <w:rPr>
                <w:sz w:val="20"/>
                <w:szCs w:val="20"/>
                <w:color w:val="auto"/>
              </w:rPr>
            </w:pPr>
            <w:r>
              <w:rPr>
                <w:rFonts w:ascii="Times New Roman" w:cs="Times New Roman" w:eastAsia="Times New Roman" w:hAnsi="Times New Roman"/>
                <w:sz w:val="12"/>
                <w:szCs w:val="12"/>
                <w:color w:val="FFFFFF"/>
              </w:rPr>
              <w:t>Tax Credit Benefit</w:t>
            </w:r>
          </w:p>
        </w:tc>
        <w:tc>
          <w:tcPr>
            <w:tcW w:w="720" w:type="dxa"/>
            <w:vAlign w:val="bottom"/>
            <w:shd w:val="clear" w:color="auto" w:fill="2E74B5"/>
          </w:tcPr>
          <w:p>
            <w:pPr>
              <w:spacing w:after="0"/>
              <w:rPr>
                <w:sz w:val="13"/>
                <w:szCs w:val="13"/>
                <w:color w:val="auto"/>
              </w:rPr>
            </w:pPr>
          </w:p>
        </w:tc>
        <w:tc>
          <w:tcPr>
            <w:tcW w:w="60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740" w:type="dxa"/>
            <w:vAlign w:val="bottom"/>
            <w:vMerge w:val="restart"/>
            <w:shd w:val="clear" w:color="auto" w:fill="2E74B5"/>
          </w:tcPr>
          <w:p>
            <w:pPr>
              <w:jc w:val="right"/>
              <w:ind w:right="140"/>
              <w:spacing w:after="0"/>
              <w:rPr>
                <w:sz w:val="20"/>
                <w:szCs w:val="20"/>
                <w:color w:val="auto"/>
              </w:rPr>
            </w:pPr>
            <w:r>
              <w:rPr>
                <w:rFonts w:ascii="Times New Roman" w:cs="Times New Roman" w:eastAsia="Times New Roman" w:hAnsi="Times New Roman"/>
                <w:sz w:val="12"/>
                <w:szCs w:val="12"/>
                <w:color w:val="FFFFFF"/>
              </w:rPr>
              <w:t>Capital</w:t>
            </w: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Equity</w:t>
            </w:r>
          </w:p>
        </w:tc>
        <w:tc>
          <w:tcPr>
            <w:tcW w:w="740" w:type="dxa"/>
            <w:vAlign w:val="bottom"/>
            <w:vMerge w:val="restart"/>
            <w:shd w:val="clear" w:color="auto" w:fill="2E74B5"/>
          </w:tcPr>
          <w:p>
            <w:pPr>
              <w:ind w:left="220"/>
              <w:spacing w:after="0"/>
              <w:rPr>
                <w:sz w:val="20"/>
                <w:szCs w:val="20"/>
                <w:color w:val="auto"/>
              </w:rPr>
            </w:pPr>
            <w:r>
              <w:rPr>
                <w:rFonts w:ascii="Times New Roman" w:cs="Times New Roman" w:eastAsia="Times New Roman" w:hAnsi="Times New Roman"/>
                <w:sz w:val="12"/>
                <w:szCs w:val="12"/>
                <w:color w:val="FFFFFF"/>
              </w:rPr>
              <w:t>Equity</w:t>
            </w:r>
          </w:p>
        </w:tc>
        <w:tc>
          <w:tcPr>
            <w:tcW w:w="740" w:type="dxa"/>
            <w:vAlign w:val="bottom"/>
            <w:shd w:val="clear" w:color="auto" w:fill="2E74B5"/>
          </w:tcPr>
          <w:p>
            <w:pPr>
              <w:spacing w:after="0"/>
              <w:rPr>
                <w:sz w:val="13"/>
                <w:szCs w:val="13"/>
                <w:color w:val="auto"/>
              </w:rPr>
            </w:pPr>
          </w:p>
        </w:tc>
        <w:tc>
          <w:tcPr>
            <w:tcW w:w="960" w:type="dxa"/>
            <w:vAlign w:val="bottom"/>
            <w:shd w:val="clear" w:color="auto" w:fill="2E74B5"/>
          </w:tcPr>
          <w:p>
            <w:pPr>
              <w:spacing w:after="0"/>
              <w:rPr>
                <w:sz w:val="13"/>
                <w:szCs w:val="13"/>
                <w:color w:val="auto"/>
              </w:rPr>
            </w:pPr>
          </w:p>
        </w:tc>
        <w:tc>
          <w:tcPr>
            <w:tcW w:w="800" w:type="dxa"/>
            <w:vAlign w:val="bottom"/>
            <w:shd w:val="clear" w:color="auto" w:fill="2E74B5"/>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40" w:type="dxa"/>
            <w:vAlign w:val="bottom"/>
            <w:tcBorders>
              <w:right w:val="single" w:sz="8" w:color="2E74B5"/>
            </w:tcBorders>
            <w:vMerge w:val="continue"/>
            <w:shd w:val="clear" w:color="auto" w:fill="2E74B5"/>
          </w:tcPr>
          <w:p>
            <w:pPr>
              <w:spacing w:after="0"/>
              <w:rPr>
                <w:sz w:val="12"/>
                <w:szCs w:val="12"/>
                <w:color w:val="auto"/>
              </w:rPr>
            </w:pPr>
          </w:p>
        </w:tc>
        <w:tc>
          <w:tcPr>
            <w:tcW w:w="700" w:type="dxa"/>
            <w:vAlign w:val="bottom"/>
            <w:shd w:val="clear" w:color="auto" w:fill="2E74B5"/>
          </w:tcPr>
          <w:p>
            <w:pPr>
              <w:spacing w:after="0"/>
              <w:rPr>
                <w:sz w:val="12"/>
                <w:szCs w:val="12"/>
                <w:color w:val="auto"/>
              </w:rPr>
            </w:pPr>
          </w:p>
        </w:tc>
        <w:tc>
          <w:tcPr>
            <w:tcW w:w="740" w:type="dxa"/>
            <w:vAlign w:val="bottom"/>
            <w:tcBorders>
              <w:right w:val="single" w:sz="8" w:color="2E74B5"/>
            </w:tcBorders>
            <w:vMerge w:val="continue"/>
            <w:shd w:val="clear" w:color="auto" w:fill="2E74B5"/>
          </w:tcPr>
          <w:p>
            <w:pPr>
              <w:spacing w:after="0"/>
              <w:rPr>
                <w:sz w:val="12"/>
                <w:szCs w:val="12"/>
                <w:color w:val="auto"/>
              </w:rPr>
            </w:pPr>
          </w:p>
        </w:tc>
        <w:tc>
          <w:tcPr>
            <w:tcW w:w="500" w:type="dxa"/>
            <w:vAlign w:val="bottom"/>
            <w:tcBorders>
              <w:right w:val="single" w:sz="8" w:color="2E74B5"/>
            </w:tcBorders>
            <w:shd w:val="clear" w:color="auto" w:fill="2E74B5"/>
          </w:tcPr>
          <w:p>
            <w:pPr>
              <w:spacing w:after="0"/>
              <w:rPr>
                <w:sz w:val="12"/>
                <w:szCs w:val="12"/>
                <w:color w:val="auto"/>
              </w:rPr>
            </w:pPr>
          </w:p>
        </w:tc>
        <w:tc>
          <w:tcPr>
            <w:tcW w:w="660" w:type="dxa"/>
            <w:vAlign w:val="bottom"/>
            <w:tcBorders>
              <w:right w:val="single" w:sz="8" w:color="2E74B5"/>
            </w:tcBorders>
            <w:vMerge w:val="continue"/>
            <w:shd w:val="clear" w:color="auto" w:fill="2E74B5"/>
          </w:tcPr>
          <w:p>
            <w:pPr>
              <w:spacing w:after="0"/>
              <w:rPr>
                <w:sz w:val="12"/>
                <w:szCs w:val="12"/>
                <w:color w:val="auto"/>
              </w:rPr>
            </w:pPr>
          </w:p>
        </w:tc>
        <w:tc>
          <w:tcPr>
            <w:tcW w:w="680" w:type="dxa"/>
            <w:vAlign w:val="bottom"/>
            <w:shd w:val="clear" w:color="auto" w:fill="2E74B5"/>
          </w:tcPr>
          <w:p>
            <w:pPr>
              <w:spacing w:after="0"/>
              <w:rPr>
                <w:sz w:val="12"/>
                <w:szCs w:val="12"/>
                <w:color w:val="auto"/>
              </w:rPr>
            </w:pPr>
          </w:p>
        </w:tc>
        <w:tc>
          <w:tcPr>
            <w:tcW w:w="860" w:type="dxa"/>
            <w:vAlign w:val="bottom"/>
            <w:tcBorders>
              <w:right w:val="single" w:sz="8" w:color="2E74B5"/>
            </w:tcBorders>
            <w:shd w:val="clear" w:color="auto" w:fill="2E74B5"/>
          </w:tcPr>
          <w:p>
            <w:pPr>
              <w:spacing w:after="0"/>
              <w:rPr>
                <w:sz w:val="12"/>
                <w:szCs w:val="12"/>
                <w:color w:val="auto"/>
              </w:rPr>
            </w:pPr>
          </w:p>
        </w:tc>
        <w:tc>
          <w:tcPr>
            <w:tcW w:w="7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60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Project</w:t>
            </w:r>
          </w:p>
        </w:tc>
        <w:tc>
          <w:tcPr>
            <w:tcW w:w="740" w:type="dxa"/>
            <w:vAlign w:val="bottom"/>
            <w:vMerge w:val="continue"/>
            <w:shd w:val="clear" w:color="auto" w:fill="2E74B5"/>
          </w:tcPr>
          <w:p>
            <w:pPr>
              <w:spacing w:after="0"/>
              <w:rPr>
                <w:sz w:val="12"/>
                <w:szCs w:val="12"/>
                <w:color w:val="auto"/>
              </w:rPr>
            </w:pPr>
          </w:p>
        </w:tc>
        <w:tc>
          <w:tcPr>
            <w:tcW w:w="620" w:type="dxa"/>
            <w:vAlign w:val="bottom"/>
            <w:vMerge w:val="continue"/>
            <w:shd w:val="clear" w:color="auto" w:fill="2E74B5"/>
          </w:tcPr>
          <w:p>
            <w:pPr>
              <w:spacing w:after="0"/>
              <w:rPr>
                <w:sz w:val="12"/>
                <w:szCs w:val="12"/>
                <w:color w:val="auto"/>
              </w:rPr>
            </w:pPr>
          </w:p>
        </w:tc>
        <w:tc>
          <w:tcPr>
            <w:tcW w:w="740" w:type="dxa"/>
            <w:vAlign w:val="bottom"/>
            <w:vMerge w:val="continue"/>
            <w:shd w:val="clear" w:color="auto" w:fill="2E74B5"/>
          </w:tcPr>
          <w:p>
            <w:pPr>
              <w:spacing w:after="0"/>
              <w:rPr>
                <w:sz w:val="12"/>
                <w:szCs w:val="12"/>
                <w:color w:val="auto"/>
              </w:rPr>
            </w:pPr>
          </w:p>
        </w:tc>
        <w:tc>
          <w:tcPr>
            <w:tcW w:w="740" w:type="dxa"/>
            <w:vAlign w:val="bottom"/>
            <w:shd w:val="clear" w:color="auto" w:fill="2E74B5"/>
          </w:tcPr>
          <w:p>
            <w:pPr>
              <w:spacing w:after="0"/>
              <w:rPr>
                <w:sz w:val="12"/>
                <w:szCs w:val="12"/>
                <w:color w:val="auto"/>
              </w:rPr>
            </w:pPr>
          </w:p>
        </w:tc>
        <w:tc>
          <w:tcPr>
            <w:tcW w:w="960" w:type="dxa"/>
            <w:vAlign w:val="bottom"/>
            <w:shd w:val="clear" w:color="auto" w:fill="2E74B5"/>
          </w:tcPr>
          <w:p>
            <w:pPr>
              <w:spacing w:after="0"/>
              <w:rPr>
                <w:sz w:val="12"/>
                <w:szCs w:val="12"/>
                <w:color w:val="auto"/>
              </w:rPr>
            </w:pPr>
          </w:p>
        </w:tc>
        <w:tc>
          <w:tcPr>
            <w:tcW w:w="800" w:type="dxa"/>
            <w:vAlign w:val="bottom"/>
            <w:shd w:val="clear" w:color="auto" w:fill="2E74B5"/>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2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Consolidated Projects</w:t>
            </w:r>
          </w:p>
        </w:tc>
        <w:tc>
          <w:tcPr>
            <w:tcW w:w="70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6"/>
              </w:rPr>
              <w:t>Country</w:t>
            </w:r>
          </w:p>
        </w:tc>
        <w:tc>
          <w:tcPr>
            <w:tcW w:w="7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and energy</w:t>
            </w:r>
          </w:p>
        </w:tc>
        <w:tc>
          <w:tcPr>
            <w:tcW w:w="50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Est.</w:t>
            </w:r>
          </w:p>
        </w:tc>
        <w:tc>
          <w:tcPr>
            <w:tcW w:w="66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Project Cost</w:t>
            </w:r>
          </w:p>
        </w:tc>
        <w:tc>
          <w:tcPr>
            <w:tcW w:w="680" w:type="dxa"/>
            <w:vAlign w:val="bottom"/>
            <w:shd w:val="clear" w:color="auto" w:fill="2E74B5"/>
          </w:tcPr>
          <w:p>
            <w:pPr>
              <w:spacing w:after="0"/>
              <w:rPr>
                <w:sz w:val="8"/>
                <w:szCs w:val="8"/>
                <w:color w:val="auto"/>
              </w:rPr>
            </w:pPr>
          </w:p>
        </w:tc>
        <w:tc>
          <w:tcPr>
            <w:tcW w:w="860" w:type="dxa"/>
            <w:vAlign w:val="bottom"/>
            <w:tcBorders>
              <w:right w:val="single" w:sz="8" w:color="2E74B5"/>
            </w:tcBorders>
            <w:shd w:val="clear" w:color="auto" w:fill="2E74B5"/>
          </w:tcPr>
          <w:p>
            <w:pPr>
              <w:spacing w:after="0"/>
              <w:rPr>
                <w:sz w:val="8"/>
                <w:szCs w:val="8"/>
                <w:color w:val="auto"/>
              </w:rPr>
            </w:pPr>
          </w:p>
        </w:tc>
        <w:tc>
          <w:tcPr>
            <w:tcW w:w="720" w:type="dxa"/>
            <w:vAlign w:val="bottom"/>
            <w:vMerge w:val="continue"/>
            <w:shd w:val="clear" w:color="auto" w:fill="2E74B5"/>
          </w:tcPr>
          <w:p>
            <w:pPr>
              <w:spacing w:after="0"/>
              <w:rPr>
                <w:sz w:val="8"/>
                <w:szCs w:val="8"/>
                <w:color w:val="auto"/>
              </w:rPr>
            </w:pPr>
          </w:p>
        </w:tc>
        <w:tc>
          <w:tcPr>
            <w:tcW w:w="1340" w:type="dxa"/>
            <w:vAlign w:val="bottom"/>
            <w:gridSpan w:val="2"/>
            <w:vMerge w:val="restart"/>
            <w:shd w:val="clear" w:color="auto" w:fill="2E74B5"/>
          </w:tcPr>
          <w:p>
            <w:pPr>
              <w:jc w:val="right"/>
              <w:spacing w:after="0"/>
              <w:rPr>
                <w:sz w:val="20"/>
                <w:szCs w:val="20"/>
                <w:color w:val="auto"/>
              </w:rPr>
            </w:pPr>
            <w:r>
              <w:rPr>
                <w:rFonts w:ascii="Times New Roman" w:cs="Times New Roman" w:eastAsia="Times New Roman" w:hAnsi="Times New Roman"/>
                <w:sz w:val="12"/>
                <w:szCs w:val="12"/>
                <w:color w:val="FFFFFF"/>
              </w:rPr>
              <w:t>Cost net of Invested as of</w:t>
            </w: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Required</w:t>
            </w:r>
          </w:p>
        </w:tc>
        <w:tc>
          <w:tcPr>
            <w:tcW w:w="740" w:type="dxa"/>
            <w:vAlign w:val="bottom"/>
            <w:vMerge w:val="restart"/>
            <w:shd w:val="clear" w:color="auto" w:fill="2E74B5"/>
          </w:tcPr>
          <w:p>
            <w:pPr>
              <w:ind w:left="40"/>
              <w:spacing w:after="0"/>
              <w:rPr>
                <w:sz w:val="20"/>
                <w:szCs w:val="20"/>
                <w:color w:val="auto"/>
              </w:rPr>
            </w:pPr>
            <w:r>
              <w:rPr>
                <w:rFonts w:ascii="Times New Roman" w:cs="Times New Roman" w:eastAsia="Times New Roman" w:hAnsi="Times New Roman"/>
                <w:sz w:val="12"/>
                <w:szCs w:val="12"/>
                <w:color w:val="FFFFFF"/>
              </w:rPr>
              <w:t>Invested as of</w:t>
            </w:r>
          </w:p>
        </w:tc>
        <w:tc>
          <w:tcPr>
            <w:tcW w:w="740" w:type="dxa"/>
            <w:vAlign w:val="bottom"/>
            <w:vMerge w:val="restart"/>
            <w:shd w:val="clear" w:color="auto" w:fill="2E74B5"/>
          </w:tcPr>
          <w:p>
            <w:pPr>
              <w:ind w:left="40"/>
              <w:spacing w:after="0"/>
              <w:rPr>
                <w:sz w:val="20"/>
                <w:szCs w:val="20"/>
                <w:color w:val="auto"/>
              </w:rPr>
            </w:pPr>
            <w:r>
              <w:rPr>
                <w:rFonts w:ascii="Times New Roman" w:cs="Times New Roman" w:eastAsia="Times New Roman" w:hAnsi="Times New Roman"/>
                <w:sz w:val="12"/>
                <w:szCs w:val="12"/>
                <w:color w:val="FFFFFF"/>
              </w:rPr>
              <w:t>Est. First Full</w:t>
            </w:r>
          </w:p>
        </w:tc>
        <w:tc>
          <w:tcPr>
            <w:tcW w:w="96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Est. First Full Year</w:t>
            </w:r>
          </w:p>
        </w:tc>
        <w:tc>
          <w:tcPr>
            <w:tcW w:w="800" w:type="dxa"/>
            <w:vAlign w:val="bottom"/>
            <w:vMerge w:val="restart"/>
            <w:shd w:val="clear" w:color="auto" w:fill="2E74B5"/>
          </w:tcPr>
          <w:p>
            <w:pPr>
              <w:ind w:left="40"/>
              <w:spacing w:after="0"/>
              <w:rPr>
                <w:sz w:val="20"/>
                <w:szCs w:val="20"/>
                <w:color w:val="auto"/>
              </w:rPr>
            </w:pPr>
            <w:r>
              <w:rPr>
                <w:rFonts w:ascii="Times New Roman" w:cs="Times New Roman" w:eastAsia="Times New Roman" w:hAnsi="Times New Roman"/>
                <w:sz w:val="12"/>
                <w:szCs w:val="12"/>
                <w:color w:val="FFFFFF"/>
              </w:rPr>
              <w:t>Ownership %*</w:t>
            </w:r>
          </w:p>
        </w:tc>
        <w:tc>
          <w:tcPr>
            <w:tcW w:w="0" w:type="dxa"/>
            <w:vAlign w:val="bottom"/>
          </w:tcPr>
          <w:p>
            <w:pPr>
              <w:spacing w:after="0"/>
              <w:rPr>
                <w:sz w:val="1"/>
                <w:szCs w:val="1"/>
                <w:color w:val="auto"/>
              </w:rPr>
            </w:pPr>
          </w:p>
        </w:tc>
      </w:tr>
      <w:tr>
        <w:trPr>
          <w:trHeight w:val="54"/>
        </w:trPr>
        <w:tc>
          <w:tcPr>
            <w:tcW w:w="1240" w:type="dxa"/>
            <w:vAlign w:val="bottom"/>
            <w:tcBorders>
              <w:right w:val="single" w:sz="8" w:color="2E74B5"/>
            </w:tcBorders>
            <w:vMerge w:val="continue"/>
            <w:shd w:val="clear" w:color="auto" w:fill="2E74B5"/>
          </w:tcPr>
          <w:p>
            <w:pPr>
              <w:spacing w:after="0"/>
              <w:rPr>
                <w:sz w:val="4"/>
                <w:szCs w:val="4"/>
                <w:color w:val="auto"/>
              </w:rPr>
            </w:pPr>
          </w:p>
        </w:tc>
        <w:tc>
          <w:tcPr>
            <w:tcW w:w="700" w:type="dxa"/>
            <w:vAlign w:val="bottom"/>
            <w:vMerge w:val="continue"/>
            <w:shd w:val="clear" w:color="auto" w:fill="2E74B5"/>
          </w:tcPr>
          <w:p>
            <w:pPr>
              <w:spacing w:after="0"/>
              <w:rPr>
                <w:sz w:val="4"/>
                <w:szCs w:val="4"/>
                <w:color w:val="auto"/>
              </w:rPr>
            </w:pPr>
          </w:p>
        </w:tc>
        <w:tc>
          <w:tcPr>
            <w:tcW w:w="740" w:type="dxa"/>
            <w:vAlign w:val="bottom"/>
            <w:tcBorders>
              <w:right w:val="single" w:sz="8" w:color="2E74B5"/>
            </w:tcBorders>
            <w:vMerge w:val="continue"/>
            <w:shd w:val="clear" w:color="auto" w:fill="2E74B5"/>
          </w:tcPr>
          <w:p>
            <w:pPr>
              <w:spacing w:after="0"/>
              <w:rPr>
                <w:sz w:val="4"/>
                <w:szCs w:val="4"/>
                <w:color w:val="auto"/>
              </w:rPr>
            </w:pPr>
          </w:p>
        </w:tc>
        <w:tc>
          <w:tcPr>
            <w:tcW w:w="500" w:type="dxa"/>
            <w:vAlign w:val="bottom"/>
            <w:tcBorders>
              <w:right w:val="single" w:sz="8" w:color="2E74B5"/>
            </w:tcBorders>
            <w:vMerge w:val="continue"/>
            <w:shd w:val="clear" w:color="auto" w:fill="2E74B5"/>
          </w:tcPr>
          <w:p>
            <w:pPr>
              <w:spacing w:after="0"/>
              <w:rPr>
                <w:sz w:val="4"/>
                <w:szCs w:val="4"/>
                <w:color w:val="auto"/>
              </w:rPr>
            </w:pPr>
          </w:p>
        </w:tc>
        <w:tc>
          <w:tcPr>
            <w:tcW w:w="660" w:type="dxa"/>
            <w:vAlign w:val="bottom"/>
            <w:tcBorders>
              <w:right w:val="single" w:sz="8" w:color="2E74B5"/>
            </w:tcBorders>
            <w:vMerge w:val="continue"/>
            <w:shd w:val="clear" w:color="auto" w:fill="2E74B5"/>
          </w:tcPr>
          <w:p>
            <w:pPr>
              <w:spacing w:after="0"/>
              <w:rPr>
                <w:sz w:val="4"/>
                <w:szCs w:val="4"/>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860" w:type="dxa"/>
            <w:vAlign w:val="bottom"/>
            <w:tcBorders>
              <w:right w:val="single" w:sz="8" w:color="2E74B5"/>
            </w:tcBorders>
            <w:shd w:val="clear" w:color="auto" w:fill="2E74B5"/>
          </w:tcPr>
          <w:p>
            <w:pPr>
              <w:spacing w:after="0"/>
              <w:rPr>
                <w:sz w:val="4"/>
                <w:szCs w:val="4"/>
                <w:color w:val="auto"/>
              </w:rPr>
            </w:pPr>
          </w:p>
        </w:tc>
        <w:tc>
          <w:tcPr>
            <w:tcW w:w="7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Value of Tax</w:t>
            </w:r>
          </w:p>
        </w:tc>
        <w:tc>
          <w:tcPr>
            <w:tcW w:w="1340" w:type="dxa"/>
            <w:vAlign w:val="bottom"/>
            <w:gridSpan w:val="2"/>
            <w:vMerge w:val="continue"/>
            <w:shd w:val="clear" w:color="auto" w:fill="2E74B5"/>
          </w:tcPr>
          <w:p>
            <w:pPr>
              <w:spacing w:after="0"/>
              <w:rPr>
                <w:sz w:val="4"/>
                <w:szCs w:val="4"/>
                <w:color w:val="auto"/>
              </w:rPr>
            </w:pPr>
          </w:p>
        </w:tc>
        <w:tc>
          <w:tcPr>
            <w:tcW w:w="620" w:type="dxa"/>
            <w:vAlign w:val="bottom"/>
            <w:vMerge w:val="continue"/>
            <w:shd w:val="clear" w:color="auto" w:fill="2E74B5"/>
          </w:tcPr>
          <w:p>
            <w:pPr>
              <w:spacing w:after="0"/>
              <w:rPr>
                <w:sz w:val="4"/>
                <w:szCs w:val="4"/>
                <w:color w:val="auto"/>
              </w:rPr>
            </w:pPr>
          </w:p>
        </w:tc>
        <w:tc>
          <w:tcPr>
            <w:tcW w:w="740" w:type="dxa"/>
            <w:vAlign w:val="bottom"/>
            <w:vMerge w:val="continue"/>
            <w:shd w:val="clear" w:color="auto" w:fill="2E74B5"/>
          </w:tcPr>
          <w:p>
            <w:pPr>
              <w:spacing w:after="0"/>
              <w:rPr>
                <w:sz w:val="4"/>
                <w:szCs w:val="4"/>
                <w:color w:val="auto"/>
              </w:rPr>
            </w:pPr>
          </w:p>
        </w:tc>
        <w:tc>
          <w:tcPr>
            <w:tcW w:w="740" w:type="dxa"/>
            <w:vAlign w:val="bottom"/>
            <w:vMerge w:val="continue"/>
            <w:shd w:val="clear" w:color="auto" w:fill="2E74B5"/>
          </w:tcPr>
          <w:p>
            <w:pPr>
              <w:spacing w:after="0"/>
              <w:rPr>
                <w:sz w:val="4"/>
                <w:szCs w:val="4"/>
                <w:color w:val="auto"/>
              </w:rPr>
            </w:pPr>
          </w:p>
        </w:tc>
        <w:tc>
          <w:tcPr>
            <w:tcW w:w="960" w:type="dxa"/>
            <w:vAlign w:val="bottom"/>
            <w:vMerge w:val="continue"/>
            <w:shd w:val="clear" w:color="auto" w:fill="2E74B5"/>
          </w:tcPr>
          <w:p>
            <w:pPr>
              <w:spacing w:after="0"/>
              <w:rPr>
                <w:sz w:val="4"/>
                <w:szCs w:val="4"/>
                <w:color w:val="auto"/>
              </w:rPr>
            </w:pPr>
          </w:p>
        </w:tc>
        <w:tc>
          <w:tcPr>
            <w:tcW w:w="800" w:type="dxa"/>
            <w:vAlign w:val="bottom"/>
            <w:vMerge w:val="continue"/>
            <w:shd w:val="clear" w:color="auto" w:fill="2E74B5"/>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240" w:type="dxa"/>
            <w:vAlign w:val="bottom"/>
            <w:tcBorders>
              <w:right w:val="single" w:sz="8" w:color="2E74B5"/>
            </w:tcBorders>
            <w:shd w:val="clear" w:color="auto" w:fill="2E74B5"/>
          </w:tcPr>
          <w:p>
            <w:pPr>
              <w:spacing w:after="0"/>
              <w:rPr>
                <w:sz w:val="10"/>
                <w:szCs w:val="10"/>
                <w:color w:val="auto"/>
              </w:rPr>
            </w:pPr>
          </w:p>
        </w:tc>
        <w:tc>
          <w:tcPr>
            <w:tcW w:w="700" w:type="dxa"/>
            <w:vAlign w:val="bottom"/>
            <w:shd w:val="clear" w:color="auto" w:fill="2E74B5"/>
          </w:tcPr>
          <w:p>
            <w:pPr>
              <w:spacing w:after="0"/>
              <w:rPr>
                <w:sz w:val="10"/>
                <w:szCs w:val="10"/>
                <w:color w:val="auto"/>
              </w:rPr>
            </w:pPr>
          </w:p>
        </w:tc>
        <w:tc>
          <w:tcPr>
            <w:tcW w:w="740" w:type="dxa"/>
            <w:vAlign w:val="bottom"/>
            <w:tcBorders>
              <w:right w:val="single" w:sz="8" w:color="2E74B5"/>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7"/>
              </w:rPr>
              <w:t>storage</w:t>
            </w:r>
          </w:p>
        </w:tc>
        <w:tc>
          <w:tcPr>
            <w:tcW w:w="500" w:type="dxa"/>
            <w:vAlign w:val="bottom"/>
            <w:tcBorders>
              <w:right w:val="single" w:sz="8" w:color="2E74B5"/>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rPr>
              <w:t>COD</w:t>
            </w:r>
          </w:p>
        </w:tc>
        <w:tc>
          <w:tcPr>
            <w:tcW w:w="660" w:type="dxa"/>
            <w:vAlign w:val="bottom"/>
            <w:tcBorders>
              <w:right w:val="single" w:sz="8" w:color="2E74B5"/>
            </w:tcBorders>
            <w:shd w:val="clear" w:color="auto" w:fill="2E74B5"/>
          </w:tcPr>
          <w:p>
            <w:pPr>
              <w:spacing w:after="0"/>
              <w:rPr>
                <w:sz w:val="10"/>
                <w:szCs w:val="10"/>
                <w:color w:val="auto"/>
              </w:rPr>
            </w:pPr>
          </w:p>
        </w:tc>
        <w:tc>
          <w:tcPr>
            <w:tcW w:w="680" w:type="dxa"/>
            <w:vAlign w:val="bottom"/>
            <w:vMerge w:val="continue"/>
            <w:shd w:val="clear" w:color="auto" w:fill="2E74B5"/>
          </w:tcPr>
          <w:p>
            <w:pPr>
              <w:spacing w:after="0"/>
              <w:rPr>
                <w:sz w:val="10"/>
                <w:szCs w:val="10"/>
                <w:color w:val="auto"/>
              </w:rPr>
            </w:pPr>
          </w:p>
        </w:tc>
        <w:tc>
          <w:tcPr>
            <w:tcW w:w="86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Adders*****</w:t>
            </w:r>
          </w:p>
        </w:tc>
        <w:tc>
          <w:tcPr>
            <w:tcW w:w="720" w:type="dxa"/>
            <w:vAlign w:val="bottom"/>
            <w:vMerge w:val="continue"/>
            <w:shd w:val="clear" w:color="auto" w:fill="2E74B5"/>
          </w:tcPr>
          <w:p>
            <w:pPr>
              <w:spacing w:after="0"/>
              <w:rPr>
                <w:sz w:val="10"/>
                <w:szCs w:val="10"/>
                <w:color w:val="auto"/>
              </w:rPr>
            </w:pPr>
          </w:p>
        </w:tc>
        <w:tc>
          <w:tcPr>
            <w:tcW w:w="1340" w:type="dxa"/>
            <w:vAlign w:val="bottom"/>
            <w:gridSpan w:val="2"/>
            <w:shd w:val="clear" w:color="auto" w:fill="2E74B5"/>
          </w:tcPr>
          <w:p>
            <w:pPr>
              <w:jc w:val="right"/>
              <w:spacing w:after="0" w:line="119" w:lineRule="exact"/>
              <w:rPr>
                <w:sz w:val="20"/>
                <w:szCs w:val="20"/>
                <w:color w:val="auto"/>
              </w:rPr>
            </w:pPr>
            <w:r>
              <w:rPr>
                <w:rFonts w:ascii="Times New Roman" w:cs="Times New Roman" w:eastAsia="Times New Roman" w:hAnsi="Times New Roman"/>
                <w:sz w:val="12"/>
                <w:szCs w:val="12"/>
                <w:color w:val="FFFFFF"/>
              </w:rPr>
              <w:t>tax benefit December 31,</w:t>
            </w:r>
          </w:p>
        </w:tc>
        <w:tc>
          <w:tcPr>
            <w:tcW w:w="620" w:type="dxa"/>
            <w:vAlign w:val="bottom"/>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w:t>
            </w:r>
          </w:p>
        </w:tc>
        <w:tc>
          <w:tcPr>
            <w:tcW w:w="1480" w:type="dxa"/>
            <w:vAlign w:val="bottom"/>
            <w:gridSpan w:val="2"/>
            <w:shd w:val="clear" w:color="auto" w:fill="2E74B5"/>
          </w:tcPr>
          <w:p>
            <w:pPr>
              <w:ind w:left="40"/>
              <w:spacing w:after="0" w:line="119" w:lineRule="exact"/>
              <w:rPr>
                <w:sz w:val="20"/>
                <w:szCs w:val="20"/>
                <w:color w:val="auto"/>
              </w:rPr>
            </w:pPr>
            <w:r>
              <w:rPr>
                <w:rFonts w:ascii="Times New Roman" w:cs="Times New Roman" w:eastAsia="Times New Roman" w:hAnsi="Times New Roman"/>
                <w:sz w:val="12"/>
                <w:szCs w:val="12"/>
                <w:color w:val="FFFFFF"/>
              </w:rPr>
              <w:t>December 31, Year Revenue</w:t>
            </w:r>
          </w:p>
        </w:tc>
        <w:tc>
          <w:tcPr>
            <w:tcW w:w="960" w:type="dxa"/>
            <w:vAlign w:val="bottom"/>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EBITDA****</w:t>
            </w:r>
          </w:p>
        </w:tc>
        <w:tc>
          <w:tcPr>
            <w:tcW w:w="800" w:type="dxa"/>
            <w:vAlign w:val="bottom"/>
            <w:shd w:val="clear" w:color="auto" w:fill="2E74B5"/>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40" w:type="dxa"/>
            <w:vAlign w:val="bottom"/>
            <w:tcBorders>
              <w:right w:val="single" w:sz="8" w:color="2E74B5"/>
            </w:tcBorders>
            <w:shd w:val="clear" w:color="auto" w:fill="2E74B5"/>
          </w:tcPr>
          <w:p>
            <w:pPr>
              <w:spacing w:after="0"/>
              <w:rPr>
                <w:sz w:val="7"/>
                <w:szCs w:val="7"/>
                <w:color w:val="auto"/>
              </w:rPr>
            </w:pPr>
          </w:p>
        </w:tc>
        <w:tc>
          <w:tcPr>
            <w:tcW w:w="700" w:type="dxa"/>
            <w:vAlign w:val="bottom"/>
            <w:shd w:val="clear" w:color="auto" w:fill="2E74B5"/>
          </w:tcPr>
          <w:p>
            <w:pPr>
              <w:spacing w:after="0"/>
              <w:rPr>
                <w:sz w:val="7"/>
                <w:szCs w:val="7"/>
                <w:color w:val="auto"/>
              </w:rPr>
            </w:pPr>
          </w:p>
        </w:tc>
        <w:tc>
          <w:tcPr>
            <w:tcW w:w="7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Capacity</w:t>
            </w:r>
          </w:p>
        </w:tc>
        <w:tc>
          <w:tcPr>
            <w:tcW w:w="500" w:type="dxa"/>
            <w:vAlign w:val="bottom"/>
            <w:tcBorders>
              <w:right w:val="single" w:sz="8" w:color="2E74B5"/>
            </w:tcBorders>
            <w:shd w:val="clear" w:color="auto" w:fill="2E74B5"/>
          </w:tcPr>
          <w:p>
            <w:pPr>
              <w:spacing w:after="0"/>
              <w:rPr>
                <w:sz w:val="7"/>
                <w:szCs w:val="7"/>
                <w:color w:val="auto"/>
              </w:rPr>
            </w:pPr>
          </w:p>
        </w:tc>
        <w:tc>
          <w:tcPr>
            <w:tcW w:w="660" w:type="dxa"/>
            <w:vAlign w:val="bottom"/>
            <w:tcBorders>
              <w:right w:val="single" w:sz="8" w:color="2E74B5"/>
            </w:tcBorders>
            <w:shd w:val="clear" w:color="auto" w:fill="2E74B5"/>
          </w:tcPr>
          <w:p>
            <w:pPr>
              <w:spacing w:after="0"/>
              <w:rPr>
                <w:sz w:val="7"/>
                <w:szCs w:val="7"/>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Category</w:t>
            </w:r>
          </w:p>
        </w:tc>
        <w:tc>
          <w:tcPr>
            <w:tcW w:w="860" w:type="dxa"/>
            <w:vAlign w:val="bottom"/>
            <w:tcBorders>
              <w:right w:val="single" w:sz="8" w:color="2E74B5"/>
            </w:tcBorders>
            <w:vMerge w:val="continue"/>
            <w:shd w:val="clear" w:color="auto" w:fill="2E74B5"/>
          </w:tcPr>
          <w:p>
            <w:pPr>
              <w:spacing w:after="0"/>
              <w:rPr>
                <w:sz w:val="7"/>
                <w:szCs w:val="7"/>
                <w:color w:val="auto"/>
              </w:rPr>
            </w:pPr>
          </w:p>
        </w:tc>
        <w:tc>
          <w:tcPr>
            <w:tcW w:w="7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600" w:type="dxa"/>
            <w:vAlign w:val="bottom"/>
            <w:shd w:val="clear" w:color="auto" w:fill="2E74B5"/>
          </w:tcPr>
          <w:p>
            <w:pPr>
              <w:spacing w:after="0"/>
              <w:rPr>
                <w:sz w:val="7"/>
                <w:szCs w:val="7"/>
                <w:color w:val="auto"/>
              </w:rPr>
            </w:pPr>
          </w:p>
        </w:tc>
        <w:tc>
          <w:tcPr>
            <w:tcW w:w="7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2025</w:t>
            </w:r>
          </w:p>
        </w:tc>
        <w:tc>
          <w:tcPr>
            <w:tcW w:w="620" w:type="dxa"/>
            <w:vAlign w:val="bottom"/>
            <w:shd w:val="clear" w:color="auto" w:fill="2E74B5"/>
          </w:tcPr>
          <w:p>
            <w:pPr>
              <w:spacing w:after="0"/>
              <w:rPr>
                <w:sz w:val="7"/>
                <w:szCs w:val="7"/>
                <w:color w:val="auto"/>
              </w:rPr>
            </w:pPr>
          </w:p>
        </w:tc>
        <w:tc>
          <w:tcPr>
            <w:tcW w:w="7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2025</w:t>
            </w:r>
          </w:p>
        </w:tc>
        <w:tc>
          <w:tcPr>
            <w:tcW w:w="7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w:t>
            </w:r>
          </w:p>
        </w:tc>
        <w:tc>
          <w:tcPr>
            <w:tcW w:w="960" w:type="dxa"/>
            <w:vAlign w:val="bottom"/>
            <w:shd w:val="clear" w:color="auto" w:fill="2E74B5"/>
          </w:tcPr>
          <w:p>
            <w:pPr>
              <w:spacing w:after="0"/>
              <w:rPr>
                <w:sz w:val="7"/>
                <w:szCs w:val="7"/>
                <w:color w:val="auto"/>
              </w:rPr>
            </w:pPr>
          </w:p>
        </w:tc>
        <w:tc>
          <w:tcPr>
            <w:tcW w:w="800" w:type="dxa"/>
            <w:vAlign w:val="bottom"/>
            <w:shd w:val="clear" w:color="auto" w:fill="2E74B5"/>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240" w:type="dxa"/>
            <w:vAlign w:val="bottom"/>
            <w:tcBorders>
              <w:right w:val="single" w:sz="8" w:color="2E74B5"/>
            </w:tcBorders>
            <w:shd w:val="clear" w:color="auto" w:fill="2E74B5"/>
          </w:tcPr>
          <w:p>
            <w:pPr>
              <w:spacing w:after="0"/>
              <w:rPr>
                <w:sz w:val="8"/>
                <w:szCs w:val="8"/>
                <w:color w:val="auto"/>
              </w:rPr>
            </w:pPr>
          </w:p>
        </w:tc>
        <w:tc>
          <w:tcPr>
            <w:tcW w:w="700" w:type="dxa"/>
            <w:vAlign w:val="bottom"/>
            <w:shd w:val="clear" w:color="auto" w:fill="2E74B5"/>
          </w:tcPr>
          <w:p>
            <w:pPr>
              <w:spacing w:after="0"/>
              <w:rPr>
                <w:sz w:val="8"/>
                <w:szCs w:val="8"/>
                <w:color w:val="auto"/>
              </w:rPr>
            </w:pPr>
          </w:p>
        </w:tc>
        <w:tc>
          <w:tcPr>
            <w:tcW w:w="740" w:type="dxa"/>
            <w:vAlign w:val="bottom"/>
            <w:tcBorders>
              <w:right w:val="single" w:sz="8" w:color="2E74B5"/>
            </w:tcBorders>
            <w:vMerge w:val="continue"/>
            <w:shd w:val="clear" w:color="auto" w:fill="2E74B5"/>
          </w:tcPr>
          <w:p>
            <w:pPr>
              <w:spacing w:after="0"/>
              <w:rPr>
                <w:sz w:val="8"/>
                <w:szCs w:val="8"/>
                <w:color w:val="auto"/>
              </w:rPr>
            </w:pPr>
          </w:p>
        </w:tc>
        <w:tc>
          <w:tcPr>
            <w:tcW w:w="500" w:type="dxa"/>
            <w:vAlign w:val="bottom"/>
            <w:tcBorders>
              <w:right w:val="single" w:sz="8" w:color="2E74B5"/>
            </w:tcBorders>
            <w:shd w:val="clear" w:color="auto" w:fill="2E74B5"/>
          </w:tcPr>
          <w:p>
            <w:pPr>
              <w:spacing w:after="0"/>
              <w:rPr>
                <w:sz w:val="8"/>
                <w:szCs w:val="8"/>
                <w:color w:val="auto"/>
              </w:rPr>
            </w:pPr>
          </w:p>
        </w:tc>
        <w:tc>
          <w:tcPr>
            <w:tcW w:w="660" w:type="dxa"/>
            <w:vAlign w:val="bottom"/>
            <w:tcBorders>
              <w:right w:val="single" w:sz="8" w:color="2E74B5"/>
            </w:tcBorders>
            <w:shd w:val="clear" w:color="auto" w:fill="2E74B5"/>
          </w:tcPr>
          <w:p>
            <w:pPr>
              <w:spacing w:after="0"/>
              <w:rPr>
                <w:sz w:val="8"/>
                <w:szCs w:val="8"/>
                <w:color w:val="auto"/>
              </w:rPr>
            </w:pPr>
          </w:p>
        </w:tc>
        <w:tc>
          <w:tcPr>
            <w:tcW w:w="680" w:type="dxa"/>
            <w:vAlign w:val="bottom"/>
            <w:vMerge w:val="continue"/>
            <w:shd w:val="clear" w:color="auto" w:fill="2E74B5"/>
          </w:tcPr>
          <w:p>
            <w:pPr>
              <w:spacing w:after="0"/>
              <w:rPr>
                <w:sz w:val="8"/>
                <w:szCs w:val="8"/>
                <w:color w:val="auto"/>
              </w:rPr>
            </w:pPr>
          </w:p>
        </w:tc>
        <w:tc>
          <w:tcPr>
            <w:tcW w:w="860" w:type="dxa"/>
            <w:vAlign w:val="bottom"/>
            <w:tcBorders>
              <w:right w:val="single" w:sz="8" w:color="2E74B5"/>
            </w:tcBorders>
            <w:shd w:val="clear" w:color="auto" w:fill="2E74B5"/>
          </w:tcPr>
          <w:p>
            <w:pPr>
              <w:spacing w:after="0"/>
              <w:rPr>
                <w:sz w:val="8"/>
                <w:szCs w:val="8"/>
                <w:color w:val="auto"/>
              </w:rPr>
            </w:pPr>
          </w:p>
        </w:tc>
        <w:tc>
          <w:tcPr>
            <w:tcW w:w="720" w:type="dxa"/>
            <w:vAlign w:val="bottom"/>
            <w:vMerge w:val="continue"/>
            <w:shd w:val="clear" w:color="auto" w:fill="2E74B5"/>
          </w:tcPr>
          <w:p>
            <w:pPr>
              <w:spacing w:after="0"/>
              <w:rPr>
                <w:sz w:val="8"/>
                <w:szCs w:val="8"/>
                <w:color w:val="auto"/>
              </w:rPr>
            </w:pPr>
          </w:p>
        </w:tc>
        <w:tc>
          <w:tcPr>
            <w:tcW w:w="600" w:type="dxa"/>
            <w:vAlign w:val="bottom"/>
            <w:shd w:val="clear" w:color="auto" w:fill="2E74B5"/>
          </w:tcPr>
          <w:p>
            <w:pPr>
              <w:spacing w:after="0"/>
              <w:rPr>
                <w:sz w:val="8"/>
                <w:szCs w:val="8"/>
                <w:color w:val="auto"/>
              </w:rPr>
            </w:pPr>
          </w:p>
        </w:tc>
        <w:tc>
          <w:tcPr>
            <w:tcW w:w="740" w:type="dxa"/>
            <w:vAlign w:val="bottom"/>
            <w:vMerge w:val="continue"/>
            <w:shd w:val="clear" w:color="auto" w:fill="2E74B5"/>
          </w:tcPr>
          <w:p>
            <w:pPr>
              <w:spacing w:after="0"/>
              <w:rPr>
                <w:sz w:val="8"/>
                <w:szCs w:val="8"/>
                <w:color w:val="auto"/>
              </w:rPr>
            </w:pPr>
          </w:p>
        </w:tc>
        <w:tc>
          <w:tcPr>
            <w:tcW w:w="620" w:type="dxa"/>
            <w:vAlign w:val="bottom"/>
            <w:shd w:val="clear" w:color="auto" w:fill="2E74B5"/>
          </w:tcPr>
          <w:p>
            <w:pPr>
              <w:spacing w:after="0"/>
              <w:rPr>
                <w:sz w:val="8"/>
                <w:szCs w:val="8"/>
                <w:color w:val="auto"/>
              </w:rPr>
            </w:pPr>
          </w:p>
        </w:tc>
        <w:tc>
          <w:tcPr>
            <w:tcW w:w="740" w:type="dxa"/>
            <w:vAlign w:val="bottom"/>
            <w:vMerge w:val="continue"/>
            <w:shd w:val="clear" w:color="auto" w:fill="2E74B5"/>
          </w:tcPr>
          <w:p>
            <w:pPr>
              <w:spacing w:after="0"/>
              <w:rPr>
                <w:sz w:val="8"/>
                <w:szCs w:val="8"/>
                <w:color w:val="auto"/>
              </w:rPr>
            </w:pPr>
          </w:p>
        </w:tc>
        <w:tc>
          <w:tcPr>
            <w:tcW w:w="740" w:type="dxa"/>
            <w:vAlign w:val="bottom"/>
            <w:vMerge w:val="continue"/>
            <w:shd w:val="clear" w:color="auto" w:fill="2E74B5"/>
          </w:tcPr>
          <w:p>
            <w:pPr>
              <w:spacing w:after="0"/>
              <w:rPr>
                <w:sz w:val="8"/>
                <w:szCs w:val="8"/>
                <w:color w:val="auto"/>
              </w:rPr>
            </w:pPr>
          </w:p>
        </w:tc>
        <w:tc>
          <w:tcPr>
            <w:tcW w:w="960" w:type="dxa"/>
            <w:vAlign w:val="bottom"/>
            <w:shd w:val="clear" w:color="auto" w:fill="2E74B5"/>
          </w:tcPr>
          <w:p>
            <w:pPr>
              <w:spacing w:after="0"/>
              <w:rPr>
                <w:sz w:val="8"/>
                <w:szCs w:val="8"/>
                <w:color w:val="auto"/>
              </w:rPr>
            </w:pPr>
          </w:p>
        </w:tc>
        <w:tc>
          <w:tcPr>
            <w:tcW w:w="800" w:type="dxa"/>
            <w:vAlign w:val="bottom"/>
            <w:shd w:val="clear" w:color="auto" w:fill="2E74B5"/>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40" w:type="dxa"/>
            <w:vAlign w:val="bottom"/>
            <w:tcBorders>
              <w:right w:val="single" w:sz="8" w:color="2E74B5"/>
            </w:tcBorders>
            <w:shd w:val="clear" w:color="auto" w:fill="2E74B5"/>
          </w:tcPr>
          <w:p>
            <w:pPr>
              <w:spacing w:after="0"/>
              <w:rPr>
                <w:sz w:val="15"/>
                <w:szCs w:val="15"/>
                <w:color w:val="auto"/>
              </w:rPr>
            </w:pPr>
          </w:p>
        </w:tc>
        <w:tc>
          <w:tcPr>
            <w:tcW w:w="700" w:type="dxa"/>
            <w:vAlign w:val="bottom"/>
            <w:shd w:val="clear" w:color="auto" w:fill="2E74B5"/>
          </w:tcPr>
          <w:p>
            <w:pPr>
              <w:spacing w:after="0"/>
              <w:rPr>
                <w:sz w:val="15"/>
                <w:szCs w:val="15"/>
                <w:color w:val="auto"/>
              </w:rPr>
            </w:pPr>
          </w:p>
        </w:tc>
        <w:tc>
          <w:tcPr>
            <w:tcW w:w="74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(MW/MWh)</w:t>
            </w:r>
          </w:p>
        </w:tc>
        <w:tc>
          <w:tcPr>
            <w:tcW w:w="500" w:type="dxa"/>
            <w:vAlign w:val="bottom"/>
            <w:tcBorders>
              <w:right w:val="single" w:sz="8" w:color="2E74B5"/>
            </w:tcBorders>
            <w:shd w:val="clear" w:color="auto" w:fill="2E74B5"/>
          </w:tcPr>
          <w:p>
            <w:pPr>
              <w:spacing w:after="0"/>
              <w:rPr>
                <w:sz w:val="15"/>
                <w:szCs w:val="15"/>
                <w:color w:val="auto"/>
              </w:rPr>
            </w:pPr>
          </w:p>
        </w:tc>
        <w:tc>
          <w:tcPr>
            <w:tcW w:w="660" w:type="dxa"/>
            <w:vAlign w:val="bottom"/>
            <w:tcBorders>
              <w:right w:val="single" w:sz="8" w:color="2E74B5"/>
            </w:tcBorders>
            <w:shd w:val="clear" w:color="auto" w:fill="2E74B5"/>
          </w:tcPr>
          <w:p>
            <w:pPr>
              <w:spacing w:after="0"/>
              <w:rPr>
                <w:sz w:val="15"/>
                <w:szCs w:val="15"/>
                <w:color w:val="auto"/>
              </w:rPr>
            </w:pPr>
          </w:p>
        </w:tc>
        <w:tc>
          <w:tcPr>
            <w:tcW w:w="680" w:type="dxa"/>
            <w:vAlign w:val="bottom"/>
            <w:shd w:val="clear" w:color="auto" w:fill="2E74B5"/>
          </w:tcPr>
          <w:p>
            <w:pPr>
              <w:spacing w:after="0"/>
              <w:rPr>
                <w:sz w:val="15"/>
                <w:szCs w:val="15"/>
                <w:color w:val="auto"/>
              </w:rPr>
            </w:pPr>
          </w:p>
        </w:tc>
        <w:tc>
          <w:tcPr>
            <w:tcW w:w="860" w:type="dxa"/>
            <w:vAlign w:val="bottom"/>
            <w:tcBorders>
              <w:right w:val="single" w:sz="8" w:color="2E74B5"/>
            </w:tcBorders>
            <w:shd w:val="clear" w:color="auto" w:fill="2E74B5"/>
          </w:tcPr>
          <w:p>
            <w:pPr>
              <w:spacing w:after="0"/>
              <w:rPr>
                <w:sz w:val="15"/>
                <w:szCs w:val="15"/>
                <w:color w:val="auto"/>
              </w:rPr>
            </w:pPr>
          </w:p>
        </w:tc>
        <w:tc>
          <w:tcPr>
            <w:tcW w:w="720" w:type="dxa"/>
            <w:vAlign w:val="bottom"/>
            <w:shd w:val="clear" w:color="auto" w:fill="2E74B5"/>
          </w:tcPr>
          <w:p>
            <w:pPr>
              <w:spacing w:after="0"/>
              <w:rPr>
                <w:sz w:val="15"/>
                <w:szCs w:val="15"/>
                <w:color w:val="auto"/>
              </w:rPr>
            </w:pPr>
          </w:p>
        </w:tc>
        <w:tc>
          <w:tcPr>
            <w:tcW w:w="600" w:type="dxa"/>
            <w:vAlign w:val="bottom"/>
            <w:shd w:val="clear" w:color="auto" w:fill="2E74B5"/>
          </w:tcPr>
          <w:p>
            <w:pPr>
              <w:spacing w:after="0"/>
              <w:rPr>
                <w:sz w:val="15"/>
                <w:szCs w:val="15"/>
                <w:color w:val="auto"/>
              </w:rPr>
            </w:pPr>
          </w:p>
        </w:tc>
        <w:tc>
          <w:tcPr>
            <w:tcW w:w="740" w:type="dxa"/>
            <w:vAlign w:val="bottom"/>
            <w:shd w:val="clear" w:color="auto" w:fill="2E74B5"/>
          </w:tcPr>
          <w:p>
            <w:pPr>
              <w:spacing w:after="0"/>
              <w:rPr>
                <w:sz w:val="15"/>
                <w:szCs w:val="15"/>
                <w:color w:val="auto"/>
              </w:rPr>
            </w:pPr>
          </w:p>
        </w:tc>
        <w:tc>
          <w:tcPr>
            <w:tcW w:w="620" w:type="dxa"/>
            <w:vAlign w:val="bottom"/>
            <w:shd w:val="clear" w:color="auto" w:fill="2E74B5"/>
          </w:tcPr>
          <w:p>
            <w:pPr>
              <w:spacing w:after="0"/>
              <w:rPr>
                <w:sz w:val="15"/>
                <w:szCs w:val="15"/>
                <w:color w:val="auto"/>
              </w:rPr>
            </w:pPr>
          </w:p>
        </w:tc>
        <w:tc>
          <w:tcPr>
            <w:tcW w:w="740" w:type="dxa"/>
            <w:vAlign w:val="bottom"/>
            <w:shd w:val="clear" w:color="auto" w:fill="2E74B5"/>
          </w:tcPr>
          <w:p>
            <w:pPr>
              <w:spacing w:after="0"/>
              <w:rPr>
                <w:sz w:val="15"/>
                <w:szCs w:val="15"/>
                <w:color w:val="auto"/>
              </w:rPr>
            </w:pPr>
          </w:p>
        </w:tc>
        <w:tc>
          <w:tcPr>
            <w:tcW w:w="740" w:type="dxa"/>
            <w:vAlign w:val="bottom"/>
            <w:shd w:val="clear" w:color="auto" w:fill="2E74B5"/>
          </w:tcPr>
          <w:p>
            <w:pPr>
              <w:spacing w:after="0"/>
              <w:rPr>
                <w:sz w:val="15"/>
                <w:szCs w:val="15"/>
                <w:color w:val="auto"/>
              </w:rPr>
            </w:pPr>
          </w:p>
        </w:tc>
        <w:tc>
          <w:tcPr>
            <w:tcW w:w="960" w:type="dxa"/>
            <w:vAlign w:val="bottom"/>
            <w:shd w:val="clear" w:color="auto" w:fill="2E74B5"/>
          </w:tcPr>
          <w:p>
            <w:pPr>
              <w:spacing w:after="0"/>
              <w:rPr>
                <w:sz w:val="15"/>
                <w:szCs w:val="15"/>
                <w:color w:val="auto"/>
              </w:rPr>
            </w:pPr>
          </w:p>
        </w:tc>
        <w:tc>
          <w:tcPr>
            <w:tcW w:w="800" w:type="dxa"/>
            <w:vAlign w:val="bottom"/>
            <w:shd w:val="clear" w:color="auto" w:fill="2E74B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 Bar 3</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473/0</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607-639</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276-290</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331-349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173-182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136-142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52"/>
        </w:trPr>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Co Bar 4+5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0/3,176</w:t>
            </w:r>
          </w:p>
        </w:tc>
        <w:tc>
          <w:tcPr>
            <w:tcW w:w="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color w:val="auto"/>
              </w:rPr>
              <w:t>H1 2028</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1,041-1,094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481-506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560-588</w:t>
            </w: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Nardo</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Italy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104/872</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H1 2028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233-245</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233-245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31-33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26-28</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69"/>
        </w:trPr>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Jupiter</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Germany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150/2,000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559-587</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559-587</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100-105</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82-87</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0" w:type="dxa"/>
            <w:vAlign w:val="bottom"/>
          </w:tcPr>
          <w:p>
            <w:pPr>
              <w:spacing w:after="0"/>
              <w:rPr>
                <w:sz w:val="1"/>
                <w:szCs w:val="1"/>
                <w:color w:val="auto"/>
              </w:rPr>
            </w:pPr>
          </w:p>
        </w:tc>
      </w:tr>
      <w:tr>
        <w:trPr>
          <w:trHeight w:val="169"/>
        </w:trPr>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Bertikow</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Germany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0/860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160-168</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160-168</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15%-25%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48-51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42-44</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169"/>
        </w:trPr>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Israel HV storage******</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Israel</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0/1,350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243-256</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243-256</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14-15</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5-6</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278" w:right="299" w:bottom="1440" w:gutter="0" w:footer="0" w:header="0"/>
        </w:sectPr>
      </w:pPr>
    </w:p>
    <w:bookmarkStart w:id="31" w:name="page32"/>
    <w:bookmarkEnd w:id="3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10"/>
        </w:trPr>
        <w:tc>
          <w:tcPr>
            <w:tcW w:w="2020" w:type="dxa"/>
            <w:vAlign w:val="bottom"/>
            <w:tcBorders>
              <w:right w:val="single" w:sz="8" w:color="2E74B5"/>
            </w:tcBorders>
            <w:shd w:val="clear" w:color="auto" w:fill="2E74B5"/>
          </w:tcPr>
          <w:p>
            <w:pPr>
              <w:spacing w:after="0"/>
              <w:rPr>
                <w:sz w:val="18"/>
                <w:szCs w:val="18"/>
                <w:color w:val="auto"/>
              </w:rPr>
            </w:pPr>
          </w:p>
        </w:tc>
        <w:tc>
          <w:tcPr>
            <w:tcW w:w="1520" w:type="dxa"/>
            <w:vAlign w:val="bottom"/>
            <w:tcBorders>
              <w:right w:val="single" w:sz="8" w:color="2E74B5"/>
            </w:tcBorders>
            <w:gridSpan w:val="3"/>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MW Deployment</w:t>
            </w:r>
          </w:p>
        </w:tc>
        <w:tc>
          <w:tcPr>
            <w:tcW w:w="620" w:type="dxa"/>
            <w:vAlign w:val="bottom"/>
            <w:tcBorders>
              <w:right w:val="single" w:sz="8" w:color="2E74B5"/>
            </w:tcBorders>
            <w:shd w:val="clear" w:color="auto" w:fill="2E74B5"/>
          </w:tcPr>
          <w:p>
            <w:pPr>
              <w:spacing w:after="0"/>
              <w:rPr>
                <w:sz w:val="18"/>
                <w:szCs w:val="18"/>
                <w:color w:val="auto"/>
              </w:rPr>
            </w:pPr>
          </w:p>
        </w:tc>
        <w:tc>
          <w:tcPr>
            <w:tcW w:w="1860" w:type="dxa"/>
            <w:vAlign w:val="bottom"/>
            <w:tcBorders>
              <w:right w:val="single" w:sz="8" w:color="2E74B5"/>
            </w:tcBorders>
            <w:gridSpan w:val="2"/>
            <w:vMerge w:val="restart"/>
            <w:shd w:val="clear" w:color="auto" w:fill="2E74B5"/>
          </w:tcPr>
          <w:p>
            <w:pPr>
              <w:ind w:left="480"/>
              <w:spacing w:after="0"/>
              <w:rPr>
                <w:sz w:val="20"/>
                <w:szCs w:val="20"/>
                <w:color w:val="auto"/>
              </w:rPr>
            </w:pPr>
            <w:r>
              <w:rPr>
                <w:rFonts w:ascii="Times New Roman" w:cs="Times New Roman" w:eastAsia="Times New Roman" w:hAnsi="Times New Roman"/>
                <w:sz w:val="12"/>
                <w:szCs w:val="12"/>
                <w:color w:val="FFFFFF"/>
              </w:rPr>
              <w:t>Tax Credit Benefit</w:t>
            </w:r>
          </w:p>
        </w:tc>
        <w:tc>
          <w:tcPr>
            <w:tcW w:w="680" w:type="dxa"/>
            <w:vAlign w:val="bottom"/>
            <w:shd w:val="clear" w:color="auto" w:fill="2E74B5"/>
          </w:tcPr>
          <w:p>
            <w:pPr>
              <w:spacing w:after="0"/>
              <w:rPr>
                <w:sz w:val="18"/>
                <w:szCs w:val="18"/>
                <w:color w:val="auto"/>
              </w:rPr>
            </w:pPr>
          </w:p>
        </w:tc>
        <w:tc>
          <w:tcPr>
            <w:tcW w:w="6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60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Capital</w:t>
            </w:r>
          </w:p>
        </w:tc>
        <w:tc>
          <w:tcPr>
            <w:tcW w:w="620" w:type="dxa"/>
            <w:vAlign w:val="bottom"/>
            <w:shd w:val="clear" w:color="auto" w:fill="2E74B5"/>
          </w:tcPr>
          <w:p>
            <w:pPr>
              <w:spacing w:after="0"/>
              <w:rPr>
                <w:sz w:val="18"/>
                <w:szCs w:val="18"/>
                <w:color w:val="auto"/>
              </w:rPr>
            </w:pP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Equity</w:t>
            </w:r>
          </w:p>
        </w:tc>
        <w:tc>
          <w:tcPr>
            <w:tcW w:w="66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First</w:t>
            </w:r>
          </w:p>
        </w:tc>
        <w:tc>
          <w:tcPr>
            <w:tcW w:w="800" w:type="dxa"/>
            <w:vAlign w:val="bottom"/>
            <w:shd w:val="clear" w:color="auto" w:fill="2E74B5"/>
          </w:tcPr>
          <w:p>
            <w:pPr>
              <w:spacing w:after="0"/>
              <w:rPr>
                <w:sz w:val="18"/>
                <w:szCs w:val="18"/>
                <w:color w:val="auto"/>
              </w:rPr>
            </w:pPr>
          </w:p>
        </w:tc>
        <w:tc>
          <w:tcPr>
            <w:tcW w:w="660" w:type="dxa"/>
            <w:vAlign w:val="bottom"/>
            <w:vMerge w:val="restart"/>
            <w:shd w:val="clear" w:color="auto" w:fill="2E74B5"/>
          </w:tcPr>
          <w:p>
            <w:pPr>
              <w:ind w:left="80"/>
              <w:spacing w:after="0"/>
              <w:rPr>
                <w:sz w:val="20"/>
                <w:szCs w:val="20"/>
                <w:color w:val="auto"/>
              </w:rPr>
            </w:pPr>
            <w:r>
              <w:rPr>
                <w:rFonts w:ascii="Times New Roman" w:cs="Times New Roman" w:eastAsia="Times New Roman" w:hAnsi="Times New Roman"/>
                <w:sz w:val="12"/>
                <w:szCs w:val="12"/>
                <w:color w:val="FFFFFF"/>
              </w:rPr>
              <w:t>Ownership</w:t>
            </w:r>
          </w:p>
        </w:tc>
        <w:tc>
          <w:tcPr>
            <w:tcW w:w="0" w:type="dxa"/>
            <w:vAlign w:val="bottom"/>
          </w:tcPr>
          <w:p>
            <w:pPr>
              <w:spacing w:after="0"/>
              <w:rPr>
                <w:sz w:val="1"/>
                <w:szCs w:val="1"/>
                <w:color w:val="auto"/>
              </w:rPr>
            </w:pPr>
          </w:p>
        </w:tc>
      </w:tr>
      <w:tr>
        <w:trPr>
          <w:trHeight w:val="76"/>
        </w:trPr>
        <w:tc>
          <w:tcPr>
            <w:tcW w:w="2020" w:type="dxa"/>
            <w:vAlign w:val="bottom"/>
            <w:tcBorders>
              <w:right w:val="single" w:sz="8" w:color="2E74B5"/>
            </w:tcBorders>
            <w:shd w:val="clear" w:color="auto" w:fill="2E74B5"/>
          </w:tcPr>
          <w:p>
            <w:pPr>
              <w:spacing w:after="0"/>
              <w:rPr>
                <w:sz w:val="6"/>
                <w:szCs w:val="6"/>
                <w:color w:val="auto"/>
              </w:rPr>
            </w:pPr>
          </w:p>
        </w:tc>
        <w:tc>
          <w:tcPr>
            <w:tcW w:w="400" w:type="dxa"/>
            <w:vAlign w:val="bottom"/>
            <w:shd w:val="clear" w:color="auto" w:fill="2E74B5"/>
          </w:tcPr>
          <w:p>
            <w:pPr>
              <w:spacing w:after="0"/>
              <w:rPr>
                <w:sz w:val="6"/>
                <w:szCs w:val="6"/>
                <w:color w:val="auto"/>
              </w:rPr>
            </w:pP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MW/MWh</w:t>
            </w:r>
          </w:p>
        </w:tc>
        <w:tc>
          <w:tcPr>
            <w:tcW w:w="500" w:type="dxa"/>
            <w:vAlign w:val="bottom"/>
            <w:tcBorders>
              <w:right w:val="single" w:sz="8" w:color="2E74B5"/>
            </w:tcBorders>
            <w:shd w:val="clear" w:color="auto" w:fill="2E74B5"/>
          </w:tcPr>
          <w:p>
            <w:pPr>
              <w:spacing w:after="0"/>
              <w:rPr>
                <w:sz w:val="6"/>
                <w:szCs w:val="6"/>
                <w:color w:val="auto"/>
              </w:rPr>
            </w:pPr>
          </w:p>
        </w:tc>
        <w:tc>
          <w:tcPr>
            <w:tcW w:w="620" w:type="dxa"/>
            <w:vAlign w:val="bottom"/>
            <w:tcBorders>
              <w:right w:val="single" w:sz="8" w:color="2E74B5"/>
            </w:tcBorders>
            <w:shd w:val="clear" w:color="auto" w:fill="2E74B5"/>
          </w:tcPr>
          <w:p>
            <w:pPr>
              <w:spacing w:after="0"/>
              <w:rPr>
                <w:sz w:val="6"/>
                <w:szCs w:val="6"/>
                <w:color w:val="auto"/>
              </w:rPr>
            </w:pPr>
          </w:p>
        </w:tc>
        <w:tc>
          <w:tcPr>
            <w:tcW w:w="1860" w:type="dxa"/>
            <w:vAlign w:val="bottom"/>
            <w:tcBorders>
              <w:right w:val="single" w:sz="8" w:color="2E74B5"/>
            </w:tcBorders>
            <w:gridSpan w:val="2"/>
            <w:vMerge w:val="continue"/>
            <w:shd w:val="clear" w:color="auto" w:fill="2E74B5"/>
          </w:tcPr>
          <w:p>
            <w:pPr>
              <w:spacing w:after="0"/>
              <w:rPr>
                <w:sz w:val="6"/>
                <w:szCs w:val="6"/>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640" w:type="dxa"/>
            <w:vAlign w:val="bottom"/>
            <w:vMerge w:val="continue"/>
            <w:shd w:val="clear" w:color="auto" w:fill="2E74B5"/>
          </w:tcPr>
          <w:p>
            <w:pPr>
              <w:spacing w:after="0"/>
              <w:rPr>
                <w:sz w:val="6"/>
                <w:szCs w:val="6"/>
                <w:color w:val="auto"/>
              </w:rPr>
            </w:pPr>
          </w:p>
        </w:tc>
        <w:tc>
          <w:tcPr>
            <w:tcW w:w="60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Invested as</w:t>
            </w: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Equity</w:t>
            </w:r>
          </w:p>
        </w:tc>
        <w:tc>
          <w:tcPr>
            <w:tcW w:w="620" w:type="dxa"/>
            <w:vAlign w:val="bottom"/>
            <w:vMerge w:val="continue"/>
            <w:shd w:val="clear" w:color="auto" w:fill="2E74B5"/>
          </w:tcPr>
          <w:p>
            <w:pPr>
              <w:spacing w:after="0"/>
              <w:rPr>
                <w:sz w:val="6"/>
                <w:szCs w:val="6"/>
                <w:color w:val="auto"/>
              </w:rPr>
            </w:pPr>
          </w:p>
        </w:tc>
        <w:tc>
          <w:tcPr>
            <w:tcW w:w="660" w:type="dxa"/>
            <w:vAlign w:val="bottom"/>
            <w:vMerge w:val="continue"/>
            <w:shd w:val="clear" w:color="auto" w:fill="2E74B5"/>
          </w:tcPr>
          <w:p>
            <w:pPr>
              <w:spacing w:after="0"/>
              <w:rPr>
                <w:sz w:val="6"/>
                <w:szCs w:val="6"/>
                <w:color w:val="auto"/>
              </w:rPr>
            </w:pPr>
          </w:p>
        </w:tc>
        <w:tc>
          <w:tcPr>
            <w:tcW w:w="80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First Full</w:t>
            </w:r>
          </w:p>
        </w:tc>
        <w:tc>
          <w:tcPr>
            <w:tcW w:w="660" w:type="dxa"/>
            <w:vAlign w:val="bottom"/>
            <w:vMerge w:val="continue"/>
            <w:shd w:val="clear" w:color="auto" w:fill="2E74B5"/>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20" w:type="dxa"/>
            <w:vAlign w:val="bottom"/>
            <w:tcBorders>
              <w:right w:val="single" w:sz="8" w:color="2E74B5"/>
            </w:tcBorders>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 millions)</w:t>
            </w:r>
          </w:p>
        </w:tc>
        <w:tc>
          <w:tcPr>
            <w:tcW w:w="400" w:type="dxa"/>
            <w:vAlign w:val="bottom"/>
            <w:shd w:val="clear" w:color="auto" w:fill="2E74B5"/>
          </w:tcPr>
          <w:p>
            <w:pPr>
              <w:spacing w:after="0"/>
              <w:rPr>
                <w:sz w:val="11"/>
                <w:szCs w:val="11"/>
                <w:color w:val="auto"/>
              </w:rPr>
            </w:pPr>
          </w:p>
        </w:tc>
        <w:tc>
          <w:tcPr>
            <w:tcW w:w="620" w:type="dxa"/>
            <w:vAlign w:val="bottom"/>
            <w:vMerge w:val="continue"/>
            <w:shd w:val="clear" w:color="auto" w:fill="2E74B5"/>
          </w:tcPr>
          <w:p>
            <w:pPr>
              <w:spacing w:after="0"/>
              <w:rPr>
                <w:sz w:val="11"/>
                <w:szCs w:val="11"/>
                <w:color w:val="auto"/>
              </w:rPr>
            </w:pPr>
          </w:p>
        </w:tc>
        <w:tc>
          <w:tcPr>
            <w:tcW w:w="500" w:type="dxa"/>
            <w:vAlign w:val="bottom"/>
            <w:tcBorders>
              <w:right w:val="single" w:sz="8" w:color="2E74B5"/>
            </w:tcBorders>
            <w:shd w:val="clear" w:color="auto" w:fill="2E74B5"/>
          </w:tcPr>
          <w:p>
            <w:pPr>
              <w:spacing w:after="0"/>
              <w:rPr>
                <w:sz w:val="11"/>
                <w:szCs w:val="11"/>
                <w:color w:val="auto"/>
              </w:rPr>
            </w:pPr>
          </w:p>
        </w:tc>
        <w:tc>
          <w:tcPr>
            <w:tcW w:w="620" w:type="dxa"/>
            <w:vAlign w:val="bottom"/>
            <w:tcBorders>
              <w:right w:val="single" w:sz="8" w:color="2E74B5"/>
            </w:tcBorders>
            <w:shd w:val="clear" w:color="auto" w:fill="2E74B5"/>
          </w:tcPr>
          <w:p>
            <w:pPr>
              <w:ind w:left="60"/>
              <w:spacing w:after="0" w:line="128" w:lineRule="exact"/>
              <w:rPr>
                <w:sz w:val="20"/>
                <w:szCs w:val="20"/>
                <w:color w:val="auto"/>
              </w:rPr>
            </w:pPr>
            <w:r>
              <w:rPr>
                <w:rFonts w:ascii="Times New Roman" w:cs="Times New Roman" w:eastAsia="Times New Roman" w:hAnsi="Times New Roman"/>
                <w:sz w:val="12"/>
                <w:szCs w:val="12"/>
                <w:color w:val="FFFFFF"/>
              </w:rPr>
              <w:t>Est. Total</w:t>
            </w:r>
          </w:p>
        </w:tc>
        <w:tc>
          <w:tcPr>
            <w:tcW w:w="560" w:type="dxa"/>
            <w:vAlign w:val="bottom"/>
            <w:shd w:val="clear" w:color="auto" w:fill="2E74B5"/>
          </w:tcPr>
          <w:p>
            <w:pPr>
              <w:spacing w:after="0"/>
              <w:rPr>
                <w:sz w:val="11"/>
                <w:szCs w:val="11"/>
                <w:color w:val="auto"/>
              </w:rPr>
            </w:pPr>
          </w:p>
        </w:tc>
        <w:tc>
          <w:tcPr>
            <w:tcW w:w="1300" w:type="dxa"/>
            <w:vAlign w:val="bottom"/>
            <w:tcBorders>
              <w:right w:val="single" w:sz="8" w:color="2E74B5"/>
            </w:tcBorders>
            <w:shd w:val="clear" w:color="auto" w:fill="2E74B5"/>
          </w:tcPr>
          <w:p>
            <w:pPr>
              <w:spacing w:after="0"/>
              <w:rPr>
                <w:sz w:val="11"/>
                <w:szCs w:val="11"/>
                <w:color w:val="auto"/>
              </w:rPr>
            </w:pPr>
          </w:p>
        </w:tc>
        <w:tc>
          <w:tcPr>
            <w:tcW w:w="680" w:type="dxa"/>
            <w:vAlign w:val="bottom"/>
            <w:vMerge w:val="continue"/>
            <w:shd w:val="clear" w:color="auto" w:fill="2E74B5"/>
          </w:tcPr>
          <w:p>
            <w:pPr>
              <w:spacing w:after="0"/>
              <w:rPr>
                <w:sz w:val="11"/>
                <w:szCs w:val="11"/>
                <w:color w:val="auto"/>
              </w:rPr>
            </w:pPr>
          </w:p>
        </w:tc>
        <w:tc>
          <w:tcPr>
            <w:tcW w:w="64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8"/>
              </w:rPr>
              <w:t>Project Cost</w:t>
            </w:r>
          </w:p>
        </w:tc>
        <w:tc>
          <w:tcPr>
            <w:tcW w:w="600" w:type="dxa"/>
            <w:vAlign w:val="bottom"/>
            <w:vMerge w:val="continue"/>
            <w:shd w:val="clear" w:color="auto" w:fill="2E74B5"/>
          </w:tcPr>
          <w:p>
            <w:pPr>
              <w:spacing w:after="0"/>
              <w:rPr>
                <w:sz w:val="11"/>
                <w:szCs w:val="11"/>
                <w:color w:val="auto"/>
              </w:rPr>
            </w:pPr>
          </w:p>
        </w:tc>
        <w:tc>
          <w:tcPr>
            <w:tcW w:w="620" w:type="dxa"/>
            <w:vAlign w:val="bottom"/>
            <w:vMerge w:val="continue"/>
            <w:shd w:val="clear" w:color="auto" w:fill="2E74B5"/>
          </w:tcPr>
          <w:p>
            <w:pPr>
              <w:spacing w:after="0"/>
              <w:rPr>
                <w:sz w:val="11"/>
                <w:szCs w:val="11"/>
                <w:color w:val="auto"/>
              </w:rPr>
            </w:pPr>
          </w:p>
        </w:tc>
        <w:tc>
          <w:tcPr>
            <w:tcW w:w="62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rPr>
              <w:t>Invested as</w:t>
            </w:r>
          </w:p>
        </w:tc>
        <w:tc>
          <w:tcPr>
            <w:tcW w:w="66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6"/>
              </w:rPr>
              <w:t>Full Year</w:t>
            </w:r>
          </w:p>
        </w:tc>
        <w:tc>
          <w:tcPr>
            <w:tcW w:w="800" w:type="dxa"/>
            <w:vAlign w:val="bottom"/>
            <w:vMerge w:val="continue"/>
            <w:shd w:val="clear" w:color="auto" w:fill="2E74B5"/>
          </w:tcPr>
          <w:p>
            <w:pPr>
              <w:spacing w:after="0"/>
              <w:rPr>
                <w:sz w:val="11"/>
                <w:szCs w:val="11"/>
                <w:color w:val="auto"/>
              </w:rPr>
            </w:pPr>
          </w:p>
        </w:tc>
        <w:tc>
          <w:tcPr>
            <w:tcW w:w="66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w:t>
            </w:r>
          </w:p>
        </w:tc>
        <w:tc>
          <w:tcPr>
            <w:tcW w:w="0" w:type="dxa"/>
            <w:vAlign w:val="bottom"/>
          </w:tcPr>
          <w:p>
            <w:pPr>
              <w:spacing w:after="0"/>
              <w:rPr>
                <w:sz w:val="1"/>
                <w:szCs w:val="1"/>
                <w:color w:val="auto"/>
              </w:rPr>
            </w:pPr>
          </w:p>
        </w:tc>
      </w:tr>
      <w:tr>
        <w:trPr>
          <w:trHeight w:val="106"/>
        </w:trPr>
        <w:tc>
          <w:tcPr>
            <w:tcW w:w="202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Additional Pre-Construction Projects</w:t>
            </w:r>
          </w:p>
        </w:tc>
        <w:tc>
          <w:tcPr>
            <w:tcW w:w="400" w:type="dxa"/>
            <w:vAlign w:val="bottom"/>
            <w:shd w:val="clear" w:color="auto" w:fill="2E74B5"/>
          </w:tcPr>
          <w:p>
            <w:pPr>
              <w:spacing w:after="0"/>
              <w:rPr>
                <w:sz w:val="9"/>
                <w:szCs w:val="9"/>
                <w:color w:val="auto"/>
              </w:rPr>
            </w:pPr>
          </w:p>
        </w:tc>
        <w:tc>
          <w:tcPr>
            <w:tcW w:w="620" w:type="dxa"/>
            <w:vAlign w:val="bottom"/>
            <w:shd w:val="clear" w:color="auto" w:fill="2E74B5"/>
          </w:tcPr>
          <w:p>
            <w:pPr>
              <w:spacing w:after="0"/>
              <w:rPr>
                <w:sz w:val="9"/>
                <w:szCs w:val="9"/>
                <w:color w:val="auto"/>
              </w:rPr>
            </w:pPr>
          </w:p>
        </w:tc>
        <w:tc>
          <w:tcPr>
            <w:tcW w:w="500" w:type="dxa"/>
            <w:vAlign w:val="bottom"/>
            <w:tcBorders>
              <w:right w:val="single" w:sz="8" w:color="2E74B5"/>
            </w:tcBorders>
            <w:shd w:val="clear" w:color="auto" w:fill="2E74B5"/>
          </w:tcPr>
          <w:p>
            <w:pPr>
              <w:spacing w:after="0"/>
              <w:rPr>
                <w:sz w:val="9"/>
                <w:szCs w:val="9"/>
                <w:color w:val="auto"/>
              </w:rPr>
            </w:pPr>
          </w:p>
        </w:tc>
        <w:tc>
          <w:tcPr>
            <w:tcW w:w="1180" w:type="dxa"/>
            <w:vAlign w:val="bottom"/>
            <w:gridSpan w:val="2"/>
            <w:vMerge w:val="restart"/>
            <w:shd w:val="clear" w:color="auto" w:fill="2E74B5"/>
          </w:tcPr>
          <w:p>
            <w:pPr>
              <w:spacing w:after="0" w:line="234" w:lineRule="exact"/>
              <w:rPr>
                <w:sz w:val="20"/>
                <w:szCs w:val="20"/>
                <w:color w:val="auto"/>
              </w:rPr>
            </w:pPr>
            <w:r>
              <w:rPr>
                <w:rFonts w:ascii="Times New Roman" w:cs="Times New Roman" w:eastAsia="Times New Roman" w:hAnsi="Times New Roman"/>
                <w:sz w:val="12"/>
                <w:szCs w:val="12"/>
                <w:color w:val="FFFFFF"/>
                <w:w w:val="90"/>
              </w:rPr>
              <w:t xml:space="preserve">Project Cost </w:t>
            </w:r>
            <w:r>
              <w:rPr>
                <w:rFonts w:ascii="Times New Roman" w:cs="Times New Roman" w:eastAsia="Times New Roman" w:hAnsi="Times New Roman"/>
                <w:sz w:val="23"/>
                <w:szCs w:val="23"/>
                <w:color w:val="FFFFFF"/>
                <w:w w:val="90"/>
                <w:vertAlign w:val="subscript"/>
              </w:rPr>
              <w:t>Qualifying</w:t>
            </w:r>
          </w:p>
        </w:tc>
        <w:tc>
          <w:tcPr>
            <w:tcW w:w="1300" w:type="dxa"/>
            <w:vAlign w:val="bottom"/>
            <w:tcBorders>
              <w:right w:val="single" w:sz="8" w:color="2E74B5"/>
            </w:tcBorders>
            <w:shd w:val="clear" w:color="auto" w:fill="2E74B5"/>
          </w:tcPr>
          <w:p>
            <w:pPr>
              <w:spacing w:after="0"/>
              <w:rPr>
                <w:sz w:val="9"/>
                <w:szCs w:val="9"/>
                <w:color w:val="auto"/>
              </w:rPr>
            </w:pPr>
          </w:p>
        </w:tc>
        <w:tc>
          <w:tcPr>
            <w:tcW w:w="680" w:type="dxa"/>
            <w:vAlign w:val="bottom"/>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4"/>
              </w:rPr>
              <w:t>Value of Tax</w:t>
            </w:r>
          </w:p>
        </w:tc>
        <w:tc>
          <w:tcPr>
            <w:tcW w:w="6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net of tax</w:t>
            </w:r>
          </w:p>
        </w:tc>
        <w:tc>
          <w:tcPr>
            <w:tcW w:w="600" w:type="dxa"/>
            <w:vAlign w:val="bottom"/>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9"/>
              </w:rPr>
              <w:t>of</w:t>
            </w:r>
          </w:p>
        </w:tc>
        <w:tc>
          <w:tcPr>
            <w:tcW w:w="620" w:type="dxa"/>
            <w:vAlign w:val="bottom"/>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9"/>
              </w:rPr>
              <w:t>Required</w:t>
            </w: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of</w:t>
            </w:r>
          </w:p>
        </w:tc>
        <w:tc>
          <w:tcPr>
            <w:tcW w:w="66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Revenue</w:t>
            </w:r>
          </w:p>
        </w:tc>
        <w:tc>
          <w:tcPr>
            <w:tcW w:w="800" w:type="dxa"/>
            <w:vAlign w:val="bottom"/>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4"/>
              </w:rPr>
              <w:t>Year</w:t>
            </w:r>
          </w:p>
        </w:tc>
        <w:tc>
          <w:tcPr>
            <w:tcW w:w="660" w:type="dxa"/>
            <w:vAlign w:val="bottom"/>
            <w:shd w:val="clear" w:color="auto" w:fill="2E74B5"/>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20" w:type="dxa"/>
            <w:vAlign w:val="bottom"/>
            <w:tcBorders>
              <w:right w:val="single" w:sz="8" w:color="2E74B5"/>
            </w:tcBorders>
            <w:vMerge w:val="continue"/>
            <w:shd w:val="clear" w:color="auto" w:fill="2E74B5"/>
          </w:tcPr>
          <w:p>
            <w:pPr>
              <w:spacing w:after="0"/>
              <w:rPr>
                <w:sz w:val="11"/>
                <w:szCs w:val="11"/>
                <w:color w:val="auto"/>
              </w:rPr>
            </w:pPr>
          </w:p>
        </w:tc>
        <w:tc>
          <w:tcPr>
            <w:tcW w:w="400" w:type="dxa"/>
            <w:vAlign w:val="bottom"/>
            <w:vMerge w:val="restart"/>
            <w:shd w:val="clear" w:color="auto" w:fill="2E74B5"/>
          </w:tcPr>
          <w:p>
            <w:pPr>
              <w:jc w:val="right"/>
              <w:spacing w:after="0"/>
              <w:rPr>
                <w:sz w:val="20"/>
                <w:szCs w:val="20"/>
                <w:color w:val="auto"/>
              </w:rPr>
            </w:pPr>
            <w:r>
              <w:rPr>
                <w:rFonts w:ascii="Times New Roman" w:cs="Times New Roman" w:eastAsia="Times New Roman" w:hAnsi="Times New Roman"/>
                <w:sz w:val="12"/>
                <w:szCs w:val="12"/>
                <w:b w:val="1"/>
                <w:bCs w:val="1"/>
                <w:color w:val="FFFFFF"/>
              </w:rPr>
              <w:t>2026</w:t>
            </w: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2027</w:t>
            </w:r>
          </w:p>
        </w:tc>
        <w:tc>
          <w:tcPr>
            <w:tcW w:w="50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2028</w:t>
            </w:r>
          </w:p>
        </w:tc>
        <w:tc>
          <w:tcPr>
            <w:tcW w:w="1180" w:type="dxa"/>
            <w:vAlign w:val="bottom"/>
            <w:gridSpan w:val="2"/>
            <w:vMerge w:val="continue"/>
            <w:shd w:val="clear" w:color="auto" w:fill="2E74B5"/>
          </w:tcPr>
          <w:p>
            <w:pPr>
              <w:spacing w:after="0"/>
              <w:rPr>
                <w:sz w:val="11"/>
                <w:szCs w:val="11"/>
                <w:color w:val="auto"/>
              </w:rPr>
            </w:pPr>
          </w:p>
        </w:tc>
        <w:tc>
          <w:tcPr>
            <w:tcW w:w="130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Adders*****</w:t>
            </w:r>
          </w:p>
        </w:tc>
        <w:tc>
          <w:tcPr>
            <w:tcW w:w="68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rPr>
              <w:t>Benefit***</w:t>
            </w:r>
          </w:p>
        </w:tc>
        <w:tc>
          <w:tcPr>
            <w:tcW w:w="640" w:type="dxa"/>
            <w:vAlign w:val="bottom"/>
            <w:vMerge w:val="continue"/>
            <w:shd w:val="clear" w:color="auto" w:fill="2E74B5"/>
          </w:tcPr>
          <w:p>
            <w:pPr>
              <w:spacing w:after="0"/>
              <w:rPr>
                <w:sz w:val="11"/>
                <w:szCs w:val="11"/>
                <w:color w:val="auto"/>
              </w:rPr>
            </w:pPr>
          </w:p>
        </w:tc>
        <w:tc>
          <w:tcPr>
            <w:tcW w:w="60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7"/>
              </w:rPr>
              <w:t>September</w:t>
            </w:r>
          </w:p>
        </w:tc>
        <w:tc>
          <w:tcPr>
            <w:tcW w:w="62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w:t>
            </w:r>
          </w:p>
        </w:tc>
        <w:tc>
          <w:tcPr>
            <w:tcW w:w="620" w:type="dxa"/>
            <w:vAlign w:val="bottom"/>
            <w:vMerge w:val="continue"/>
            <w:shd w:val="clear" w:color="auto" w:fill="2E74B5"/>
          </w:tcPr>
          <w:p>
            <w:pPr>
              <w:spacing w:after="0"/>
              <w:rPr>
                <w:sz w:val="11"/>
                <w:szCs w:val="11"/>
                <w:color w:val="auto"/>
              </w:rPr>
            </w:pPr>
          </w:p>
        </w:tc>
        <w:tc>
          <w:tcPr>
            <w:tcW w:w="660" w:type="dxa"/>
            <w:vAlign w:val="bottom"/>
            <w:vMerge w:val="continue"/>
            <w:shd w:val="clear" w:color="auto" w:fill="2E74B5"/>
          </w:tcPr>
          <w:p>
            <w:pPr>
              <w:spacing w:after="0"/>
              <w:rPr>
                <w:sz w:val="11"/>
                <w:szCs w:val="11"/>
                <w:color w:val="auto"/>
              </w:rPr>
            </w:pPr>
          </w:p>
        </w:tc>
        <w:tc>
          <w:tcPr>
            <w:tcW w:w="800" w:type="dxa"/>
            <w:vAlign w:val="bottom"/>
            <w:shd w:val="clear" w:color="auto" w:fill="2E74B5"/>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EBITDA****</w:t>
            </w:r>
          </w:p>
        </w:tc>
        <w:tc>
          <w:tcPr>
            <w:tcW w:w="660" w:type="dxa"/>
            <w:vAlign w:val="bottom"/>
            <w:shd w:val="clear" w:color="auto" w:fill="2E74B5"/>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2E74B5"/>
            </w:tcBorders>
            <w:shd w:val="clear" w:color="auto" w:fill="2E74B5"/>
          </w:tcPr>
          <w:p>
            <w:pPr>
              <w:spacing w:after="0"/>
              <w:rPr>
                <w:sz w:val="8"/>
                <w:szCs w:val="8"/>
                <w:color w:val="auto"/>
              </w:rPr>
            </w:pPr>
          </w:p>
        </w:tc>
        <w:tc>
          <w:tcPr>
            <w:tcW w:w="400" w:type="dxa"/>
            <w:vAlign w:val="bottom"/>
            <w:vMerge w:val="continue"/>
            <w:shd w:val="clear" w:color="auto" w:fill="2E74B5"/>
          </w:tcPr>
          <w:p>
            <w:pPr>
              <w:spacing w:after="0"/>
              <w:rPr>
                <w:sz w:val="8"/>
                <w:szCs w:val="8"/>
                <w:color w:val="auto"/>
              </w:rPr>
            </w:pPr>
          </w:p>
        </w:tc>
        <w:tc>
          <w:tcPr>
            <w:tcW w:w="620" w:type="dxa"/>
            <w:vAlign w:val="bottom"/>
            <w:vMerge w:val="continue"/>
            <w:shd w:val="clear" w:color="auto" w:fill="2E74B5"/>
          </w:tcPr>
          <w:p>
            <w:pPr>
              <w:spacing w:after="0"/>
              <w:rPr>
                <w:sz w:val="8"/>
                <w:szCs w:val="8"/>
                <w:color w:val="auto"/>
              </w:rPr>
            </w:pPr>
          </w:p>
        </w:tc>
        <w:tc>
          <w:tcPr>
            <w:tcW w:w="500" w:type="dxa"/>
            <w:vAlign w:val="bottom"/>
            <w:tcBorders>
              <w:right w:val="single" w:sz="8" w:color="2E74B5"/>
            </w:tcBorders>
            <w:vMerge w:val="continue"/>
            <w:shd w:val="clear" w:color="auto" w:fill="2E74B5"/>
          </w:tcPr>
          <w:p>
            <w:pPr>
              <w:spacing w:after="0"/>
              <w:rPr>
                <w:sz w:val="8"/>
                <w:szCs w:val="8"/>
                <w:color w:val="auto"/>
              </w:rPr>
            </w:pPr>
          </w:p>
        </w:tc>
        <w:tc>
          <w:tcPr>
            <w:tcW w:w="620" w:type="dxa"/>
            <w:vAlign w:val="bottom"/>
            <w:tcBorders>
              <w:right w:val="single" w:sz="8" w:color="2E74B5"/>
            </w:tcBorders>
            <w:shd w:val="clear" w:color="auto" w:fill="2E74B5"/>
          </w:tcPr>
          <w:p>
            <w:pPr>
              <w:spacing w:after="0"/>
              <w:rPr>
                <w:sz w:val="8"/>
                <w:szCs w:val="8"/>
                <w:color w:val="auto"/>
              </w:rPr>
            </w:pPr>
          </w:p>
        </w:tc>
        <w:tc>
          <w:tcPr>
            <w:tcW w:w="56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Category</w:t>
            </w:r>
          </w:p>
        </w:tc>
        <w:tc>
          <w:tcPr>
            <w:tcW w:w="1300" w:type="dxa"/>
            <w:vAlign w:val="bottom"/>
            <w:tcBorders>
              <w:right w:val="single" w:sz="8" w:color="2E74B5"/>
            </w:tcBorders>
            <w:vMerge w:val="continue"/>
            <w:shd w:val="clear" w:color="auto" w:fill="2E74B5"/>
          </w:tcPr>
          <w:p>
            <w:pPr>
              <w:spacing w:after="0"/>
              <w:rPr>
                <w:sz w:val="8"/>
                <w:szCs w:val="8"/>
                <w:color w:val="auto"/>
              </w:rPr>
            </w:pPr>
          </w:p>
        </w:tc>
        <w:tc>
          <w:tcPr>
            <w:tcW w:w="680" w:type="dxa"/>
            <w:vAlign w:val="bottom"/>
            <w:shd w:val="clear" w:color="auto" w:fill="2E74B5"/>
          </w:tcPr>
          <w:p>
            <w:pPr>
              <w:spacing w:after="0"/>
              <w:rPr>
                <w:sz w:val="8"/>
                <w:szCs w:val="8"/>
                <w:color w:val="auto"/>
              </w:rPr>
            </w:pPr>
          </w:p>
        </w:tc>
        <w:tc>
          <w:tcPr>
            <w:tcW w:w="640" w:type="dxa"/>
            <w:vAlign w:val="bottom"/>
            <w:shd w:val="clear" w:color="auto" w:fill="2E74B5"/>
          </w:tcPr>
          <w:p>
            <w:pPr>
              <w:jc w:val="center"/>
              <w:spacing w:after="0" w:line="97" w:lineRule="exact"/>
              <w:rPr>
                <w:sz w:val="20"/>
                <w:szCs w:val="20"/>
                <w:color w:val="auto"/>
              </w:rPr>
            </w:pPr>
            <w:r>
              <w:rPr>
                <w:rFonts w:ascii="Times New Roman" w:cs="Times New Roman" w:eastAsia="Times New Roman" w:hAnsi="Times New Roman"/>
                <w:sz w:val="11"/>
                <w:szCs w:val="11"/>
                <w:color w:val="FFFFFF"/>
              </w:rPr>
              <w:t>benefit</w:t>
            </w:r>
          </w:p>
        </w:tc>
        <w:tc>
          <w:tcPr>
            <w:tcW w:w="60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30, 2025</w:t>
            </w:r>
          </w:p>
        </w:tc>
        <w:tc>
          <w:tcPr>
            <w:tcW w:w="620" w:type="dxa"/>
            <w:vAlign w:val="bottom"/>
            <w:shd w:val="clear" w:color="auto" w:fill="2E74B5"/>
          </w:tcPr>
          <w:p>
            <w:pPr>
              <w:spacing w:after="0"/>
              <w:rPr>
                <w:sz w:val="8"/>
                <w:szCs w:val="8"/>
                <w:color w:val="auto"/>
              </w:rPr>
            </w:pPr>
          </w:p>
        </w:tc>
        <w:tc>
          <w:tcPr>
            <w:tcW w:w="620" w:type="dxa"/>
            <w:vAlign w:val="bottom"/>
            <w:shd w:val="clear" w:color="auto" w:fill="2E74B5"/>
          </w:tcPr>
          <w:p>
            <w:pPr>
              <w:jc w:val="center"/>
              <w:spacing w:after="0" w:line="97" w:lineRule="exact"/>
              <w:rPr>
                <w:sz w:val="20"/>
                <w:szCs w:val="20"/>
                <w:color w:val="auto"/>
              </w:rPr>
            </w:pPr>
            <w:r>
              <w:rPr>
                <w:rFonts w:ascii="Times New Roman" w:cs="Times New Roman" w:eastAsia="Times New Roman" w:hAnsi="Times New Roman"/>
                <w:sz w:val="11"/>
                <w:szCs w:val="11"/>
                <w:color w:val="FFFFFF"/>
              </w:rPr>
              <w:t>September</w:t>
            </w:r>
          </w:p>
        </w:tc>
        <w:tc>
          <w:tcPr>
            <w:tcW w:w="660" w:type="dxa"/>
            <w:vAlign w:val="bottom"/>
            <w:shd w:val="clear" w:color="auto" w:fill="2E74B5"/>
          </w:tcPr>
          <w:p>
            <w:pPr>
              <w:jc w:val="center"/>
              <w:spacing w:after="0" w:line="97" w:lineRule="exact"/>
              <w:rPr>
                <w:sz w:val="20"/>
                <w:szCs w:val="20"/>
                <w:color w:val="auto"/>
              </w:rPr>
            </w:pPr>
            <w:r>
              <w:rPr>
                <w:rFonts w:ascii="Times New Roman" w:cs="Times New Roman" w:eastAsia="Times New Roman" w:hAnsi="Times New Roman"/>
                <w:sz w:val="11"/>
                <w:szCs w:val="11"/>
                <w:color w:val="FFFFFF"/>
              </w:rPr>
              <w:t>*********</w:t>
            </w:r>
          </w:p>
        </w:tc>
        <w:tc>
          <w:tcPr>
            <w:tcW w:w="800" w:type="dxa"/>
            <w:vAlign w:val="bottom"/>
            <w:shd w:val="clear" w:color="auto" w:fill="2E74B5"/>
          </w:tcPr>
          <w:p>
            <w:pPr>
              <w:spacing w:after="0"/>
              <w:rPr>
                <w:sz w:val="8"/>
                <w:szCs w:val="8"/>
                <w:color w:val="auto"/>
              </w:rPr>
            </w:pPr>
          </w:p>
        </w:tc>
        <w:tc>
          <w:tcPr>
            <w:tcW w:w="660" w:type="dxa"/>
            <w:vAlign w:val="bottom"/>
            <w:shd w:val="clear" w:color="auto" w:fill="2E74B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20" w:type="dxa"/>
            <w:vAlign w:val="bottom"/>
            <w:tcBorders>
              <w:right w:val="single" w:sz="8" w:color="2E74B5"/>
            </w:tcBorders>
            <w:shd w:val="clear" w:color="auto" w:fill="2E74B5"/>
          </w:tcPr>
          <w:p>
            <w:pPr>
              <w:spacing w:after="0"/>
              <w:rPr>
                <w:sz w:val="7"/>
                <w:szCs w:val="7"/>
                <w:color w:val="auto"/>
              </w:rPr>
            </w:pPr>
          </w:p>
        </w:tc>
        <w:tc>
          <w:tcPr>
            <w:tcW w:w="400" w:type="dxa"/>
            <w:vAlign w:val="bottom"/>
            <w:shd w:val="clear" w:color="auto" w:fill="2E74B5"/>
          </w:tcPr>
          <w:p>
            <w:pPr>
              <w:spacing w:after="0"/>
              <w:rPr>
                <w:sz w:val="7"/>
                <w:szCs w:val="7"/>
                <w:color w:val="auto"/>
              </w:rPr>
            </w:pPr>
          </w:p>
        </w:tc>
        <w:tc>
          <w:tcPr>
            <w:tcW w:w="620" w:type="dxa"/>
            <w:vAlign w:val="bottom"/>
            <w:shd w:val="clear" w:color="auto" w:fill="2E74B5"/>
          </w:tcPr>
          <w:p>
            <w:pPr>
              <w:spacing w:after="0"/>
              <w:rPr>
                <w:sz w:val="7"/>
                <w:szCs w:val="7"/>
                <w:color w:val="auto"/>
              </w:rPr>
            </w:pPr>
          </w:p>
        </w:tc>
        <w:tc>
          <w:tcPr>
            <w:tcW w:w="500" w:type="dxa"/>
            <w:vAlign w:val="bottom"/>
            <w:tcBorders>
              <w:right w:val="single" w:sz="8" w:color="2E74B5"/>
            </w:tcBorders>
            <w:shd w:val="clear" w:color="auto" w:fill="2E74B5"/>
          </w:tcPr>
          <w:p>
            <w:pPr>
              <w:spacing w:after="0"/>
              <w:rPr>
                <w:sz w:val="7"/>
                <w:szCs w:val="7"/>
                <w:color w:val="auto"/>
              </w:rPr>
            </w:pPr>
          </w:p>
        </w:tc>
        <w:tc>
          <w:tcPr>
            <w:tcW w:w="620" w:type="dxa"/>
            <w:vAlign w:val="bottom"/>
            <w:tcBorders>
              <w:right w:val="single" w:sz="8" w:color="2E74B5"/>
            </w:tcBorders>
            <w:shd w:val="clear" w:color="auto" w:fill="2E74B5"/>
          </w:tcPr>
          <w:p>
            <w:pPr>
              <w:spacing w:after="0"/>
              <w:rPr>
                <w:sz w:val="7"/>
                <w:szCs w:val="7"/>
                <w:color w:val="auto"/>
              </w:rPr>
            </w:pPr>
          </w:p>
        </w:tc>
        <w:tc>
          <w:tcPr>
            <w:tcW w:w="560" w:type="dxa"/>
            <w:vAlign w:val="bottom"/>
            <w:vMerge w:val="continue"/>
            <w:shd w:val="clear" w:color="auto" w:fill="2E74B5"/>
          </w:tcPr>
          <w:p>
            <w:pPr>
              <w:spacing w:after="0"/>
              <w:rPr>
                <w:sz w:val="7"/>
                <w:szCs w:val="7"/>
                <w:color w:val="auto"/>
              </w:rPr>
            </w:pPr>
          </w:p>
        </w:tc>
        <w:tc>
          <w:tcPr>
            <w:tcW w:w="1300" w:type="dxa"/>
            <w:vAlign w:val="bottom"/>
            <w:tcBorders>
              <w:right w:val="single" w:sz="8" w:color="2E74B5"/>
            </w:tcBorders>
            <w:shd w:val="clear" w:color="auto" w:fill="2E74B5"/>
          </w:tcPr>
          <w:p>
            <w:pPr>
              <w:spacing w:after="0"/>
              <w:rPr>
                <w:sz w:val="7"/>
                <w:szCs w:val="7"/>
                <w:color w:val="auto"/>
              </w:rPr>
            </w:pPr>
          </w:p>
        </w:tc>
        <w:tc>
          <w:tcPr>
            <w:tcW w:w="680" w:type="dxa"/>
            <w:vAlign w:val="bottom"/>
            <w:shd w:val="clear" w:color="auto" w:fill="2E74B5"/>
          </w:tcPr>
          <w:p>
            <w:pPr>
              <w:spacing w:after="0"/>
              <w:rPr>
                <w:sz w:val="7"/>
                <w:szCs w:val="7"/>
                <w:color w:val="auto"/>
              </w:rPr>
            </w:pPr>
          </w:p>
        </w:tc>
        <w:tc>
          <w:tcPr>
            <w:tcW w:w="640" w:type="dxa"/>
            <w:vAlign w:val="bottom"/>
            <w:shd w:val="clear" w:color="auto" w:fill="2E74B5"/>
          </w:tcPr>
          <w:p>
            <w:pPr>
              <w:spacing w:after="0"/>
              <w:rPr>
                <w:sz w:val="7"/>
                <w:szCs w:val="7"/>
                <w:color w:val="auto"/>
              </w:rPr>
            </w:pPr>
          </w:p>
        </w:tc>
        <w:tc>
          <w:tcPr>
            <w:tcW w:w="600" w:type="dxa"/>
            <w:vAlign w:val="bottom"/>
            <w:vMerge w:val="continue"/>
            <w:shd w:val="clear" w:color="auto" w:fill="2E74B5"/>
          </w:tcPr>
          <w:p>
            <w:pPr>
              <w:spacing w:after="0"/>
              <w:rPr>
                <w:sz w:val="7"/>
                <w:szCs w:val="7"/>
                <w:color w:val="auto"/>
              </w:rPr>
            </w:pPr>
          </w:p>
        </w:tc>
        <w:tc>
          <w:tcPr>
            <w:tcW w:w="620" w:type="dxa"/>
            <w:vAlign w:val="bottom"/>
            <w:shd w:val="clear" w:color="auto" w:fill="2E74B5"/>
          </w:tcPr>
          <w:p>
            <w:pPr>
              <w:spacing w:after="0"/>
              <w:rPr>
                <w:sz w:val="7"/>
                <w:szCs w:val="7"/>
                <w:color w:val="auto"/>
              </w:rPr>
            </w:pP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30, 2025</w:t>
            </w:r>
          </w:p>
        </w:tc>
        <w:tc>
          <w:tcPr>
            <w:tcW w:w="660" w:type="dxa"/>
            <w:vAlign w:val="bottom"/>
            <w:shd w:val="clear" w:color="auto" w:fill="2E74B5"/>
          </w:tcPr>
          <w:p>
            <w:pPr>
              <w:spacing w:after="0"/>
              <w:rPr>
                <w:sz w:val="7"/>
                <w:szCs w:val="7"/>
                <w:color w:val="auto"/>
              </w:rPr>
            </w:pPr>
          </w:p>
        </w:tc>
        <w:tc>
          <w:tcPr>
            <w:tcW w:w="800" w:type="dxa"/>
            <w:vAlign w:val="bottom"/>
            <w:shd w:val="clear" w:color="auto" w:fill="2E74B5"/>
          </w:tcPr>
          <w:p>
            <w:pPr>
              <w:spacing w:after="0"/>
              <w:rPr>
                <w:sz w:val="7"/>
                <w:szCs w:val="7"/>
                <w:color w:val="auto"/>
              </w:rPr>
            </w:pPr>
          </w:p>
        </w:tc>
        <w:tc>
          <w:tcPr>
            <w:tcW w:w="660" w:type="dxa"/>
            <w:vAlign w:val="bottom"/>
            <w:shd w:val="clear" w:color="auto" w:fill="2E74B5"/>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20" w:type="dxa"/>
            <w:vAlign w:val="bottom"/>
            <w:tcBorders>
              <w:right w:val="single" w:sz="8" w:color="2E74B5"/>
            </w:tcBorders>
            <w:shd w:val="clear" w:color="auto" w:fill="2E74B5"/>
          </w:tcPr>
          <w:p>
            <w:pPr>
              <w:spacing w:after="0"/>
              <w:rPr>
                <w:sz w:val="7"/>
                <w:szCs w:val="7"/>
                <w:color w:val="auto"/>
              </w:rPr>
            </w:pPr>
          </w:p>
        </w:tc>
        <w:tc>
          <w:tcPr>
            <w:tcW w:w="400" w:type="dxa"/>
            <w:vAlign w:val="bottom"/>
            <w:shd w:val="clear" w:color="auto" w:fill="2E74B5"/>
          </w:tcPr>
          <w:p>
            <w:pPr>
              <w:spacing w:after="0"/>
              <w:rPr>
                <w:sz w:val="7"/>
                <w:szCs w:val="7"/>
                <w:color w:val="auto"/>
              </w:rPr>
            </w:pPr>
          </w:p>
        </w:tc>
        <w:tc>
          <w:tcPr>
            <w:tcW w:w="620" w:type="dxa"/>
            <w:vAlign w:val="bottom"/>
            <w:shd w:val="clear" w:color="auto" w:fill="2E74B5"/>
          </w:tcPr>
          <w:p>
            <w:pPr>
              <w:spacing w:after="0"/>
              <w:rPr>
                <w:sz w:val="7"/>
                <w:szCs w:val="7"/>
                <w:color w:val="auto"/>
              </w:rPr>
            </w:pPr>
          </w:p>
        </w:tc>
        <w:tc>
          <w:tcPr>
            <w:tcW w:w="500" w:type="dxa"/>
            <w:vAlign w:val="bottom"/>
            <w:tcBorders>
              <w:right w:val="single" w:sz="8" w:color="2E74B5"/>
            </w:tcBorders>
            <w:shd w:val="clear" w:color="auto" w:fill="2E74B5"/>
          </w:tcPr>
          <w:p>
            <w:pPr>
              <w:spacing w:after="0"/>
              <w:rPr>
                <w:sz w:val="7"/>
                <w:szCs w:val="7"/>
                <w:color w:val="auto"/>
              </w:rPr>
            </w:pPr>
          </w:p>
        </w:tc>
        <w:tc>
          <w:tcPr>
            <w:tcW w:w="620" w:type="dxa"/>
            <w:vAlign w:val="bottom"/>
            <w:tcBorders>
              <w:right w:val="single" w:sz="8" w:color="2E74B5"/>
            </w:tcBorders>
            <w:shd w:val="clear" w:color="auto" w:fill="2E74B5"/>
          </w:tcPr>
          <w:p>
            <w:pPr>
              <w:spacing w:after="0"/>
              <w:rPr>
                <w:sz w:val="7"/>
                <w:szCs w:val="7"/>
                <w:color w:val="auto"/>
              </w:rPr>
            </w:pPr>
          </w:p>
        </w:tc>
        <w:tc>
          <w:tcPr>
            <w:tcW w:w="560" w:type="dxa"/>
            <w:vAlign w:val="bottom"/>
            <w:shd w:val="clear" w:color="auto" w:fill="2E74B5"/>
          </w:tcPr>
          <w:p>
            <w:pPr>
              <w:spacing w:after="0"/>
              <w:rPr>
                <w:sz w:val="7"/>
                <w:szCs w:val="7"/>
                <w:color w:val="auto"/>
              </w:rPr>
            </w:pPr>
          </w:p>
        </w:tc>
        <w:tc>
          <w:tcPr>
            <w:tcW w:w="1300" w:type="dxa"/>
            <w:vAlign w:val="bottom"/>
            <w:tcBorders>
              <w:right w:val="single" w:sz="8" w:color="2E74B5"/>
            </w:tcBorders>
            <w:shd w:val="clear" w:color="auto" w:fill="2E74B5"/>
          </w:tcPr>
          <w:p>
            <w:pPr>
              <w:spacing w:after="0"/>
              <w:rPr>
                <w:sz w:val="7"/>
                <w:szCs w:val="7"/>
                <w:color w:val="auto"/>
              </w:rPr>
            </w:pPr>
          </w:p>
        </w:tc>
        <w:tc>
          <w:tcPr>
            <w:tcW w:w="680" w:type="dxa"/>
            <w:vAlign w:val="bottom"/>
            <w:shd w:val="clear" w:color="auto" w:fill="2E74B5"/>
          </w:tcPr>
          <w:p>
            <w:pPr>
              <w:spacing w:after="0"/>
              <w:rPr>
                <w:sz w:val="7"/>
                <w:szCs w:val="7"/>
                <w:color w:val="auto"/>
              </w:rPr>
            </w:pPr>
          </w:p>
        </w:tc>
        <w:tc>
          <w:tcPr>
            <w:tcW w:w="640" w:type="dxa"/>
            <w:vAlign w:val="bottom"/>
            <w:shd w:val="clear" w:color="auto" w:fill="2E74B5"/>
          </w:tcPr>
          <w:p>
            <w:pPr>
              <w:spacing w:after="0"/>
              <w:rPr>
                <w:sz w:val="7"/>
                <w:szCs w:val="7"/>
                <w:color w:val="auto"/>
              </w:rPr>
            </w:pPr>
          </w:p>
        </w:tc>
        <w:tc>
          <w:tcPr>
            <w:tcW w:w="600" w:type="dxa"/>
            <w:vAlign w:val="bottom"/>
            <w:shd w:val="clear" w:color="auto" w:fill="2E74B5"/>
          </w:tcPr>
          <w:p>
            <w:pPr>
              <w:spacing w:after="0"/>
              <w:rPr>
                <w:sz w:val="7"/>
                <w:szCs w:val="7"/>
                <w:color w:val="auto"/>
              </w:rPr>
            </w:pPr>
          </w:p>
        </w:tc>
        <w:tc>
          <w:tcPr>
            <w:tcW w:w="620" w:type="dxa"/>
            <w:vAlign w:val="bottom"/>
            <w:shd w:val="clear" w:color="auto" w:fill="2E74B5"/>
          </w:tcPr>
          <w:p>
            <w:pPr>
              <w:spacing w:after="0"/>
              <w:rPr>
                <w:sz w:val="7"/>
                <w:szCs w:val="7"/>
                <w:color w:val="auto"/>
              </w:rPr>
            </w:pPr>
          </w:p>
        </w:tc>
        <w:tc>
          <w:tcPr>
            <w:tcW w:w="620" w:type="dxa"/>
            <w:vAlign w:val="bottom"/>
            <w:vMerge w:val="continue"/>
            <w:shd w:val="clear" w:color="auto" w:fill="2E74B5"/>
          </w:tcPr>
          <w:p>
            <w:pPr>
              <w:spacing w:after="0"/>
              <w:rPr>
                <w:sz w:val="7"/>
                <w:szCs w:val="7"/>
                <w:color w:val="auto"/>
              </w:rPr>
            </w:pPr>
          </w:p>
        </w:tc>
        <w:tc>
          <w:tcPr>
            <w:tcW w:w="660" w:type="dxa"/>
            <w:vAlign w:val="bottom"/>
            <w:shd w:val="clear" w:color="auto" w:fill="2E74B5"/>
          </w:tcPr>
          <w:p>
            <w:pPr>
              <w:spacing w:after="0"/>
              <w:rPr>
                <w:sz w:val="7"/>
                <w:szCs w:val="7"/>
                <w:color w:val="auto"/>
              </w:rPr>
            </w:pPr>
          </w:p>
        </w:tc>
        <w:tc>
          <w:tcPr>
            <w:tcW w:w="800" w:type="dxa"/>
            <w:vAlign w:val="bottom"/>
            <w:shd w:val="clear" w:color="auto" w:fill="2E74B5"/>
          </w:tcPr>
          <w:p>
            <w:pPr>
              <w:spacing w:after="0"/>
              <w:rPr>
                <w:sz w:val="7"/>
                <w:szCs w:val="7"/>
                <w:color w:val="auto"/>
              </w:rPr>
            </w:pPr>
          </w:p>
        </w:tc>
        <w:tc>
          <w:tcPr>
            <w:tcW w:w="660" w:type="dxa"/>
            <w:vAlign w:val="bottom"/>
            <w:shd w:val="clear" w:color="auto" w:fill="2E74B5"/>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4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128/0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439/0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925-973</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DC (10%) &amp; EC (10%)**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465-488</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460-485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10%-20%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66-70</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51-53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Europe</w:t>
            </w:r>
          </w:p>
        </w:tc>
        <w:tc>
          <w:tcPr>
            <w:tcW w:w="4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0/221</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0/208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77-81</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77-81</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45%-50%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18-19</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15-16</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84%</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MENA</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0/35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4/422</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38/68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207-218</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207-218</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35%-45%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29-31</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18-19</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86%</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 Consolidated Projects</w:t>
            </w:r>
          </w:p>
        </w:tc>
        <w:tc>
          <w:tcPr>
            <w:tcW w:w="4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0/35</w:t>
            </w:r>
          </w:p>
        </w:tc>
        <w:tc>
          <w:tcPr>
            <w:tcW w:w="6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132/643</w:t>
            </w:r>
          </w:p>
        </w:tc>
        <w:tc>
          <w:tcPr>
            <w:tcW w:w="50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477/276</w:t>
            </w:r>
          </w:p>
        </w:tc>
        <w:tc>
          <w:tcPr>
            <w:tcW w:w="62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4,052-4,261</w:t>
            </w:r>
          </w:p>
        </w:tc>
        <w:tc>
          <w:tcPr>
            <w:tcW w:w="560" w:type="dxa"/>
            <w:vAlign w:val="bottom"/>
            <w:tcBorders>
              <w:bottom w:val="single" w:sz="8" w:color="auto"/>
            </w:tcBorders>
            <w:shd w:val="clear" w:color="auto" w:fill="BDD6EE"/>
          </w:tcPr>
          <w:p>
            <w:pPr>
              <w:spacing w:after="0"/>
              <w:rPr>
                <w:sz w:val="14"/>
                <w:szCs w:val="14"/>
                <w:color w:val="auto"/>
              </w:rPr>
            </w:pPr>
          </w:p>
        </w:tc>
        <w:tc>
          <w:tcPr>
            <w:tcW w:w="1300" w:type="dxa"/>
            <w:vAlign w:val="bottom"/>
            <w:tcBorders>
              <w:bottom w:val="single" w:sz="8" w:color="auto"/>
              <w:right w:val="single" w:sz="8" w:color="auto"/>
            </w:tcBorders>
            <w:shd w:val="clear" w:color="auto" w:fill="BDD6EE"/>
          </w:tcPr>
          <w:p>
            <w:pPr>
              <w:spacing w:after="0"/>
              <w:rPr>
                <w:sz w:val="14"/>
                <w:szCs w:val="14"/>
                <w:color w:val="auto"/>
              </w:rPr>
            </w:pPr>
          </w:p>
        </w:tc>
        <w:tc>
          <w:tcPr>
            <w:tcW w:w="1320" w:type="dxa"/>
            <w:vAlign w:val="bottom"/>
            <w:tcBorders>
              <w:bottom w:val="single" w:sz="8" w:color="auto"/>
            </w:tcBorders>
            <w:gridSpan w:val="2"/>
            <w:shd w:val="clear" w:color="auto" w:fill="BDD6EE"/>
          </w:tcPr>
          <w:p>
            <w:pPr>
              <w:jc w:val="right"/>
              <w:spacing w:after="0"/>
              <w:rPr>
                <w:sz w:val="20"/>
                <w:szCs w:val="20"/>
                <w:color w:val="auto"/>
              </w:rPr>
            </w:pPr>
            <w:r>
              <w:rPr>
                <w:rFonts w:ascii="Times New Roman" w:cs="Times New Roman" w:eastAsia="Times New Roman" w:hAnsi="Times New Roman"/>
                <w:sz w:val="12"/>
                <w:szCs w:val="12"/>
                <w:b w:val="1"/>
                <w:bCs w:val="1"/>
                <w:color w:val="auto"/>
              </w:rPr>
              <w:t>1,222-1,284 2,830-2,977</w:t>
            </w:r>
          </w:p>
        </w:tc>
        <w:tc>
          <w:tcPr>
            <w:tcW w:w="6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111</w:t>
            </w:r>
          </w:p>
        </w:tc>
        <w:tc>
          <w:tcPr>
            <w:tcW w:w="620" w:type="dxa"/>
            <w:vAlign w:val="bottom"/>
            <w:tcBorders>
              <w:bottom w:val="single" w:sz="8" w:color="auto"/>
            </w:tcBorders>
            <w:shd w:val="clear" w:color="auto" w:fill="BDD6EE"/>
          </w:tcPr>
          <w:p>
            <w:pPr>
              <w:spacing w:after="0"/>
              <w:rPr>
                <w:sz w:val="14"/>
                <w:szCs w:val="14"/>
                <w:color w:val="auto"/>
              </w:rPr>
            </w:pPr>
          </w:p>
        </w:tc>
        <w:tc>
          <w:tcPr>
            <w:tcW w:w="6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111</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479-506</w:t>
            </w:r>
          </w:p>
        </w:tc>
        <w:tc>
          <w:tcPr>
            <w:tcW w:w="80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375-395</w:t>
            </w:r>
          </w:p>
        </w:tc>
        <w:tc>
          <w:tcPr>
            <w:tcW w:w="660" w:type="dxa"/>
            <w:vAlign w:val="bottom"/>
            <w:tcBorders>
              <w:bottom w:val="single" w:sz="8" w:color="auto"/>
            </w:tcBorders>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Unconsolidated Projects at share*******</w:t>
            </w:r>
          </w:p>
        </w:tc>
        <w:tc>
          <w:tcPr>
            <w:tcW w:w="4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0/55</w:t>
            </w:r>
          </w:p>
        </w:tc>
        <w:tc>
          <w:tcPr>
            <w:tcW w:w="50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0/14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14-15</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14-15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15%-20%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56%</w:t>
            </w:r>
          </w:p>
        </w:tc>
        <w:tc>
          <w:tcPr>
            <w:tcW w:w="0" w:type="dxa"/>
            <w:vAlign w:val="bottom"/>
          </w:tcPr>
          <w:p>
            <w:pPr>
              <w:spacing w:after="0"/>
              <w:rPr>
                <w:sz w:val="1"/>
                <w:szCs w:val="1"/>
                <w:color w:val="auto"/>
              </w:rPr>
            </w:pPr>
          </w:p>
        </w:tc>
      </w:tr>
      <w:tr>
        <w:trPr>
          <w:trHeight w:val="171"/>
        </w:trPr>
        <w:tc>
          <w:tcPr>
            <w:tcW w:w="2020" w:type="dxa"/>
            <w:vAlign w:val="bottom"/>
            <w:tcBorders>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Total Pre-Construction</w:t>
            </w:r>
          </w:p>
        </w:tc>
        <w:tc>
          <w:tcPr>
            <w:tcW w:w="1520" w:type="dxa"/>
            <w:vAlign w:val="bottom"/>
            <w:tcBorders>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1,336MW +9,281MWh</w:t>
            </w:r>
          </w:p>
        </w:tc>
        <w:tc>
          <w:tcPr>
            <w:tcW w:w="620" w:type="dxa"/>
            <w:vAlign w:val="bottom"/>
            <w:tcBorders>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4,066-4,276</w:t>
            </w:r>
          </w:p>
        </w:tc>
        <w:tc>
          <w:tcPr>
            <w:tcW w:w="560" w:type="dxa"/>
            <w:vAlign w:val="bottom"/>
            <w:shd w:val="clear" w:color="auto" w:fill="BDD6EE"/>
          </w:tcPr>
          <w:p>
            <w:pPr>
              <w:spacing w:after="0"/>
              <w:rPr>
                <w:sz w:val="14"/>
                <w:szCs w:val="14"/>
                <w:color w:val="auto"/>
              </w:rPr>
            </w:pPr>
          </w:p>
        </w:tc>
        <w:tc>
          <w:tcPr>
            <w:tcW w:w="1300" w:type="dxa"/>
            <w:vAlign w:val="bottom"/>
            <w:tcBorders>
              <w:right w:val="single" w:sz="8" w:color="auto"/>
            </w:tcBorders>
            <w:shd w:val="clear" w:color="auto" w:fill="BDD6EE"/>
          </w:tcPr>
          <w:p>
            <w:pPr>
              <w:spacing w:after="0"/>
              <w:rPr>
                <w:sz w:val="14"/>
                <w:szCs w:val="14"/>
                <w:color w:val="auto"/>
              </w:rPr>
            </w:pPr>
          </w:p>
        </w:tc>
        <w:tc>
          <w:tcPr>
            <w:tcW w:w="132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2"/>
                <w:szCs w:val="12"/>
                <w:b w:val="1"/>
                <w:bCs w:val="1"/>
                <w:color w:val="auto"/>
              </w:rPr>
              <w:t>1,222-1,284 2,844-2,992</w:t>
            </w:r>
          </w:p>
        </w:tc>
        <w:tc>
          <w:tcPr>
            <w:tcW w:w="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112</w:t>
            </w:r>
          </w:p>
        </w:tc>
        <w:tc>
          <w:tcPr>
            <w:tcW w:w="620" w:type="dxa"/>
            <w:vAlign w:val="bottom"/>
            <w:shd w:val="clear" w:color="auto" w:fill="BDD6EE"/>
          </w:tcPr>
          <w:p>
            <w:pPr>
              <w:spacing w:after="0"/>
              <w:rPr>
                <w:sz w:val="14"/>
                <w:szCs w:val="14"/>
                <w:color w:val="auto"/>
              </w:rPr>
            </w:pPr>
          </w:p>
        </w:tc>
        <w:tc>
          <w:tcPr>
            <w:tcW w:w="6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112</w:t>
            </w:r>
          </w:p>
        </w:tc>
        <w:tc>
          <w:tcPr>
            <w:tcW w:w="6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482-509</w:t>
            </w:r>
          </w:p>
        </w:tc>
        <w:tc>
          <w:tcPr>
            <w:tcW w:w="8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376-397</w:t>
            </w:r>
          </w:p>
        </w:tc>
        <w:tc>
          <w:tcPr>
            <w:tcW w:w="660" w:type="dxa"/>
            <w:vAlign w:val="bottom"/>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06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 The legal ownership share for all U.S. projects is 90%, but Enlight invests 100% of the equity in the project and entitled to 100% of the project distributions until full repayment of Enlight's capital plus a preferred return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 Rustic hills 1+2 - DC (10%) + EC (10%); Coggon - DC (10%); Gemstone - DC (10%);</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Value of tax</w:t>
            </w:r>
          </w:p>
        </w:tc>
        <w:tc>
          <w:tcPr>
            <w:tcW w:w="0" w:type="dxa"/>
            <w:vAlign w:val="bottom"/>
          </w:tcPr>
          <w:p>
            <w:pPr>
              <w:spacing w:after="0"/>
              <w:rPr>
                <w:sz w:val="1"/>
                <w:szCs w:val="1"/>
                <w:color w:val="auto"/>
              </w:rPr>
            </w:pPr>
          </w:p>
        </w:tc>
      </w:tr>
    </w:tbl>
    <w:p>
      <w:pPr>
        <w:jc w:val="both"/>
        <w:ind w:left="8"/>
        <w:spacing w:after="0" w:line="271" w:lineRule="auto"/>
        <w:rPr>
          <w:sz w:val="20"/>
          <w:szCs w:val="20"/>
          <w:color w:val="auto"/>
        </w:rPr>
      </w:pPr>
      <w:r>
        <w:rPr>
          <w:rFonts w:ascii="Times New Roman" w:cs="Times New Roman" w:eastAsia="Times New Roman" w:hAnsi="Times New Roman"/>
          <w:sz w:val="12"/>
          <w:szCs w:val="12"/>
          <w:color w:val="auto"/>
        </w:rPr>
        <w:t>benefits under the IRA: The PTC value is estimated based on the project’s expected annual production and a yearly CPI indexation of 2%, discounted by 8% to COD. In assessing the value of the ITC, a step-up adjustment was made to reflect the full value of the tax credits, thus lowering net construction costs and enhancing the valuation and return of the project. The actual value attributed to tax benefits in a tax equity transactions may differ from the value presented, subject to the structure of the transaction and prevailing market conditions.</w:t>
      </w:r>
    </w:p>
    <w:p>
      <w:pPr>
        <w:spacing w:after="0" w:line="125" w:lineRule="exact"/>
        <w:rPr>
          <w:sz w:val="20"/>
          <w:szCs w:val="20"/>
          <w:color w:val="auto"/>
        </w:rPr>
      </w:pPr>
    </w:p>
    <w:p>
      <w:pPr>
        <w:ind w:left="8" w:right="80" w:hanging="8"/>
        <w:spacing w:after="0" w:line="295" w:lineRule="auto"/>
        <w:tabs>
          <w:tab w:leader="none" w:pos="27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is a non-IFRS financial measure. This figure represents consolidated EBITDA for the project and excludes the share of project distributions to tax equity partners, as well as ITC and PTC proceeds. These components of the tax equity transaction may differ from project to project, are subject to market conditions and commercial terms agreed upon reaching financial close</w:t>
      </w:r>
    </w:p>
    <w:p>
      <w:pPr>
        <w:spacing w:after="0" w:line="111" w:lineRule="exact"/>
        <w:rPr>
          <w:sz w:val="20"/>
          <w:szCs w:val="20"/>
          <w:color w:val="auto"/>
        </w:rPr>
      </w:pPr>
    </w:p>
    <w:p>
      <w:pPr>
        <w:ind w:left="8" w:right="400"/>
        <w:spacing w:after="0" w:line="295" w:lineRule="auto"/>
        <w:rPr>
          <w:sz w:val="20"/>
          <w:szCs w:val="20"/>
          <w:color w:val="auto"/>
        </w:rPr>
      </w:pPr>
      <w:r>
        <w:rPr>
          <w:rFonts w:ascii="Times New Roman" w:cs="Times New Roman" w:eastAsia="Times New Roman" w:hAnsi="Times New Roman"/>
          <w:sz w:val="12"/>
          <w:szCs w:val="12"/>
          <w:color w:val="auto"/>
        </w:rPr>
        <w:t>*****The Energy Community (EC) Adder provides extra credits for renewable energy projects in areas impacted by fossil fuel reliance or economic transition. The Domestic Content (DC) Adder rewards projects using U.S.-manufactured components, promoting local job creation and supply chain growth</w:t>
      </w:r>
    </w:p>
    <w:p>
      <w:pPr>
        <w:spacing w:after="0" w:line="111" w:lineRule="exact"/>
        <w:rPr>
          <w:sz w:val="20"/>
          <w:szCs w:val="20"/>
          <w:color w:val="auto"/>
        </w:rPr>
      </w:pPr>
    </w:p>
    <w:p>
      <w:pPr>
        <w:ind w:left="8" w:right="400"/>
        <w:spacing w:after="0" w:line="295" w:lineRule="auto"/>
        <w:rPr>
          <w:sz w:val="20"/>
          <w:szCs w:val="20"/>
          <w:color w:val="auto"/>
        </w:rPr>
      </w:pPr>
      <w:r>
        <w:rPr>
          <w:rFonts w:ascii="Times New Roman" w:cs="Times New Roman" w:eastAsia="Times New Roman" w:hAnsi="Times New Roman"/>
          <w:sz w:val="12"/>
          <w:szCs w:val="12"/>
          <w:color w:val="auto"/>
        </w:rPr>
        <w:t>******Two high voltage projects with total capacity of 1,350MWh. Estimated revenue for the first 5 years is $14-15m million per year. From year 6, the projects will move to a deregulated market, with revenue expected to be $55 million per year</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All numbers, beside equity invested, reflects Enlight share only</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required equity during construction is estimated at 10% and is expected to decrease to 0% at COD</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Revenue and EBITDA for the first year of U.S. projects as presented above do not include income from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92" w:right="299" w:bottom="1440" w:gutter="0" w:footer="0" w:header="0"/>
        </w:sectPr>
      </w:pPr>
    </w:p>
    <w:bookmarkStart w:id="32" w:name="page33"/>
    <w:bookmarkEnd w:id="32"/>
    <w:p>
      <w:pPr>
        <w:ind w:left="420" w:hanging="212"/>
        <w:spacing w:after="0"/>
        <w:tabs>
          <w:tab w:leader="none" w:pos="420"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Additional information on tax equity investments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420" w:type="dxa"/>
            <w:vAlign w:val="bottom"/>
            <w:tcBorders>
              <w:top w:val="single" w:sz="8" w:color="auto"/>
              <w:left w:val="single" w:sz="8" w:color="auto"/>
              <w:bottom w:val="single" w:sz="8" w:color="2E74B5"/>
              <w:right w:val="single" w:sz="8" w:color="auto"/>
            </w:tcBorders>
            <w:shd w:val="clear" w:color="auto" w:fill="2E74B5"/>
          </w:tcPr>
          <w:p>
            <w:pPr>
              <w:spacing w:after="0"/>
              <w:rPr>
                <w:sz w:val="18"/>
                <w:szCs w:val="18"/>
                <w:color w:val="auto"/>
              </w:rPr>
            </w:pPr>
          </w:p>
        </w:tc>
        <w:tc>
          <w:tcPr>
            <w:tcW w:w="860" w:type="dxa"/>
            <w:vAlign w:val="bottom"/>
            <w:tcBorders>
              <w:top w:val="single" w:sz="8" w:color="auto"/>
              <w:bottom w:val="single" w:sz="8" w:color="2E74B5"/>
              <w:right w:val="single" w:sz="8" w:color="auto"/>
            </w:tcBorders>
            <w:shd w:val="clear" w:color="auto" w:fill="2E74B5"/>
          </w:tcPr>
          <w:p>
            <w:pPr>
              <w:spacing w:after="0"/>
              <w:rPr>
                <w:sz w:val="18"/>
                <w:szCs w:val="18"/>
                <w:color w:val="auto"/>
              </w:rPr>
            </w:pPr>
          </w:p>
        </w:tc>
        <w:tc>
          <w:tcPr>
            <w:tcW w:w="2820" w:type="dxa"/>
            <w:vAlign w:val="bottom"/>
            <w:tcBorders>
              <w:top w:val="single" w:sz="8" w:color="auto"/>
              <w:bottom w:val="single" w:sz="8" w:color="2E74B5"/>
              <w:right w:val="single" w:sz="8" w:color="auto"/>
            </w:tcBorders>
            <w:gridSpan w:val="3"/>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Tax equity investment</w:t>
            </w:r>
          </w:p>
        </w:tc>
        <w:tc>
          <w:tcPr>
            <w:tcW w:w="1000" w:type="dxa"/>
            <w:vAlign w:val="bottom"/>
            <w:tcBorders>
              <w:top w:val="single" w:sz="8" w:color="auto"/>
              <w:bottom w:val="single" w:sz="8" w:color="2E74B5"/>
              <w:right w:val="single" w:sz="8" w:color="2E74B5"/>
            </w:tcBorders>
            <w:shd w:val="clear" w:color="auto" w:fill="2E74B5"/>
          </w:tcPr>
          <w:p>
            <w:pPr>
              <w:spacing w:after="0"/>
              <w:rPr>
                <w:sz w:val="18"/>
                <w:szCs w:val="18"/>
                <w:color w:val="auto"/>
              </w:rPr>
            </w:pPr>
          </w:p>
        </w:tc>
        <w:tc>
          <w:tcPr>
            <w:tcW w:w="5220" w:type="dxa"/>
            <w:vAlign w:val="bottom"/>
            <w:tcBorders>
              <w:top w:val="single" w:sz="8" w:color="auto"/>
              <w:bottom w:val="single" w:sz="8" w:color="2E74B5"/>
              <w:right w:val="single" w:sz="8" w:color="auto"/>
            </w:tcBorders>
            <w:gridSpan w:val="3"/>
            <w:shd w:val="clear" w:color="auto" w:fill="2E74B5"/>
          </w:tcPr>
          <w:p>
            <w:pPr>
              <w:ind w:left="180"/>
              <w:spacing w:after="0"/>
              <w:rPr>
                <w:sz w:val="20"/>
                <w:szCs w:val="20"/>
                <w:color w:val="auto"/>
              </w:rPr>
            </w:pPr>
            <w:r>
              <w:rPr>
                <w:rFonts w:ascii="Times New Roman" w:cs="Times New Roman" w:eastAsia="Times New Roman" w:hAnsi="Times New Roman"/>
                <w:sz w:val="12"/>
                <w:szCs w:val="12"/>
                <w:color w:val="FFFFFF"/>
              </w:rPr>
              <w:t>Tax equity partner's share of project tax credits, cash flows, and taxable income</w:t>
            </w:r>
          </w:p>
        </w:tc>
        <w:tc>
          <w:tcPr>
            <w:tcW w:w="0" w:type="dxa"/>
            <w:vAlign w:val="bottom"/>
          </w:tcPr>
          <w:p>
            <w:pPr>
              <w:spacing w:after="0"/>
              <w:rPr>
                <w:sz w:val="1"/>
                <w:szCs w:val="1"/>
                <w:color w:val="auto"/>
              </w:rPr>
            </w:pPr>
          </w:p>
        </w:tc>
      </w:tr>
      <w:tr>
        <w:trPr>
          <w:trHeight w:val="158"/>
        </w:trPr>
        <w:tc>
          <w:tcPr>
            <w:tcW w:w="1420" w:type="dxa"/>
            <w:vAlign w:val="bottom"/>
            <w:tcBorders>
              <w:top w:val="single" w:sz="8" w:color="auto"/>
              <w:left w:val="single" w:sz="8" w:color="auto"/>
              <w:right w:val="single" w:sz="8" w:color="auto"/>
            </w:tcBorders>
            <w:shd w:val="clear" w:color="auto" w:fill="2E74B5"/>
          </w:tcPr>
          <w:p>
            <w:pPr>
              <w:spacing w:after="0"/>
              <w:rPr>
                <w:sz w:val="13"/>
                <w:szCs w:val="13"/>
                <w:color w:val="auto"/>
              </w:rPr>
            </w:pPr>
          </w:p>
        </w:tc>
        <w:tc>
          <w:tcPr>
            <w:tcW w:w="860" w:type="dxa"/>
            <w:vAlign w:val="bottom"/>
            <w:tcBorders>
              <w:top w:val="single" w:sz="8" w:color="auto"/>
              <w:right w:val="single" w:sz="8" w:color="auto"/>
            </w:tcBorders>
            <w:shd w:val="clear" w:color="auto" w:fill="2E74B5"/>
          </w:tcPr>
          <w:p>
            <w:pPr>
              <w:spacing w:after="0"/>
              <w:rPr>
                <w:sz w:val="13"/>
                <w:szCs w:val="13"/>
                <w:color w:val="auto"/>
              </w:rPr>
            </w:pPr>
          </w:p>
        </w:tc>
        <w:tc>
          <w:tcPr>
            <w:tcW w:w="940" w:type="dxa"/>
            <w:vAlign w:val="bottom"/>
            <w:tcBorders>
              <w:top w:val="single" w:sz="8" w:color="auto"/>
              <w:right w:val="single" w:sz="8" w:color="auto"/>
            </w:tcBorders>
            <w:shd w:val="clear" w:color="auto" w:fill="2E74B5"/>
          </w:tcPr>
          <w:p>
            <w:pPr>
              <w:spacing w:after="0"/>
              <w:rPr>
                <w:sz w:val="13"/>
                <w:szCs w:val="13"/>
                <w:color w:val="auto"/>
              </w:rPr>
            </w:pPr>
          </w:p>
        </w:tc>
        <w:tc>
          <w:tcPr>
            <w:tcW w:w="920" w:type="dxa"/>
            <w:vAlign w:val="bottom"/>
            <w:tcBorders>
              <w:top w:val="single" w:sz="8" w:color="auto"/>
              <w:right w:val="single" w:sz="8" w:color="auto"/>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Tax credit</w:t>
            </w:r>
          </w:p>
        </w:tc>
        <w:tc>
          <w:tcPr>
            <w:tcW w:w="960" w:type="dxa"/>
            <w:vAlign w:val="bottom"/>
            <w:tcBorders>
              <w:top w:val="single" w:sz="8" w:color="auto"/>
              <w:right w:val="single" w:sz="8" w:color="auto"/>
            </w:tcBorders>
            <w:vMerge w:val="restart"/>
            <w:shd w:val="clear" w:color="auto" w:fill="2E74B5"/>
          </w:tcPr>
          <w:p>
            <w:pPr>
              <w:ind w:left="20"/>
              <w:spacing w:after="0"/>
              <w:rPr>
                <w:sz w:val="20"/>
                <w:szCs w:val="20"/>
                <w:color w:val="auto"/>
              </w:rPr>
            </w:pPr>
            <w:r>
              <w:rPr>
                <w:rFonts w:ascii="Times New Roman" w:cs="Times New Roman" w:eastAsia="Times New Roman" w:hAnsi="Times New Roman"/>
                <w:sz w:val="12"/>
                <w:szCs w:val="12"/>
                <w:color w:val="FFFFFF"/>
              </w:rPr>
              <w:t>Share of ITC/PTC</w:t>
            </w:r>
          </w:p>
        </w:tc>
        <w:tc>
          <w:tcPr>
            <w:tcW w:w="1000" w:type="dxa"/>
            <w:vAlign w:val="bottom"/>
            <w:tcBorders>
              <w:top w:val="single" w:sz="8" w:color="auto"/>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Share of taxable</w:t>
            </w:r>
          </w:p>
        </w:tc>
        <w:tc>
          <w:tcPr>
            <w:tcW w:w="1240" w:type="dxa"/>
            <w:vAlign w:val="bottom"/>
            <w:tcBorders>
              <w:top w:val="single" w:sz="8" w:color="auto"/>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Duration of initial</w:t>
            </w:r>
          </w:p>
        </w:tc>
        <w:tc>
          <w:tcPr>
            <w:tcW w:w="1940" w:type="dxa"/>
            <w:vAlign w:val="bottom"/>
            <w:tcBorders>
              <w:top w:val="single" w:sz="8" w:color="auto"/>
              <w:right w:val="single" w:sz="8" w:color="auto"/>
            </w:tcBorders>
            <w:shd w:val="clear" w:color="auto" w:fill="2E74B5"/>
          </w:tcPr>
          <w:p>
            <w:pPr>
              <w:spacing w:after="0"/>
              <w:rPr>
                <w:sz w:val="13"/>
                <w:szCs w:val="13"/>
                <w:color w:val="auto"/>
              </w:rPr>
            </w:pPr>
          </w:p>
        </w:tc>
        <w:tc>
          <w:tcPr>
            <w:tcW w:w="2040" w:type="dxa"/>
            <w:vAlign w:val="bottom"/>
            <w:tcBorders>
              <w:top w:val="single" w:sz="8" w:color="auto"/>
              <w:right w:val="single" w:sz="8" w:color="auto"/>
            </w:tcBorders>
            <w:shd w:val="clear" w:color="auto" w:fill="2E74B5"/>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420" w:type="dxa"/>
            <w:vAlign w:val="bottom"/>
            <w:tcBorders>
              <w:left w:val="single" w:sz="8" w:color="auto"/>
              <w:right w:val="single" w:sz="8" w:color="auto"/>
            </w:tcBorders>
            <w:shd w:val="clear" w:color="auto" w:fill="2E74B5"/>
          </w:tcPr>
          <w:p>
            <w:pPr>
              <w:spacing w:after="0"/>
              <w:rPr>
                <w:sz w:val="6"/>
                <w:szCs w:val="6"/>
                <w:color w:val="auto"/>
              </w:rPr>
            </w:pPr>
          </w:p>
        </w:tc>
        <w:tc>
          <w:tcPr>
            <w:tcW w:w="860" w:type="dxa"/>
            <w:vAlign w:val="bottom"/>
            <w:tcBorders>
              <w:right w:val="single" w:sz="8" w:color="auto"/>
            </w:tcBorders>
            <w:shd w:val="clear" w:color="auto" w:fill="2E74B5"/>
          </w:tcPr>
          <w:p>
            <w:pPr>
              <w:spacing w:after="0"/>
              <w:rPr>
                <w:sz w:val="6"/>
                <w:szCs w:val="6"/>
                <w:color w:val="auto"/>
              </w:rPr>
            </w:pPr>
          </w:p>
        </w:tc>
        <w:tc>
          <w:tcPr>
            <w:tcW w:w="940" w:type="dxa"/>
            <w:vAlign w:val="bottom"/>
            <w:tcBorders>
              <w:right w:val="single" w:sz="8" w:color="auto"/>
            </w:tcBorders>
            <w:shd w:val="clear" w:color="auto" w:fill="2E74B5"/>
          </w:tcPr>
          <w:p>
            <w:pPr>
              <w:spacing w:after="0"/>
              <w:rPr>
                <w:sz w:val="6"/>
                <w:szCs w:val="6"/>
                <w:color w:val="auto"/>
              </w:rPr>
            </w:pPr>
          </w:p>
        </w:tc>
        <w:tc>
          <w:tcPr>
            <w:tcW w:w="920" w:type="dxa"/>
            <w:vAlign w:val="bottom"/>
            <w:tcBorders>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proceeds during</w:t>
            </w:r>
          </w:p>
        </w:tc>
        <w:tc>
          <w:tcPr>
            <w:tcW w:w="960" w:type="dxa"/>
            <w:vAlign w:val="bottom"/>
            <w:tcBorders>
              <w:right w:val="single" w:sz="8" w:color="auto"/>
            </w:tcBorders>
            <w:vMerge w:val="continue"/>
            <w:shd w:val="clear" w:color="auto" w:fill="2E74B5"/>
          </w:tcPr>
          <w:p>
            <w:pPr>
              <w:spacing w:after="0"/>
              <w:rPr>
                <w:sz w:val="6"/>
                <w:szCs w:val="6"/>
                <w:color w:val="auto"/>
              </w:rPr>
            </w:pPr>
          </w:p>
        </w:tc>
        <w:tc>
          <w:tcPr>
            <w:tcW w:w="1000" w:type="dxa"/>
            <w:vAlign w:val="bottom"/>
            <w:tcBorders>
              <w:right w:val="single" w:sz="8" w:color="auto"/>
            </w:tcBorders>
            <w:vMerge w:val="continue"/>
            <w:shd w:val="clear" w:color="auto" w:fill="2E74B5"/>
          </w:tcPr>
          <w:p>
            <w:pPr>
              <w:spacing w:after="0"/>
              <w:rPr>
                <w:sz w:val="6"/>
                <w:szCs w:val="6"/>
                <w:color w:val="auto"/>
              </w:rPr>
            </w:pPr>
          </w:p>
        </w:tc>
        <w:tc>
          <w:tcPr>
            <w:tcW w:w="1240" w:type="dxa"/>
            <w:vAlign w:val="bottom"/>
            <w:tcBorders>
              <w:right w:val="single" w:sz="8" w:color="auto"/>
            </w:tcBorders>
            <w:vMerge w:val="continue"/>
            <w:shd w:val="clear" w:color="auto" w:fill="2E74B5"/>
          </w:tcPr>
          <w:p>
            <w:pPr>
              <w:spacing w:after="0"/>
              <w:rPr>
                <w:sz w:val="6"/>
                <w:szCs w:val="6"/>
                <w:color w:val="auto"/>
              </w:rPr>
            </w:pPr>
          </w:p>
        </w:tc>
        <w:tc>
          <w:tcPr>
            <w:tcW w:w="1940" w:type="dxa"/>
            <w:vAlign w:val="bottom"/>
            <w:tcBorders>
              <w:right w:val="single" w:sz="8" w:color="auto"/>
            </w:tcBorders>
            <w:shd w:val="clear" w:color="auto" w:fill="2E74B5"/>
          </w:tcPr>
          <w:p>
            <w:pPr>
              <w:spacing w:after="0"/>
              <w:rPr>
                <w:sz w:val="6"/>
                <w:szCs w:val="6"/>
                <w:color w:val="auto"/>
              </w:rPr>
            </w:pPr>
          </w:p>
        </w:tc>
        <w:tc>
          <w:tcPr>
            <w:tcW w:w="2040" w:type="dxa"/>
            <w:vAlign w:val="bottom"/>
            <w:tcBorders>
              <w:right w:val="single" w:sz="8" w:color="auto"/>
            </w:tcBorders>
            <w:shd w:val="clear" w:color="auto" w:fill="2E74B5"/>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420" w:type="dxa"/>
            <w:vAlign w:val="bottom"/>
            <w:tcBorders>
              <w:left w:val="single" w:sz="8" w:color="auto"/>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 millions)</w:t>
            </w:r>
          </w:p>
        </w:tc>
        <w:tc>
          <w:tcPr>
            <w:tcW w:w="86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8"/>
              </w:rPr>
              <w:t>Est. Total</w:t>
            </w:r>
          </w:p>
        </w:tc>
        <w:tc>
          <w:tcPr>
            <w:tcW w:w="94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rPr>
              <w:t>Upfront tax</w:t>
            </w:r>
          </w:p>
        </w:tc>
        <w:tc>
          <w:tcPr>
            <w:tcW w:w="920" w:type="dxa"/>
            <w:vAlign w:val="bottom"/>
            <w:tcBorders>
              <w:right w:val="single" w:sz="8" w:color="auto"/>
            </w:tcBorders>
            <w:vMerge w:val="continue"/>
            <w:shd w:val="clear" w:color="auto" w:fill="2E74B5"/>
          </w:tcPr>
          <w:p>
            <w:pPr>
              <w:spacing w:after="0"/>
              <w:rPr>
                <w:sz w:val="10"/>
                <w:szCs w:val="10"/>
                <w:color w:val="auto"/>
              </w:rPr>
            </w:pPr>
          </w:p>
        </w:tc>
        <w:tc>
          <w:tcPr>
            <w:tcW w:w="96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8"/>
              </w:rPr>
              <w:t>tax credit allocated</w:t>
            </w:r>
          </w:p>
        </w:tc>
        <w:tc>
          <w:tcPr>
            <w:tcW w:w="1000" w:type="dxa"/>
            <w:vAlign w:val="bottom"/>
            <w:tcBorders>
              <w:right w:val="single" w:sz="8" w:color="auto"/>
            </w:tcBorders>
            <w:vMerge w:val="continue"/>
            <w:shd w:val="clear" w:color="auto" w:fill="2E74B5"/>
          </w:tcPr>
          <w:p>
            <w:pPr>
              <w:spacing w:after="0"/>
              <w:rPr>
                <w:sz w:val="10"/>
                <w:szCs w:val="10"/>
                <w:color w:val="auto"/>
              </w:rPr>
            </w:pPr>
          </w:p>
        </w:tc>
        <w:tc>
          <w:tcPr>
            <w:tcW w:w="1240" w:type="dxa"/>
            <w:vAlign w:val="bottom"/>
            <w:tcBorders>
              <w:right w:val="single" w:sz="8" w:color="auto"/>
            </w:tcBorders>
            <w:vMerge w:val="continue"/>
            <w:shd w:val="clear" w:color="auto" w:fill="2E74B5"/>
          </w:tcPr>
          <w:p>
            <w:pPr>
              <w:spacing w:after="0"/>
              <w:rPr>
                <w:sz w:val="10"/>
                <w:szCs w:val="10"/>
                <w:color w:val="auto"/>
              </w:rPr>
            </w:pPr>
          </w:p>
        </w:tc>
        <w:tc>
          <w:tcPr>
            <w:tcW w:w="194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Share in project cash flow initial</w:t>
            </w:r>
          </w:p>
        </w:tc>
        <w:tc>
          <w:tcPr>
            <w:tcW w:w="204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Duration of initial period for share in</w:t>
            </w:r>
          </w:p>
        </w:tc>
        <w:tc>
          <w:tcPr>
            <w:tcW w:w="0" w:type="dxa"/>
            <w:vAlign w:val="bottom"/>
          </w:tcPr>
          <w:p>
            <w:pPr>
              <w:spacing w:after="0"/>
              <w:rPr>
                <w:sz w:val="1"/>
                <w:szCs w:val="1"/>
                <w:color w:val="auto"/>
              </w:rPr>
            </w:pPr>
          </w:p>
        </w:tc>
      </w:tr>
      <w:tr>
        <w:trPr>
          <w:trHeight w:val="106"/>
        </w:trPr>
        <w:tc>
          <w:tcPr>
            <w:tcW w:w="1420" w:type="dxa"/>
            <w:vAlign w:val="bottom"/>
            <w:tcBorders>
              <w:left w:val="single" w:sz="8" w:color="auto"/>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Project</w:t>
            </w:r>
            <w:r>
              <w:rPr>
                <w:rFonts w:ascii="Times New Roman" w:cs="Times New Roman" w:eastAsia="Times New Roman" w:hAnsi="Times New Roman"/>
                <w:sz w:val="12"/>
                <w:szCs w:val="12"/>
                <w:color w:val="FFFFFF"/>
                <w:w w:val="99"/>
              </w:rPr>
              <w:t>s*</w:t>
            </w:r>
          </w:p>
        </w:tc>
        <w:tc>
          <w:tcPr>
            <w:tcW w:w="860" w:type="dxa"/>
            <w:vAlign w:val="bottom"/>
            <w:tcBorders>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Project Cost</w:t>
            </w:r>
          </w:p>
        </w:tc>
        <w:tc>
          <w:tcPr>
            <w:tcW w:w="940" w:type="dxa"/>
            <w:vAlign w:val="bottom"/>
            <w:tcBorders>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equity investment</w:t>
            </w:r>
          </w:p>
        </w:tc>
        <w:tc>
          <w:tcPr>
            <w:tcW w:w="920" w:type="dxa"/>
            <w:vAlign w:val="bottom"/>
            <w:tcBorders>
              <w:right w:val="single" w:sz="8" w:color="auto"/>
            </w:tcBorders>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rPr>
              <w:t>the project's</w:t>
            </w:r>
          </w:p>
        </w:tc>
        <w:tc>
          <w:tcPr>
            <w:tcW w:w="960" w:type="dxa"/>
            <w:vAlign w:val="bottom"/>
            <w:tcBorders>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to tax equity</w:t>
            </w:r>
          </w:p>
        </w:tc>
        <w:tc>
          <w:tcPr>
            <w:tcW w:w="1000" w:type="dxa"/>
            <w:vAlign w:val="bottom"/>
            <w:tcBorders>
              <w:right w:val="single" w:sz="8" w:color="auto"/>
            </w:tcBorders>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9"/>
              </w:rPr>
              <w:t>income initial</w:t>
            </w:r>
          </w:p>
        </w:tc>
        <w:tc>
          <w:tcPr>
            <w:tcW w:w="1240" w:type="dxa"/>
            <w:vAlign w:val="bottom"/>
            <w:tcBorders>
              <w:right w:val="single" w:sz="8" w:color="auto"/>
            </w:tcBorders>
            <w:shd w:val="clear" w:color="auto" w:fill="2E74B5"/>
          </w:tcPr>
          <w:p>
            <w:pPr>
              <w:jc w:val="center"/>
              <w:spacing w:after="0" w:line="106" w:lineRule="exact"/>
              <w:rPr>
                <w:sz w:val="20"/>
                <w:szCs w:val="20"/>
                <w:color w:val="auto"/>
              </w:rPr>
            </w:pPr>
            <w:r>
              <w:rPr>
                <w:rFonts w:ascii="Times New Roman" w:cs="Times New Roman" w:eastAsia="Times New Roman" w:hAnsi="Times New Roman"/>
                <w:sz w:val="12"/>
                <w:szCs w:val="12"/>
                <w:color w:val="FFFFFF"/>
              </w:rPr>
              <w:t>period for share of</w:t>
            </w:r>
          </w:p>
        </w:tc>
        <w:tc>
          <w:tcPr>
            <w:tcW w:w="1940" w:type="dxa"/>
            <w:vAlign w:val="bottom"/>
            <w:tcBorders>
              <w:right w:val="single" w:sz="8" w:color="auto"/>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period (second period)</w:t>
            </w:r>
          </w:p>
        </w:tc>
        <w:tc>
          <w:tcPr>
            <w:tcW w:w="2040" w:type="dxa"/>
            <w:vAlign w:val="bottom"/>
            <w:tcBorders>
              <w:right w:val="single" w:sz="8" w:color="auto"/>
            </w:tcBorders>
            <w:vMerge w:val="restart"/>
            <w:shd w:val="clear" w:color="auto" w:fill="2E74B5"/>
          </w:tcPr>
          <w:p>
            <w:pPr>
              <w:jc w:val="center"/>
              <w:ind w:right="20"/>
              <w:spacing w:after="0"/>
              <w:rPr>
                <w:sz w:val="20"/>
                <w:szCs w:val="20"/>
                <w:color w:val="auto"/>
              </w:rPr>
            </w:pPr>
            <w:r>
              <w:rPr>
                <w:rFonts w:ascii="Times New Roman" w:cs="Times New Roman" w:eastAsia="Times New Roman" w:hAnsi="Times New Roman"/>
                <w:sz w:val="12"/>
                <w:szCs w:val="12"/>
                <w:color w:val="FFFFFF"/>
              </w:rPr>
              <w:t>project cash flow (years)</w:t>
            </w:r>
          </w:p>
        </w:tc>
        <w:tc>
          <w:tcPr>
            <w:tcW w:w="0" w:type="dxa"/>
            <w:vAlign w:val="bottom"/>
          </w:tcPr>
          <w:p>
            <w:pPr>
              <w:spacing w:after="0"/>
              <w:rPr>
                <w:sz w:val="1"/>
                <w:szCs w:val="1"/>
                <w:color w:val="auto"/>
              </w:rPr>
            </w:pPr>
          </w:p>
        </w:tc>
      </w:tr>
      <w:tr>
        <w:trPr>
          <w:trHeight w:val="119"/>
        </w:trPr>
        <w:tc>
          <w:tcPr>
            <w:tcW w:w="1420" w:type="dxa"/>
            <w:vAlign w:val="bottom"/>
            <w:tcBorders>
              <w:left w:val="single" w:sz="8" w:color="auto"/>
              <w:right w:val="single" w:sz="8" w:color="auto"/>
            </w:tcBorders>
            <w:vMerge w:val="continue"/>
            <w:shd w:val="clear" w:color="auto" w:fill="2E74B5"/>
          </w:tcPr>
          <w:p>
            <w:pPr>
              <w:spacing w:after="0"/>
              <w:rPr>
                <w:sz w:val="10"/>
                <w:szCs w:val="10"/>
                <w:color w:val="auto"/>
              </w:rPr>
            </w:pPr>
          </w:p>
        </w:tc>
        <w:tc>
          <w:tcPr>
            <w:tcW w:w="860" w:type="dxa"/>
            <w:vAlign w:val="bottom"/>
            <w:tcBorders>
              <w:right w:val="single" w:sz="8" w:color="auto"/>
            </w:tcBorders>
            <w:vMerge w:val="continue"/>
            <w:shd w:val="clear" w:color="auto" w:fill="2E74B5"/>
          </w:tcPr>
          <w:p>
            <w:pPr>
              <w:spacing w:after="0"/>
              <w:rPr>
                <w:sz w:val="10"/>
                <w:szCs w:val="10"/>
                <w:color w:val="auto"/>
              </w:rPr>
            </w:pPr>
          </w:p>
        </w:tc>
        <w:tc>
          <w:tcPr>
            <w:tcW w:w="940" w:type="dxa"/>
            <w:vAlign w:val="bottom"/>
            <w:tcBorders>
              <w:right w:val="single" w:sz="8" w:color="auto"/>
            </w:tcBorders>
            <w:vMerge w:val="continue"/>
            <w:shd w:val="clear" w:color="auto" w:fill="2E74B5"/>
          </w:tcPr>
          <w:p>
            <w:pPr>
              <w:spacing w:after="0"/>
              <w:rPr>
                <w:sz w:val="10"/>
                <w:szCs w:val="10"/>
                <w:color w:val="auto"/>
              </w:rPr>
            </w:pPr>
          </w:p>
        </w:tc>
        <w:tc>
          <w:tcPr>
            <w:tcW w:w="92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operation ("pay-</w:t>
            </w:r>
          </w:p>
        </w:tc>
        <w:tc>
          <w:tcPr>
            <w:tcW w:w="960" w:type="dxa"/>
            <w:vAlign w:val="bottom"/>
            <w:tcBorders>
              <w:right w:val="single" w:sz="8" w:color="auto"/>
            </w:tcBorders>
            <w:vMerge w:val="continue"/>
            <w:shd w:val="clear" w:color="auto" w:fill="2E74B5"/>
          </w:tcPr>
          <w:p>
            <w:pPr>
              <w:spacing w:after="0"/>
              <w:rPr>
                <w:sz w:val="10"/>
                <w:szCs w:val="10"/>
                <w:color w:val="auto"/>
              </w:rPr>
            </w:pPr>
          </w:p>
        </w:tc>
        <w:tc>
          <w:tcPr>
            <w:tcW w:w="100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7"/>
              </w:rPr>
              <w:t>period</w:t>
            </w:r>
          </w:p>
        </w:tc>
        <w:tc>
          <w:tcPr>
            <w:tcW w:w="1240" w:type="dxa"/>
            <w:vAlign w:val="bottom"/>
            <w:tcBorders>
              <w:right w:val="single" w:sz="8" w:color="auto"/>
            </w:tcBorders>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rPr>
              <w:t>taxable income (years)</w:t>
            </w:r>
          </w:p>
        </w:tc>
        <w:tc>
          <w:tcPr>
            <w:tcW w:w="1940" w:type="dxa"/>
            <w:vAlign w:val="bottom"/>
            <w:tcBorders>
              <w:right w:val="single" w:sz="8" w:color="auto"/>
            </w:tcBorders>
            <w:vMerge w:val="continue"/>
            <w:shd w:val="clear" w:color="auto" w:fill="2E74B5"/>
          </w:tcPr>
          <w:p>
            <w:pPr>
              <w:spacing w:after="0"/>
              <w:rPr>
                <w:sz w:val="10"/>
                <w:szCs w:val="10"/>
                <w:color w:val="auto"/>
              </w:rPr>
            </w:pPr>
          </w:p>
        </w:tc>
        <w:tc>
          <w:tcPr>
            <w:tcW w:w="2040" w:type="dxa"/>
            <w:vAlign w:val="bottom"/>
            <w:tcBorders>
              <w:right w:val="single" w:sz="8" w:color="auto"/>
            </w:tcBorders>
            <w:vMerge w:val="continue"/>
            <w:shd w:val="clear" w:color="auto" w:fill="2E74B5"/>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bottom w:val="single" w:sz="8" w:color="2E74B5"/>
              <w:right w:val="single" w:sz="8" w:color="auto"/>
            </w:tcBorders>
            <w:shd w:val="clear" w:color="auto" w:fill="2E74B5"/>
          </w:tcPr>
          <w:p>
            <w:pPr>
              <w:spacing w:after="0"/>
              <w:rPr>
                <w:sz w:val="17"/>
                <w:szCs w:val="17"/>
                <w:color w:val="auto"/>
              </w:rPr>
            </w:pPr>
          </w:p>
        </w:tc>
        <w:tc>
          <w:tcPr>
            <w:tcW w:w="860" w:type="dxa"/>
            <w:vAlign w:val="bottom"/>
            <w:tcBorders>
              <w:bottom w:val="single" w:sz="8" w:color="2E74B5"/>
              <w:right w:val="single" w:sz="8" w:color="auto"/>
            </w:tcBorders>
            <w:shd w:val="clear" w:color="auto" w:fill="2E74B5"/>
          </w:tcPr>
          <w:p>
            <w:pPr>
              <w:spacing w:after="0"/>
              <w:rPr>
                <w:sz w:val="17"/>
                <w:szCs w:val="17"/>
                <w:color w:val="auto"/>
              </w:rPr>
            </w:pPr>
          </w:p>
        </w:tc>
        <w:tc>
          <w:tcPr>
            <w:tcW w:w="940" w:type="dxa"/>
            <w:vAlign w:val="bottom"/>
            <w:tcBorders>
              <w:bottom w:val="single" w:sz="8" w:color="2E74B5"/>
              <w:right w:val="single" w:sz="8" w:color="auto"/>
            </w:tcBorders>
            <w:shd w:val="clear" w:color="auto" w:fill="2E74B5"/>
          </w:tcPr>
          <w:p>
            <w:pPr>
              <w:spacing w:after="0"/>
              <w:rPr>
                <w:sz w:val="17"/>
                <w:szCs w:val="17"/>
                <w:color w:val="auto"/>
              </w:rPr>
            </w:pPr>
          </w:p>
        </w:tc>
        <w:tc>
          <w:tcPr>
            <w:tcW w:w="920" w:type="dxa"/>
            <w:vAlign w:val="bottom"/>
            <w:tcBorders>
              <w:bottom w:val="single" w:sz="8" w:color="2E74B5"/>
              <w:right w:val="single" w:sz="8" w:color="auto"/>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go")</w:t>
            </w:r>
          </w:p>
        </w:tc>
        <w:tc>
          <w:tcPr>
            <w:tcW w:w="960" w:type="dxa"/>
            <w:vAlign w:val="bottom"/>
            <w:tcBorders>
              <w:bottom w:val="single" w:sz="8" w:color="2E74B5"/>
              <w:right w:val="single" w:sz="8" w:color="auto"/>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partner</w:t>
            </w:r>
          </w:p>
        </w:tc>
        <w:tc>
          <w:tcPr>
            <w:tcW w:w="1000" w:type="dxa"/>
            <w:vAlign w:val="bottom"/>
            <w:tcBorders>
              <w:bottom w:val="single" w:sz="8" w:color="2E74B5"/>
              <w:right w:val="single" w:sz="8" w:color="auto"/>
            </w:tcBorders>
            <w:shd w:val="clear" w:color="auto" w:fill="2E74B5"/>
          </w:tcPr>
          <w:p>
            <w:pPr>
              <w:spacing w:after="0"/>
              <w:rPr>
                <w:sz w:val="17"/>
                <w:szCs w:val="17"/>
                <w:color w:val="auto"/>
              </w:rPr>
            </w:pPr>
          </w:p>
        </w:tc>
        <w:tc>
          <w:tcPr>
            <w:tcW w:w="1240" w:type="dxa"/>
            <w:vAlign w:val="bottom"/>
            <w:tcBorders>
              <w:bottom w:val="single" w:sz="8" w:color="2E74B5"/>
              <w:right w:val="single" w:sz="8" w:color="auto"/>
            </w:tcBorders>
            <w:shd w:val="clear" w:color="auto" w:fill="2E74B5"/>
          </w:tcPr>
          <w:p>
            <w:pPr>
              <w:spacing w:after="0"/>
              <w:rPr>
                <w:sz w:val="17"/>
                <w:szCs w:val="17"/>
                <w:color w:val="auto"/>
              </w:rPr>
            </w:pPr>
          </w:p>
        </w:tc>
        <w:tc>
          <w:tcPr>
            <w:tcW w:w="1940" w:type="dxa"/>
            <w:vAlign w:val="bottom"/>
            <w:tcBorders>
              <w:bottom w:val="single" w:sz="8" w:color="2E74B5"/>
              <w:right w:val="single" w:sz="8" w:color="auto"/>
            </w:tcBorders>
            <w:shd w:val="clear" w:color="auto" w:fill="2E74B5"/>
          </w:tcPr>
          <w:p>
            <w:pPr>
              <w:spacing w:after="0"/>
              <w:rPr>
                <w:sz w:val="17"/>
                <w:szCs w:val="17"/>
                <w:color w:val="auto"/>
              </w:rPr>
            </w:pPr>
          </w:p>
        </w:tc>
        <w:tc>
          <w:tcPr>
            <w:tcW w:w="2040" w:type="dxa"/>
            <w:vAlign w:val="bottom"/>
            <w:tcBorders>
              <w:bottom w:val="single" w:sz="8" w:color="2E74B5"/>
              <w:right w:val="single" w:sz="8" w:color="auto"/>
            </w:tcBorders>
            <w:shd w:val="clear" w:color="auto" w:fill="2E74B5"/>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Atrisco PV</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369</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198</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Confidential</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17.5% (5%)</w:t>
            </w:r>
          </w:p>
        </w:tc>
        <w:tc>
          <w:tcPr>
            <w:tcW w:w="2040" w:type="dxa"/>
            <w:vAlign w:val="bottom"/>
            <w:tcBorders>
              <w:top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Atrisco BESS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Confidential</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23% (7%)</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Quail Ranch</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131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240" w:type="dxa"/>
            <w:vAlign w:val="bottom"/>
            <w:tcBorders>
              <w:right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10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 (5%)</w:t>
            </w:r>
          </w:p>
        </w:tc>
        <w:tc>
          <w:tcPr>
            <w:tcW w:w="204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Roadrunner</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240" w:type="dxa"/>
            <w:vAlign w:val="bottom"/>
            <w:tcBorders>
              <w:right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5-10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10%-12% (5%)</w:t>
            </w:r>
          </w:p>
        </w:tc>
        <w:tc>
          <w:tcPr>
            <w:tcW w:w="204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Apex financing was structured as a sale and leaseback and therefore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9"/>
        </w:trPr>
        <w:tc>
          <w:tcPr>
            <w:tcW w:w="7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6 – cash and cash equivalents</w:t>
            </w:r>
          </w:p>
        </w:tc>
        <w:tc>
          <w:tcPr>
            <w:tcW w:w="3760" w:type="dxa"/>
            <w:vAlign w:val="bottom"/>
          </w:tcPr>
          <w:p>
            <w:pPr>
              <w:spacing w:after="0"/>
              <w:rPr>
                <w:sz w:val="13"/>
                <w:szCs w:val="13"/>
                <w:color w:val="auto"/>
              </w:rPr>
            </w:pPr>
          </w:p>
        </w:tc>
      </w:tr>
      <w:tr>
        <w:trPr>
          <w:trHeight w:val="153"/>
        </w:trPr>
        <w:tc>
          <w:tcPr>
            <w:tcW w:w="754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3"/>
        </w:trPr>
        <w:tc>
          <w:tcPr>
            <w:tcW w:w="754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b w:val="1"/>
                <w:bCs w:val="1"/>
                <w:i w:val="1"/>
                <w:iCs w:val="1"/>
                <w:color w:val="FFFFFF"/>
              </w:rPr>
              <w:t>($ thousands)</w:t>
            </w:r>
          </w:p>
        </w:tc>
        <w:tc>
          <w:tcPr>
            <w:tcW w:w="3760" w:type="dxa"/>
            <w:vAlign w:val="bottom"/>
            <w:shd w:val="clear" w:color="auto" w:fill="1764AC"/>
          </w:tcPr>
          <w:p>
            <w:pPr>
              <w:jc w:val="right"/>
              <w:ind w:right="960"/>
              <w:spacing w:after="0"/>
              <w:rPr>
                <w:sz w:val="20"/>
                <w:szCs w:val="20"/>
                <w:color w:val="auto"/>
              </w:rPr>
            </w:pPr>
            <w:r>
              <w:rPr>
                <w:rFonts w:ascii="Times New Roman" w:cs="Times New Roman" w:eastAsia="Times New Roman" w:hAnsi="Times New Roman"/>
                <w:sz w:val="12"/>
                <w:szCs w:val="12"/>
                <w:b w:val="1"/>
                <w:bCs w:val="1"/>
                <w:color w:val="FFFFFF"/>
              </w:rPr>
              <w:t>December 31, 2025</w:t>
            </w:r>
          </w:p>
        </w:tc>
      </w:tr>
      <w:tr>
        <w:trPr>
          <w:trHeight w:val="138"/>
        </w:trPr>
        <w:tc>
          <w:tcPr>
            <w:tcW w:w="7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tc>
        <w:tc>
          <w:tcPr>
            <w:tcW w:w="3760" w:type="dxa"/>
            <w:vAlign w:val="bottom"/>
          </w:tcPr>
          <w:p>
            <w:pPr>
              <w:spacing w:after="0"/>
              <w:rPr>
                <w:sz w:val="12"/>
                <w:szCs w:val="12"/>
                <w:color w:val="auto"/>
              </w:rPr>
            </w:pPr>
          </w:p>
        </w:tc>
      </w:tr>
      <w:tr>
        <w:trPr>
          <w:trHeight w:val="16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Enlight Renewable Energy Ltd, Enlight EU Energies Kft and Enlight Renewable LLC excluding subsidiaries </w:t>
            </w:r>
            <w:r>
              <w:rPr>
                <w:rFonts w:ascii="Times New Roman" w:cs="Times New Roman" w:eastAsia="Times New Roman" w:hAnsi="Times New Roman"/>
                <w:sz w:val="12"/>
                <w:szCs w:val="12"/>
                <w:b w:val="1"/>
                <w:bCs w:val="1"/>
                <w:color w:val="auto"/>
              </w:rPr>
              <w:t>(“Topco”)</w:t>
            </w:r>
          </w:p>
        </w:tc>
        <w:tc>
          <w:tcPr>
            <w:tcW w:w="376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rPr>
              <w:t>325,305</w:t>
            </w:r>
          </w:p>
        </w:tc>
      </w:tr>
      <w:tr>
        <w:trPr>
          <w:trHeight w:val="153"/>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Subsidiaries</w:t>
            </w:r>
          </w:p>
        </w:tc>
        <w:tc>
          <w:tcPr>
            <w:tcW w:w="376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rPr>
              <w:t>203,192</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Deposits:</w:t>
            </w:r>
          </w:p>
        </w:tc>
        <w:tc>
          <w:tcPr>
            <w:tcW w:w="3760" w:type="dxa"/>
            <w:vAlign w:val="bottom"/>
            <w:tcBorders>
              <w:bottom w:val="single" w:sz="8" w:color="auto"/>
            </w:tcBorders>
          </w:tcPr>
          <w:p>
            <w:pPr>
              <w:spacing w:after="0"/>
              <w:rPr>
                <w:sz w:val="13"/>
                <w:szCs w:val="13"/>
                <w:color w:val="auto"/>
              </w:rPr>
            </w:pP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Short term deposits</w:t>
            </w:r>
          </w:p>
        </w:tc>
        <w:tc>
          <w:tcPr>
            <w:tcW w:w="37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Restricted Cash:</w:t>
            </w:r>
          </w:p>
        </w:tc>
        <w:tc>
          <w:tcPr>
            <w:tcW w:w="3760" w:type="dxa"/>
            <w:vAlign w:val="bottom"/>
            <w:tcBorders>
              <w:bottom w:val="single" w:sz="8" w:color="auto"/>
            </w:tcBorders>
          </w:tcPr>
          <w:p>
            <w:pPr>
              <w:spacing w:after="0"/>
              <w:rPr>
                <w:sz w:val="13"/>
                <w:szCs w:val="13"/>
                <w:color w:val="auto"/>
              </w:rPr>
            </w:pP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Projects under construction</w:t>
            </w:r>
          </w:p>
        </w:tc>
        <w:tc>
          <w:tcPr>
            <w:tcW w:w="376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rPr>
              <w:t>409,424</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Reserves, including debt service, performance obligations and others</w:t>
            </w:r>
          </w:p>
        </w:tc>
        <w:tc>
          <w:tcPr>
            <w:tcW w:w="376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rPr>
              <w:t>130,358</w:t>
            </w:r>
          </w:p>
        </w:tc>
      </w:tr>
      <w:tr>
        <w:trPr>
          <w:trHeight w:val="151"/>
        </w:trPr>
        <w:tc>
          <w:tcPr>
            <w:tcW w:w="7540" w:type="dxa"/>
            <w:vAlign w:val="bottom"/>
            <w:shd w:val="clear" w:color="auto" w:fill="C5DFF7"/>
          </w:tcPr>
          <w:p>
            <w:pPr>
              <w:spacing w:after="0"/>
              <w:rPr>
                <w:sz w:val="20"/>
                <w:szCs w:val="20"/>
                <w:color w:val="auto"/>
              </w:rPr>
            </w:pPr>
            <w:r>
              <w:rPr>
                <w:rFonts w:ascii="Times New Roman" w:cs="Times New Roman" w:eastAsia="Times New Roman" w:hAnsi="Times New Roman"/>
                <w:sz w:val="12"/>
                <w:szCs w:val="12"/>
                <w:b w:val="1"/>
                <w:bCs w:val="1"/>
                <w:color w:val="auto"/>
              </w:rPr>
              <w:t>Total Cash</w:t>
            </w:r>
          </w:p>
        </w:tc>
        <w:tc>
          <w:tcPr>
            <w:tcW w:w="3760" w:type="dxa"/>
            <w:vAlign w:val="bottom"/>
            <w:shd w:val="clear" w:color="auto" w:fill="C5DFF7"/>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9"/>
              </w:rPr>
              <w:t>1,068,279</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7 – Corporate level (TopCo) debt</w:t>
            </w:r>
          </w:p>
        </w:tc>
        <w:tc>
          <w:tcPr>
            <w:tcW w:w="3760" w:type="dxa"/>
            <w:vAlign w:val="bottom"/>
          </w:tcPr>
          <w:p>
            <w:pPr>
              <w:spacing w:after="0"/>
              <w:rPr>
                <w:sz w:val="24"/>
                <w:szCs w:val="24"/>
                <w:color w:val="auto"/>
              </w:rPr>
            </w:pPr>
          </w:p>
        </w:tc>
      </w:tr>
      <w:tr>
        <w:trPr>
          <w:trHeight w:val="153"/>
        </w:trPr>
        <w:tc>
          <w:tcPr>
            <w:tcW w:w="754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3"/>
        </w:trPr>
        <w:tc>
          <w:tcPr>
            <w:tcW w:w="754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b w:val="1"/>
                <w:bCs w:val="1"/>
                <w:i w:val="1"/>
                <w:iCs w:val="1"/>
                <w:color w:val="FFFFFF"/>
              </w:rPr>
              <w:t>($ thousands)</w:t>
            </w:r>
          </w:p>
        </w:tc>
        <w:tc>
          <w:tcPr>
            <w:tcW w:w="3760" w:type="dxa"/>
            <w:vAlign w:val="bottom"/>
            <w:shd w:val="clear" w:color="auto" w:fill="1764AC"/>
          </w:tcPr>
          <w:p>
            <w:pPr>
              <w:jc w:val="right"/>
              <w:ind w:right="960"/>
              <w:spacing w:after="0"/>
              <w:rPr>
                <w:sz w:val="20"/>
                <w:szCs w:val="20"/>
                <w:color w:val="auto"/>
              </w:rPr>
            </w:pPr>
            <w:r>
              <w:rPr>
                <w:rFonts w:ascii="Times New Roman" w:cs="Times New Roman" w:eastAsia="Times New Roman" w:hAnsi="Times New Roman"/>
                <w:sz w:val="12"/>
                <w:szCs w:val="12"/>
                <w:b w:val="1"/>
                <w:bCs w:val="1"/>
                <w:color w:val="FFFFFF"/>
              </w:rPr>
              <w:t>December 31, 2025</w:t>
            </w:r>
          </w:p>
        </w:tc>
      </w:tr>
      <w:tr>
        <w:trPr>
          <w:trHeight w:val="153"/>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Debentures:</w:t>
            </w:r>
          </w:p>
        </w:tc>
        <w:tc>
          <w:tcPr>
            <w:tcW w:w="3760" w:type="dxa"/>
            <w:vAlign w:val="bottom"/>
            <w:tcBorders>
              <w:bottom w:val="single" w:sz="8" w:color="auto"/>
            </w:tcBorders>
          </w:tcPr>
          <w:p>
            <w:pPr>
              <w:spacing w:after="0"/>
              <w:rPr>
                <w:sz w:val="13"/>
                <w:szCs w:val="13"/>
                <w:color w:val="auto"/>
              </w:rPr>
            </w:pP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Debentures</w:t>
            </w:r>
          </w:p>
        </w:tc>
        <w:tc>
          <w:tcPr>
            <w:tcW w:w="37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2"/>
                <w:szCs w:val="12"/>
                <w:color w:val="auto"/>
                <w:w w:val="97"/>
              </w:rPr>
              <w:t>650,886*</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376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2"/>
                <w:szCs w:val="12"/>
                <w:color w:val="auto"/>
              </w:rPr>
              <w:t>273,801</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Loans from banks and other financial institutions:</w:t>
            </w:r>
          </w:p>
        </w:tc>
        <w:tc>
          <w:tcPr>
            <w:tcW w:w="3760" w:type="dxa"/>
            <w:vAlign w:val="bottom"/>
            <w:tcBorders>
              <w:bottom w:val="single" w:sz="8" w:color="auto"/>
            </w:tcBorders>
          </w:tcPr>
          <w:p>
            <w:pPr>
              <w:spacing w:after="0"/>
              <w:rPr>
                <w:sz w:val="13"/>
                <w:szCs w:val="13"/>
                <w:color w:val="auto"/>
              </w:rPr>
            </w:pP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Credit and short-term loans from banks and other financial institutions</w:t>
            </w:r>
          </w:p>
        </w:tc>
        <w:tc>
          <w:tcPr>
            <w:tcW w:w="37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376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2"/>
                <w:szCs w:val="12"/>
                <w:color w:val="auto"/>
              </w:rPr>
              <w:t>116,555</w:t>
            </w:r>
          </w:p>
        </w:tc>
      </w:tr>
      <w:tr>
        <w:trPr>
          <w:trHeight w:val="151"/>
        </w:trPr>
        <w:tc>
          <w:tcPr>
            <w:tcW w:w="7540" w:type="dxa"/>
            <w:vAlign w:val="bottom"/>
            <w:shd w:val="clear" w:color="auto" w:fill="C5DFF7"/>
          </w:tcPr>
          <w:p>
            <w:pPr>
              <w:spacing w:after="0"/>
              <w:rPr>
                <w:sz w:val="20"/>
                <w:szCs w:val="20"/>
                <w:color w:val="auto"/>
              </w:rPr>
            </w:pPr>
            <w:r>
              <w:rPr>
                <w:rFonts w:ascii="Times New Roman" w:cs="Times New Roman" w:eastAsia="Times New Roman" w:hAnsi="Times New Roman"/>
                <w:sz w:val="12"/>
                <w:szCs w:val="12"/>
                <w:b w:val="1"/>
                <w:bCs w:val="1"/>
                <w:color w:val="auto"/>
              </w:rPr>
              <w:t>Total corporate level debt</w:t>
            </w:r>
          </w:p>
        </w:tc>
        <w:tc>
          <w:tcPr>
            <w:tcW w:w="3760" w:type="dxa"/>
            <w:vAlign w:val="bottom"/>
            <w:shd w:val="clear" w:color="auto" w:fill="C5DFF7"/>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9"/>
              </w:rPr>
              <w:t>1,041,242</w:t>
            </w:r>
          </w:p>
        </w:tc>
      </w:tr>
      <w:tr>
        <w:trPr>
          <w:trHeight w:val="155"/>
        </w:trPr>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 Including current maturities of debentures in the amount of 174,617</w:t>
            </w:r>
          </w:p>
        </w:tc>
        <w:tc>
          <w:tcPr>
            <w:tcW w:w="3760" w:type="dxa"/>
            <w:vAlign w:val="bottom"/>
          </w:tcPr>
          <w:p>
            <w:pPr>
              <w:spacing w:after="0"/>
              <w:rPr>
                <w:sz w:val="13"/>
                <w:szCs w:val="13"/>
                <w:color w:val="auto"/>
              </w:rPr>
            </w:pPr>
          </w:p>
        </w:tc>
      </w:tr>
      <w:tr>
        <w:trPr>
          <w:trHeight w:val="268"/>
        </w:trPr>
        <w:tc>
          <w:tcPr>
            <w:tcW w:w="754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78"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color w:val="auto"/>
        </w:rPr>
        <w:t>Appendix 8 – Functional Currency Conversion Rates:</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The financial statements of each of the Company’s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Israeli shekel (“NIS”), which is the Company’s Functional Currency. The Group’s consolidated financial statements are presented in U.S. dollars (“USD”).</w:t>
      </w:r>
    </w:p>
    <w:p>
      <w:pPr>
        <w:sectPr>
          <w:pgSz w:w="11900" w:h="16838" w:orient="portrait"/>
          <w:cols w:equalWidth="0" w:num="1">
            <w:col w:w="11280"/>
          </w:cols>
          <w:pgMar w:left="300" w:top="278" w:right="319" w:bottom="1440" w:gutter="0" w:footer="0" w:header="0"/>
        </w:sectPr>
      </w:pP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FX Rates to USD:</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Date of the financial statements:</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31th December 2025</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31th December 2024</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u w:val="single" w:color="auto"/>
          <w:color w:val="auto"/>
        </w:rPr>
        <w:t>Average for the 3 months period ended:</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December 2025</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December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2"/>
        </w:trPr>
        <w:tc>
          <w:tcPr>
            <w:tcW w:w="1920" w:type="dxa"/>
            <w:vAlign w:val="bottom"/>
            <w:tcBorders>
              <w:left w:val="single" w:sz="8" w:color="1764AC"/>
              <w:bottom w:val="single" w:sz="8" w:color="auto"/>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2"/>
              </w:rPr>
              <w:t>Euro</w:t>
            </w:r>
          </w:p>
        </w:tc>
        <w:tc>
          <w:tcPr>
            <w:tcW w:w="1860" w:type="dxa"/>
            <w:vAlign w:val="bottom"/>
            <w:tcBorders>
              <w:bottom w:val="single" w:sz="8" w:color="auto"/>
              <w:right w:val="single" w:sz="8" w:color="1764AC"/>
            </w:tcBorders>
            <w:shd w:val="clear" w:color="auto" w:fill="1764AC"/>
          </w:tcPr>
          <w:p>
            <w:pPr>
              <w:ind w:left="820"/>
              <w:spacing w:after="0"/>
              <w:rPr>
                <w:sz w:val="20"/>
                <w:szCs w:val="20"/>
                <w:color w:val="auto"/>
              </w:rPr>
            </w:pPr>
            <w:r>
              <w:rPr>
                <w:rFonts w:ascii="Times New Roman" w:cs="Times New Roman" w:eastAsia="Times New Roman" w:hAnsi="Times New Roman"/>
                <w:sz w:val="12"/>
                <w:szCs w:val="12"/>
                <w:b w:val="1"/>
                <w:bCs w:val="1"/>
                <w:color w:val="FFFFFF"/>
              </w:rPr>
              <w:t>NIS</w:t>
            </w:r>
          </w:p>
        </w:tc>
      </w:tr>
      <w:tr>
        <w:trPr>
          <w:trHeight w:val="151"/>
        </w:trPr>
        <w:tc>
          <w:tcPr>
            <w:tcW w:w="1920" w:type="dxa"/>
            <w:vAlign w:val="bottom"/>
            <w:tcBorders>
              <w:left w:val="single" w:sz="8" w:color="auto"/>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1.17</w:t>
            </w:r>
          </w:p>
        </w:tc>
        <w:tc>
          <w:tcPr>
            <w:tcW w:w="1860" w:type="dxa"/>
            <w:vAlign w:val="bottom"/>
            <w:tcBorders>
              <w:bottom w:val="single" w:sz="8" w:color="auto"/>
              <w:right w:val="single" w:sz="8" w:color="auto"/>
            </w:tcBorders>
          </w:tcPr>
          <w:p>
            <w:pPr>
              <w:ind w:left="820"/>
              <w:spacing w:after="0" w:line="131" w:lineRule="exact"/>
              <w:rPr>
                <w:sz w:val="20"/>
                <w:szCs w:val="20"/>
                <w:color w:val="auto"/>
              </w:rPr>
            </w:pPr>
            <w:r>
              <w:rPr>
                <w:rFonts w:ascii="Times New Roman" w:cs="Times New Roman" w:eastAsia="Times New Roman" w:hAnsi="Times New Roman"/>
                <w:sz w:val="12"/>
                <w:szCs w:val="12"/>
                <w:color w:val="auto"/>
              </w:rPr>
              <w:t>0.31</w:t>
            </w:r>
          </w:p>
        </w:tc>
      </w:tr>
      <w:tr>
        <w:trPr>
          <w:trHeight w:val="132"/>
        </w:trPr>
        <w:tc>
          <w:tcPr>
            <w:tcW w:w="1920" w:type="dxa"/>
            <w:vAlign w:val="bottom"/>
            <w:tcBorders>
              <w:left w:val="single" w:sz="8" w:color="auto"/>
              <w:bottom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1.14</w:t>
            </w:r>
          </w:p>
        </w:tc>
        <w:tc>
          <w:tcPr>
            <w:tcW w:w="1860" w:type="dxa"/>
            <w:vAlign w:val="bottom"/>
            <w:tcBorders>
              <w:bottom w:val="single" w:sz="8" w:color="auto"/>
              <w:right w:val="single" w:sz="8" w:color="auto"/>
            </w:tcBorders>
          </w:tcPr>
          <w:p>
            <w:pPr>
              <w:ind w:left="820"/>
              <w:spacing w:after="0" w:line="132" w:lineRule="exact"/>
              <w:rPr>
                <w:sz w:val="20"/>
                <w:szCs w:val="20"/>
                <w:color w:val="auto"/>
              </w:rPr>
            </w:pPr>
            <w:r>
              <w:rPr>
                <w:rFonts w:ascii="Times New Roman" w:cs="Times New Roman" w:eastAsia="Times New Roman" w:hAnsi="Times New Roman"/>
                <w:sz w:val="12"/>
                <w:szCs w:val="12"/>
                <w:color w:val="auto"/>
              </w:rPr>
              <w:t>0.27</w:t>
            </w:r>
          </w:p>
        </w:tc>
      </w:tr>
      <w:tr>
        <w:trPr>
          <w:trHeight w:val="295"/>
        </w:trPr>
        <w:tc>
          <w:tcPr>
            <w:tcW w:w="1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51"/>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1.16</w:t>
            </w:r>
          </w:p>
        </w:tc>
        <w:tc>
          <w:tcPr>
            <w:tcW w:w="18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2"/>
                <w:szCs w:val="12"/>
                <w:color w:val="auto"/>
              </w:rPr>
              <w:t>0.31</w:t>
            </w:r>
          </w:p>
        </w:tc>
      </w:tr>
      <w:tr>
        <w:trPr>
          <w:trHeight w:val="151"/>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1.07</w:t>
            </w:r>
          </w:p>
        </w:tc>
        <w:tc>
          <w:tcPr>
            <w:tcW w:w="18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2"/>
                <w:szCs w:val="12"/>
                <w:color w:val="auto"/>
              </w:rPr>
              <w:t>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228600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291465</wp:posOffset>
            </wp:positionV>
            <wp:extent cx="717804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2">
            <w:col w:w="3520" w:space="720"/>
            <w:col w:w="7040"/>
          </w:cols>
          <w:pgMar w:left="300" w:top="278" w:right="319" w:bottom="1440" w:gutter="0" w:footer="0" w:header="0"/>
          <w:type w:val="continuous"/>
        </w:sectPr>
      </w:pPr>
    </w:p>
    <w:bookmarkStart w:id="35" w:name="page36"/>
    <w:bookmarkEnd w:id="35"/>
    <w:p>
      <w:pPr>
        <w:ind w:left="954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3680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0" w:num="1">
            <w:col w:w="10160"/>
          </w:cols>
          <w:pgMar w:left="1440" w:top="323" w:right="29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703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03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747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674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680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3806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806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3"/>
      <w:numFmt w:val="bullet"/>
      <w:start w:val="1"/>
    </w:lvl>
  </w:abstractNum>
  <w:abstractNum w:abstractNumId="8">
    <w:nsid w:val="628C895D"/>
    <w:multiLevelType w:val="hybridMultilevel"/>
    <w:lvl w:ilvl="0">
      <w:lvlJc w:val="left"/>
      <w:lvlText w:val="4"/>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o"/>
      <w:numFmt w:val="bullet"/>
      <w:start w:val="1"/>
    </w:lvl>
  </w:abstractNum>
  <w:abstractNum w:abstractNumId="12">
    <w:nsid w:val="2D1D5AE9"/>
    <w:multiLevelType w:val="hybridMultilevel"/>
    <w:lvl w:ilvl="0">
      <w:lvlJc w:val="left"/>
      <w:lvlText w:val="5"/>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o"/>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o"/>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lvl w:ilvl="1">
      <w:lvlJc w:val="left"/>
      <w:lvlText w:val="o"/>
      <w:numFmt w:val="bullet"/>
      <w:start w:val="1"/>
    </w:lvl>
  </w:abstractNum>
  <w:abstractNum w:abstractNumId="21">
    <w:nsid w:val="71F32454"/>
    <w:multiLevelType w:val="hybridMultilevel"/>
    <w:lvl w:ilvl="0">
      <w:lvlJc w:val="left"/>
      <w:lvlText w:val="6"/>
      <w:numFmt w:val="bullet"/>
      <w:start w:val="1"/>
    </w:lvl>
  </w:abstractNum>
  <w:abstractNum w:abstractNumId="22">
    <w:nsid w:val="2CA88611"/>
    <w:multiLevelType w:val="hybridMultilevel"/>
    <w:lvl w:ilvl="0">
      <w:lvlJc w:val="left"/>
      <w:lvlText w:val="7"/>
      <w:numFmt w:val="bullet"/>
      <w:start w:val="1"/>
    </w:lvl>
  </w:abstractNum>
  <w:abstractNum w:abstractNumId="23">
    <w:nsid w:val="836C40E"/>
    <w:multiLevelType w:val="hybridMultilevel"/>
    <w:lvl w:ilvl="0">
      <w:lvlJc w:val="left"/>
      <w:lvlText w:val="8"/>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G"/>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lowerLetter"/>
      <w:start w:val="4"/>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2026-02-17T06:26:27Z</dcterms:created>
  <dcterms:modified xsi:type="dcterms:W3CDTF">2026-02-17T06:26:27Z</dcterms:modified>
</cp:coreProperties>
</file>