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NIS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M4056D110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11,129,061.78</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11,129,061.78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11,129,061.78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100" w:space="60"/>
            <w:col w:w="9980"/>
          </w:cols>
          <w:pgMar w:left="320" w:top="0" w:right="43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(7)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131,896,977 Ordinary Shares outstanding as of October 26,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 Amal St., Afek Industrial Park, Rosh Haayin, Israel, 4809249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Phoenix Financial Ltd. The securities reported herein are beneficially owned by various direct or indirect, majority or</w:t>
      </w:r>
    </w:p>
    <w:p>
      <w:pPr>
        <w:spacing w:after="0" w:line="26" w:lineRule="exact"/>
        <w:rPr>
          <w:sz w:val="20"/>
          <w:szCs w:val="20"/>
          <w:color w:val="auto"/>
        </w:rPr>
      </w:pPr>
    </w:p>
    <w:p>
      <w:pPr>
        <w:jc w:val="both"/>
        <w:ind w:left="960" w:right="80" w:hanging="912"/>
        <w:spacing w:after="0" w:line="247" w:lineRule="auto"/>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wholly-owned subsidiaries of Phoenix Financial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address of the Phoenix Financial Ltd. is Derech Hashalom 53, Givataim, 53454,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Phoenix Financial Ltd. -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NIS 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M4056D110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ectPr>
          <w:pgSz w:w="11900" w:h="16901" w:orient="portrait"/>
          <w:cols w:equalWidth="0" w:num="1">
            <w:col w:w="11140"/>
          </w:cols>
          <w:pgMar w:left="320" w:top="0" w:right="439" w:bottom="0" w:gutter="0" w:footer="0" w:header="0"/>
          <w:type w:val="continuous"/>
        </w:sectPr>
      </w:pPr>
    </w:p>
    <w:bookmarkStart w:id="2" w:name="page3"/>
    <w:bookmarkEnd w:id="2"/>
    <w:p>
      <w:pPr>
        <w:ind w:left="130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See row 9 of cover page of each reporting person. 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As of September 30, 2025, the securities</w:t>
      </w:r>
    </w:p>
    <w:p>
      <w:pPr>
        <w:spacing w:after="0" w:line="4" w:lineRule="exact"/>
        <w:rPr>
          <w:sz w:val="20"/>
          <w:szCs w:val="20"/>
          <w:color w:val="auto"/>
        </w:rPr>
      </w:pPr>
    </w:p>
    <w:p>
      <w:pPr>
        <w:ind w:left="920" w:hanging="912"/>
        <w:spacing w:after="0" w:line="231"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reported herein were held as follows: 2,761,263.08 ordinary shares (representing 2.09% of the total ordinary shares outstanding) beneficially owned by The Phoenix Investments House trust funds. 647,206 ordinary shares (representing 0.49% of the total ordinary shares outstanding) beneficially owned by The Phoenix "nostro" accounts. 34,250 ordinary shares (representing 0.03% of the total ordinary shares outstanding) beneficially owned by The Phoenix pension and provident funds. 27,352 ordinary shares (representing 0.02% of the total ordinary shares outstanding) beneficially owned by Linked insurance policies of Phoenix. 7,637,856.70 ordinary shares (representing 6.03% of the total ordinary shares outstanding) beneficially owned by Partnership for Israeli shares (1). 21,134 ordinary shares (representing 0.02% of the total ordinary shares outstanding) beneficially owned by Partnership for investing in shares indexes (1). (1) 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60"/>
          </w:cols>
          <w:pgMar w:left="360" w:top="126"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24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140"/>
          </w:cols>
          <w:pgMar w:left="360" w:top="126" w:right="479" w:bottom="0" w:gutter="0" w:footer="0" w:header="0"/>
          <w:type w:val="continuous"/>
        </w:sectPr>
      </w:pPr>
    </w:p>
    <w:bookmarkStart w:id="3" w:name="page4"/>
    <w:bookmarkEnd w:id="3"/>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Schwartz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Schwartz / Vice President - Chief Financial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11/06/2025</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Haggai Schreiber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Haggai Schreiber / Executive Vice President -</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11/06/2025</w:t>
      </w:r>
    </w:p>
    <w:p>
      <w:pPr>
        <w:spacing w:after="0" w:line="310" w:lineRule="exact"/>
        <w:rPr>
          <w:sz w:val="20"/>
          <w:szCs w:val="20"/>
          <w:color w:val="auto"/>
        </w:rPr>
      </w:pPr>
    </w:p>
    <w:p>
      <w:pPr>
        <w:ind w:right="40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Signature duly authorized by resolution of the Board of Directors, notice of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as Exhibit 1 to this Schedule 13G.</w:t>
      </w: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140"/>
        <w:spacing w:after="0" w:line="258" w:lineRule="auto"/>
        <w:rPr>
          <w:sz w:val="20"/>
          <w:szCs w:val="20"/>
          <w:color w:val="auto"/>
        </w:rPr>
      </w:pPr>
      <w:r>
        <w:rPr>
          <w:rFonts w:ascii="Times New Roman" w:cs="Times New Roman" w:eastAsia="Times New Roman" w:hAnsi="Times New Roman"/>
          <w:sz w:val="22"/>
          <w:szCs w:val="22"/>
          <w:color w:val="auto"/>
        </w:rPr>
        <w:t>Exhibit 1 - Notice of resolution of the Board of Directors of Phoenix Financial Ltd., dated as of December 12, 2019 (incorporated herein by reference to Exhibit 1 to the Schedule 13G filed on February 14, 2024).</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2025-11-12T08:49:40Z</dcterms:created>
  <dcterms:modified xsi:type="dcterms:W3CDTF">2025-11-12T08:49:40Z</dcterms:modified>
</cp:coreProperties>
</file>