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001-41613</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Enlight Renewable Energy Ltd.</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13 Amal St., Afek Industrial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Rosh Ha’ayin,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+ 972 (3) 900-8700</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ind w:left="1740"/>
        <w:spacing w:after="0"/>
        <w:rPr>
          <w:sz w:val="20"/>
          <w:szCs w:val="20"/>
          <w:color w:val="auto"/>
        </w:rPr>
      </w:pPr>
      <w:r>
        <w:rPr>
          <w:rFonts w:ascii="Times New Roman" w:cs="Times New Roman" w:eastAsia="Times New Roman" w:hAnsi="Times New Roman"/>
          <w:sz w:val="20"/>
          <w:szCs w:val="20"/>
          <w:b w:val="1"/>
          <w:bCs w:val="1"/>
          <w:u w:val="single" w:color="auto"/>
          <w:color w:val="auto"/>
        </w:rPr>
        <w:t>Enlight Announces the Financial Close for the Hybridization of the Gecama Project</w:t>
      </w:r>
    </w:p>
    <w:p>
      <w:pPr>
        <w:spacing w:after="0" w:line="24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Tel Aviv, Israel, June 3, 2025, Enlight Renewable Energy Ltd. (NASDAQ: ENLT, TASE: ENLT) (“</w:t>
      </w:r>
      <w:r>
        <w:rPr>
          <w:rFonts w:ascii="Times New Roman" w:cs="Times New Roman" w:eastAsia="Times New Roman" w:hAnsi="Times New Roman"/>
          <w:sz w:val="18"/>
          <w:szCs w:val="18"/>
          <w:b w:val="1"/>
          <w:bCs w:val="1"/>
          <w:color w:val="auto"/>
        </w:rPr>
        <w:t>Enlight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announces that the Company, through its indirect subsidiary, Generacion Eolica Castilla La Mancha S.A.U</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has entered into euro-denominated re-financing agreement totaling approximately $310 million for the hybridization of Gecama Project in Spain (the "</w:t>
      </w:r>
      <w:r>
        <w:rPr>
          <w:rFonts w:ascii="Times New Roman" w:cs="Times New Roman" w:eastAsia="Times New Roman" w:hAnsi="Times New Roman"/>
          <w:sz w:val="18"/>
          <w:szCs w:val="18"/>
          <w:b w:val="1"/>
          <w:bCs w:val="1"/>
          <w:color w:val="auto"/>
        </w:rPr>
        <w:t>Gecama Project"</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8"/>
          <w:szCs w:val="18"/>
          <w:color w:val="auto"/>
        </w:rPr>
        <w:t>Currently, the Gecama project includes an operational windfarm ("</w:t>
      </w:r>
      <w:r>
        <w:rPr>
          <w:rFonts w:ascii="Times New Roman" w:cs="Times New Roman" w:eastAsia="Times New Roman" w:hAnsi="Times New Roman"/>
          <w:sz w:val="18"/>
          <w:szCs w:val="18"/>
          <w:b w:val="1"/>
          <w:bCs w:val="1"/>
          <w:color w:val="auto"/>
        </w:rPr>
        <w:t>Gecama Wind Project</w:t>
      </w:r>
      <w:r>
        <w:rPr>
          <w:rFonts w:ascii="Times New Roman" w:cs="Times New Roman" w:eastAsia="Times New Roman" w:hAnsi="Times New Roman"/>
          <w:sz w:val="18"/>
          <w:szCs w:val="18"/>
          <w:color w:val="auto"/>
        </w:rPr>
        <w:t>"). The Hybridization of the Gecama project will include the construction of 225 MW of PV and 220 MWh of battery energy storage facility (the "</w:t>
      </w:r>
      <w:r>
        <w:rPr>
          <w:rFonts w:ascii="Times New Roman" w:cs="Times New Roman" w:eastAsia="Times New Roman" w:hAnsi="Times New Roman"/>
          <w:sz w:val="18"/>
          <w:szCs w:val="18"/>
          <w:b w:val="1"/>
          <w:bCs w:val="1"/>
          <w:color w:val="auto"/>
        </w:rPr>
        <w:t>Hybrid Project</w:t>
      </w:r>
      <w:r>
        <w:rPr>
          <w:rFonts w:ascii="Times New Roman" w:cs="Times New Roman" w:eastAsia="Times New Roman" w:hAnsi="Times New Roman"/>
          <w:sz w:val="18"/>
          <w:szCs w:val="18"/>
          <w:color w:val="auto"/>
        </w:rPr>
        <w:t>") alongside the 329 MW Gecama Wind Project, totaling a combined capacity of 554 MW and 220 MWh.</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Subject to the completion of last development milestones, the Hybrid Project is expected to reach commercial operation (COD) in the second half of 2026 and to increase Gecama Project’s annual revenues by $38–40 million and EBITDA by $31–33 million, in the first full year of operation. With all three components – wind, solar, and energy storage – in full operation, the integrated Gecama Project is expected to generate annual revenues of $95–105 million and EBITDA of $75–80 million</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p>
    <w:p>
      <w:pPr>
        <w:spacing w:after="0" w:line="3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financing transaction of $310 million includes two tranches covering refinancing of the Gecama Wind project and financing for the construction of the Hybrid Project. Both tranches of the financing bear a fixed interest rate of 5.1% and are structured as fully amortizing loans maturing in 2045 and 2046, respectively.</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After repaying the existing debt and funding necessary reserves and transaction costs, approximately $150–155 million of the secured debt will be allocated to the construction of the Hybrid Project, with a total estimated cost of $195–205 million, while the remaining balance will be funded by equity.</w:t>
      </w:r>
    </w:p>
    <w:p>
      <w:pPr>
        <w:spacing w:after="0" w:line="16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The financing is led by the MEAG Infrastructure Debt Transactions team, acting as sole arranger in its capacity as portfolio manager of certain funds and accounts, along with additional institutional co-investors.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financing is structured on a merchant basis where all generated power may be sold on the open market, or in a mix with a PPA.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This filing presents EBITDA, which is a non-IFRS financial measure. Non-IFRS financial measures have limitations as analytical tools and should not be considered in isolation or as substitutes for financial information presented under IFRS. There are a number of limitations related to the use of non-IFRS financial measures versus comparable financial measures determined under IFRS. For example, other companies in our industry may calculate the non-IFRS financial measures that we use differently or may use other measures to evaluate their performance. All of these limitations could reduce the usefulness of our non-IFRS financial measures as analytical tools.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Exhibit 99.1)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This Form 6-K (but not including Exhibit 99.1) is hereby incorporated by reference into the Company’s Registration Statement on Form S-8 (File No. 333-271297).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32" w:lineRule="exact"/>
        <w:rPr>
          <w:sz w:val="20"/>
          <w:szCs w:val="20"/>
          <w:color w:val="auto"/>
        </w:rPr>
      </w:pPr>
    </w:p>
    <w:p>
      <w:pPr>
        <w:ind w:right="100" w:firstLine="8"/>
        <w:spacing w:after="0" w:line="201"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Company indirectly holds approximately 72% of Generacion Eolica Castilla La Mancha S.A.U (Gecama), with the remaining held by several Israeli institutional investors.</w:t>
      </w:r>
    </w:p>
    <w:p>
      <w:pPr>
        <w:spacing w:after="0" w:line="1" w:lineRule="exact"/>
        <w:rPr>
          <w:rFonts w:ascii="Times New Roman" w:cs="Times New Roman" w:eastAsia="Times New Roman" w:hAnsi="Times New Roman"/>
          <w:sz w:val="30"/>
          <w:szCs w:val="30"/>
          <w:color w:val="auto"/>
          <w:vertAlign w:val="superscript"/>
        </w:rPr>
      </w:pPr>
    </w:p>
    <w:p>
      <w:pPr>
        <w:ind w:right="40"/>
        <w:spacing w:after="0" w:line="19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The annual revenues and EBITDA are based on expected first full year of the Hybrid Project and the actual results of the Gecama Wind Project for the 12 months ended March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We intend such forward-looking statements to be covered by the safe harbor provisions for forward-looking statements as contained in Section 27A of the Securities Act of 1933, as amended, and Section 21E of the Securities Exchange Act of 1934, as amended. All statements contained in this filing other than statements of historical fact, including, without limitation, statements regarding the Company’s expectations relating to the Project, plans, projections, predicted or anticipated future results, and the completion timeline for the Project, are forward-looking statements. The words “may,” “might,” “will,” “could,” “would,” “should,” “expect,” “plan,” “anticipate,” “intend,” “target,” “seek,” “believe,” “estimate,” “predict,” “potential,” “continue,” “contemplate,” “possible,” “forecasts,” “aims” or the negative of these terms and similar expressions are intended to identify forward-looking statements, though not all forward-looking statements use these words or expressions.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ability to site suitable land for, and otherwise source, renewable energy projects and to successfully develop and convert them into Operational Projects; availability of, and access to, interconnection facilities and transmission systems; our ability to obtain and maintain governmental and other regulatory approvals and permits, including environmental approvals and permits; construction delays, operational delays and supply chain disruptions leading to increased cost of materials required for the construction of our projects, as well as cost overruns and delays related to disputes with contractors; our suppliers’ ability and willingness to perform both existing and future obligations; competition from traditional and renewable energy companies in developing renewable energy projects; potential slowed demand for renewable energy projects and our ability to enter into new offtake contracts on acceptable terms and prices as current offtake contracts expire; offtakers’ ability to terminate contracts or seek other remedies resulting from failure of our projects to meet development, operational or performance benchmarks; various technical and operational challenges leading to unplanned outages, reduced output, interconnection or termination issues; the dependence of our production and revenue on suitable meteorological and environmental conditions, and our ability to accurately predict such conditions; our ability to enforce warranties provided by our counterparties in the event that our projects do not perform as expected; government curtailment, energy price caps and other government actions that restrict or reduce the profitability of renewable energy production; electricity price volatility, unusual weather conditions (including the effects of climate change, could adversely affect wind and solar conditions), catastrophic weather-related or other damage to facilities, unscheduled generation outages, maintenance or repairs, unanticipated changes to availability due to higher demand, shortages, transportation problems or other developments, environmental incidents, or electric transmission system constraints and the possibility that we may not have adequate insurance to cover losses as a result of such hazards; our dependence on certain operational projects for a substantial portion of our cash flows; our ability to continue to grow our portfolio of projects through successful acquisitions; changes and advances in technology that impair or eliminate the competitive advantage of our projects or upsets the expectations underlying investments in our technologies; our ability to effectively anticipate and manage cost inflation, interest rate risk, currency exchange fluctuations and other macroeconomic conditions that impact our business; our ability to retain and attract key personnel; our ability to manage legal and regulatory compliance and litigation risk across our global corporate structure; our ability to protect our business from, and manage the impact of, cyber-attacks, disruptions and security incidents, as well as acts of terrorism or war; changes to existing renewable energy industry policies and regulations that present technical, regulatory and economic barriers to renewable energy projects; the reduction, elimination or expiration of government incentives for, or regulations mandating the use of, renewable energy; our ability to effectively manage our supply chain and comply with applicable regulations with respect to international trade relations, tariffs, sanctions, export controls and anti-bribery and anti-corruption laws; our ability to effectively comply with Environmental Health and Safety and other laws and regulations and receive and maintain all necessary licenses, permits and authorizations; our performance of various obligations under the terms of our indebtedness (and the indebtedness of our subsidiaries that we guarantee) and our ability to continue to secure project financing on attractive terms for our projects; limitations on our management rights and operational flexibility due to our use of tax equity arrangements; potential claims and disagreements with partners, investors and other counterparties that could reduce our right to cash flows generated by our projects; our ability to comply with tax laws of various jurisdictions in which we currently operate as well as the tax laws in jurisdictions in which we intend to operate in the future; the unknown effect of the dual listing of our ordinary shares on the price of our ordinary shares; various risks related to our incorporation and location in Israel; the costs and requirements of being a public company, including the diversion of management’s attention with respect to such requirements; certain provisions in our Articles of Association and certain applicable regulations that may delay or prevent a change of control; and other risk factors set forth in the section titled “Risk factors” in our Annual Report on Form 20-F for the fiscal year ended December 31, 2024, filed with the Securities and Exchange Commission (the “SEC”) and our other documents filed with or furnished to the SEC.</w:t>
      </w:r>
    </w:p>
    <w:p>
      <w:pPr>
        <w:spacing w:after="0" w:line="2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These statements reflect management’s current expectations regarding future events and speak only as of the date of this filing.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may be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Enlight Renewable Energy Ltd.</w:t>
      </w:r>
    </w:p>
    <w:p>
      <w:pPr>
        <w:spacing w:after="0" w:line="243"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3, 2025</w:t>
      </w:r>
      <w:r>
        <w:rPr>
          <w:sz w:val="20"/>
          <w:szCs w:val="20"/>
          <w:color w:val="auto"/>
        </w:rPr>
        <w:tab/>
      </w:r>
      <w:r>
        <w:rPr>
          <w:rFonts w:ascii="Times New Roman" w:cs="Times New Roman" w:eastAsia="Times New Roman" w:hAnsi="Times New Roman"/>
          <w:sz w:val="18"/>
          <w:szCs w:val="18"/>
          <w:color w:val="auto"/>
        </w:rPr>
        <w:t>By: /s/ Lisa Haimovitz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Lisa Haimovitz</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20"/>
      </w:cols>
      <w:pgMar w:left="320" w:top="3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2025-06-03T05:13:08Z</dcterms:created>
  <dcterms:modified xsi:type="dcterms:W3CDTF">2025-06-03T05:13:08Z</dcterms:modified>
</cp:coreProperties>
</file>