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March 2025</w:t>
      </w: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001-41613</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Enlight Renewable Energy Ltd.</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13 Amal St., Afek Industrial Park</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Rosh Ha’ayin,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+ 972 (3) 900-8700</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560"/>
        <w:spacing w:after="0" w:line="207" w:lineRule="exact"/>
        <w:tabs>
          <w:tab w:leader="none" w:pos="57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38"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Enlight Announces the Financial Close for Country Acres Project</w:t>
      </w:r>
    </w:p>
    <w:p>
      <w:pPr>
        <w:spacing w:after="0" w:line="243"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Enlight Renewable Energy Ltd. (“Enlight” or the “Company”) announces that the Company has entered into a debt financing (the “Debt Financing”) for its Country Acres project (the “Project” or “Country Acres”), located near Sacramento, California, USA.</w:t>
      </w:r>
    </w:p>
    <w:p>
      <w:pPr>
        <w:spacing w:after="0" w:line="16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 part of the Debt Financing, Enlight, through its subsidiary, Clenera Holdings LLC, has secured construction financing commitments with a consortium of four leading global banks including, BNP Paribas Securities Corp, Crédit Agricole, Natixis Corporate &amp; Investment Banking, and Norddeutsche Landesbank Girozentrale (Nord/LB), totaling $773 million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Upon the Project’s commercial operation date (“COD”), part of the construction loan is expected to convert into a $376 million term loan with the rest of the construction loans expected to be repaid with tax equity. The term loan is structured with an amortization tenor of 30 years and is to be fully repaid 5 years from the Project’s COD (mini perm). The loans are subject to an all-in interest rate of 5.5%-6.0%. The Company serves as the parent guarantor for certain obligations (as defined under the financing agreements).</w:t>
      </w:r>
    </w:p>
    <w:p>
      <w:pPr>
        <w:spacing w:after="0" w:line="2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Project has a 30-year solar generation busbar PPA and 20-year energy storage busbar purchase agreement with the Sacramento Municipal Utility District (“SMUD”). The Company expects to conclude a tax equity transaction during the construction period, noting that the Project has met the terms required to achieve safe harbor status for beginning of construction. The Company expects the Project to be eligible for the 10% Domestic Content Bonus Credit, but there is no certainty this will occur.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summarize the Project’s financial information as expected at COD:</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345"/>
        </w:trPr>
        <w:tc>
          <w:tcPr>
            <w:tcW w:w="3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Total project cost</w:t>
            </w:r>
            <w:r>
              <w:rPr>
                <w:rFonts w:ascii="Times New Roman" w:cs="Times New Roman" w:eastAsia="Times New Roman" w:hAnsi="Times New Roman"/>
                <w:sz w:val="29"/>
                <w:szCs w:val="29"/>
                <w:b w:val="1"/>
                <w:bCs w:val="1"/>
                <w:color w:val="auto"/>
                <w:w w:val="96"/>
                <w:vertAlign w:val="superscript"/>
              </w:rPr>
              <w:t>2</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debt</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Estimated tax equity proceeds</w:t>
            </w:r>
            <w:r>
              <w:rPr>
                <w:rFonts w:ascii="Times New Roman" w:cs="Times New Roman" w:eastAsia="Times New Roman" w:hAnsi="Times New Roman"/>
                <w:sz w:val="29"/>
                <w:szCs w:val="29"/>
                <w:b w:val="1"/>
                <w:bCs w:val="1"/>
                <w:color w:val="auto"/>
                <w:w w:val="98"/>
                <w:vertAlign w:val="superscript"/>
              </w:rPr>
              <w:t>3</w:t>
            </w:r>
          </w:p>
        </w:tc>
      </w:tr>
      <w:tr>
        <w:trPr>
          <w:trHeight w:val="257"/>
        </w:trPr>
        <w:tc>
          <w:tcPr>
            <w:tcW w:w="3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$805-835 million</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$373 million</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$340-440 million</w:t>
            </w:r>
          </w:p>
        </w:tc>
      </w:tr>
      <w:tr>
        <w:trPr>
          <w:trHeight w:val="61"/>
        </w:trPr>
        <w:tc>
          <w:tcPr>
            <w:tcW w:w="3780" w:type="dxa"/>
            <w:vAlign w:val="bottom"/>
            <w:tcBorders>
              <w:left w:val="single" w:sz="8" w:color="auto"/>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35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project cost</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Projected revenues</w:t>
            </w:r>
          </w:p>
        </w:tc>
      </w:tr>
      <w:tr>
        <w:trPr>
          <w:trHeight w:val="238"/>
        </w:trPr>
        <w:tc>
          <w:tcPr>
            <w:tcW w:w="3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of tax equity</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first full year</w:t>
            </w:r>
          </w:p>
        </w:tc>
      </w:tr>
      <w:tr>
        <w:trPr>
          <w:trHeight w:val="47"/>
        </w:trPr>
        <w:tc>
          <w:tcPr>
            <w:tcW w:w="3780" w:type="dxa"/>
            <w:vAlign w:val="bottom"/>
            <w:tcBorders>
              <w:left w:val="single" w:sz="8" w:color="auto"/>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r>
        <w:trPr>
          <w:trHeight w:val="257"/>
        </w:trPr>
        <w:tc>
          <w:tcPr>
            <w:tcW w:w="3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$380-480 million</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$60-63 million</w:t>
            </w:r>
          </w:p>
        </w:tc>
      </w:tr>
      <w:tr>
        <w:trPr>
          <w:trHeight w:val="61"/>
        </w:trPr>
        <w:tc>
          <w:tcPr>
            <w:tcW w:w="3780" w:type="dxa"/>
            <w:vAlign w:val="bottom"/>
            <w:tcBorders>
              <w:left w:val="single" w:sz="8" w:color="auto"/>
              <w:bottom w:val="single" w:sz="8" w:color="auto"/>
              <w:right w:val="single" w:sz="8" w:color="auto"/>
            </w:tcBorders>
          </w:tcPr>
          <w:p>
            <w:pPr>
              <w:spacing w:after="0"/>
              <w:rPr>
                <w:sz w:val="5"/>
                <w:szCs w:val="5"/>
                <w:color w:val="auto"/>
              </w:rPr>
            </w:pPr>
          </w:p>
        </w:tc>
        <w:tc>
          <w:tcPr>
            <w:tcW w:w="376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Projected EBITDA</w:t>
      </w:r>
    </w:p>
    <w:p>
      <w:pPr>
        <w:spacing w:after="0" w:line="4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in first full year</w:t>
      </w:r>
      <w:r>
        <w:rPr>
          <w:rFonts w:ascii="Times New Roman" w:cs="Times New Roman" w:eastAsia="Times New Roman" w:hAnsi="Times New Roman"/>
          <w:sz w:val="29"/>
          <w:szCs w:val="29"/>
          <w:b w:val="1"/>
          <w:bCs w:val="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-37465</wp:posOffset>
            </wp:positionV>
            <wp:extent cx="2372360" cy="227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2360" cy="227330"/>
                    </a:xfrm>
                    <a:prstGeom prst="rect">
                      <a:avLst/>
                    </a:prstGeom>
                    <a:noFill/>
                  </pic:spPr>
                </pic:pic>
              </a:graphicData>
            </a:graphic>
          </wp:anchor>
        </w:drawing>
      </w:r>
    </w:p>
    <w:p>
      <w:pPr>
        <w:jc w:val="center"/>
        <w:ind w:right="1140"/>
        <w:spacing w:after="0"/>
        <w:rPr>
          <w:sz w:val="20"/>
          <w:szCs w:val="20"/>
          <w:color w:val="auto"/>
        </w:rPr>
      </w:pPr>
      <w:r>
        <w:rPr>
          <w:rFonts w:ascii="Times New Roman" w:cs="Times New Roman" w:eastAsia="Times New Roman" w:hAnsi="Times New Roman"/>
          <w:sz w:val="18"/>
          <w:szCs w:val="18"/>
          <w:color w:val="auto"/>
        </w:rPr>
        <w:t>$44-47 million</w:t>
      </w:r>
    </w:p>
    <w:p>
      <w:pPr>
        <w:spacing w:after="0" w:line="288" w:lineRule="exact"/>
        <w:rPr>
          <w:sz w:val="20"/>
          <w:szCs w:val="20"/>
          <w:color w:val="auto"/>
        </w:rPr>
      </w:pPr>
    </w:p>
    <w:p>
      <w:pPr>
        <w:sectPr>
          <w:pgSz w:w="11900" w:h="16838" w:orient="portrait"/>
          <w:cols w:equalWidth="0" w:num="2">
            <w:col w:w="7920" w:space="720"/>
            <w:col w:w="2600"/>
          </w:cols>
          <w:pgMar w:left="320" w:top="117" w:right="339" w:bottom="1440" w:gutter="0" w:footer="0" w:header="0"/>
          <w:type w:val="continuous"/>
        </w:sectPr>
      </w:pPr>
    </w:p>
    <w:p>
      <w:pPr>
        <w:spacing w:after="0" w:line="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Country Acres consists of 403 MW solar generation and 688 MWh of energy storage capacity, and is expected to reach full COD during the second half of 2026. Construction at the 966-acre site has already begun, and all procurement contracts have been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1645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58" w:lineRule="exact"/>
        <w:rPr>
          <w:sz w:val="20"/>
          <w:szCs w:val="20"/>
          <w:color w:val="auto"/>
        </w:rPr>
      </w:pPr>
    </w:p>
    <w:p>
      <w:pPr>
        <w:ind w:right="340" w:firstLine="8"/>
        <w:spacing w:after="0" w:line="201" w:lineRule="auto"/>
        <w:tabs>
          <w:tab w:leader="none" w:pos="12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$58 million is included in the construction financing agreement in order to finance reimbursable costs that will be returned to the Company following COD.</w:t>
      </w:r>
    </w:p>
    <w:p>
      <w:pPr>
        <w:spacing w:after="0" w:line="1" w:lineRule="exact"/>
        <w:rPr>
          <w:rFonts w:ascii="Times New Roman" w:cs="Times New Roman" w:eastAsia="Times New Roman" w:hAnsi="Times New Roman"/>
          <w:sz w:val="30"/>
          <w:szCs w:val="30"/>
          <w:color w:val="auto"/>
          <w:vertAlign w:val="superscript"/>
        </w:rPr>
      </w:pPr>
    </w:p>
    <w:p>
      <w:pPr>
        <w:spacing w:after="0" w:line="185"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As part of the Project’s equipment supply contracts, there is a price adjustment mechanism based on eligibility for the Domestic Content Bonus Credit.</w:t>
      </w:r>
    </w:p>
    <w:p>
      <w:pPr>
        <w:ind w:right="300"/>
        <w:spacing w:after="0" w:line="197"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The tax equity proceeds will depend on the eligibility for the Domestic Content Bonus Credit. Assuming a tax equity partnership structure, 99% of tax benefits and 15%-25% of EBITDA for 7 years will be transferred to the tax partner.</w:t>
      </w:r>
    </w:p>
    <w:p>
      <w:pPr>
        <w:ind w:right="20"/>
        <w:spacing w:after="0" w:line="197"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EBITDA is a non-IFRS financial measure. This figure represents EBITDA for the project and excludes all expected ITC proceeds as well as the impact of a potential tax equity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243"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8"/>
          <w:szCs w:val="18"/>
          <w:color w:val="auto"/>
        </w:rPr>
        <w:t>This filing presents EBITDA, which is a non-IFRS financial measure. Non-IFRS financial measures have limitations as analytical tools and should not be considered in isolation or as substitutes for financial information presented under IFRS. There are a number of limitations related to the use of non-IFRS financial measures versus comparable financial measures determined under IFRS. For example, other companies in our industry may calculate the non-IFRS financial measures that we use differently or may use other measures to evaluate their performance. All of these limitations could reduce the usefulness of our non-IFRS financial measures as analytical tools.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56"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The information in this Form 6-K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This report on Form 6-K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press release other than statements of historical fact, including, without limitation, statements regarding the Company’s expectations relating to the Project, plans, projections, predicted or anticipated future results, the PPA and the related interconnection agreement and lease option, and the completion timeline for the Project,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ability to site suitable land for, and otherwise source, renewable energy projects and to successfully develop and convert them into Operational Projects; availability of, and access to, interconnection facilities and transmission systems; our ability to obtain and maintain governmental and other regulatory approvals and permits, including environmental approvals and permits; construction delays, operational delays and supply chain disruptions leading to increased cost of materials required for the construction of our projects, as well as cost overruns and delays related to disputes with contractors; our suppliers’ ability and willingness to perform both existing and future obligations; competition from traditional and renewable energy companies in developing renewable energy projects; potential slowed demand for renewable energy projects and our ability to enter into new offtake contracts on acceptable terms and prices as current offtake contracts expire; offtakers’ ability to terminate contracts or seek other remedies resulting from failure of our projects to meet development, operational or performance benchmarks; various technical and operational challenges leading to unplanned outages, reduced output, interconnection or termination issues; the dependence of our production and revenue on suitable meteorological and environmental conditions, and our ability to accurately predict such conditions; our ability to enforce warranties provided by our counterparties in the event that our projects do not perform as expected; government curtailment, energy price caps and other government actions that restrict or reduce the profitability of renewable energy production; electricity price volatility, unusual weather conditions (including the effects of climate change, could adversely affect wind and solar conditions), catastrophic weather-related or other damage to facilities, unscheduled generation outages, maintenance or repairs, unanticipated changes to availability due to higher demand, shortages, transportation problems or other developments, environmental incidents, or electric transmission system constraints and the possibility that we may not have adequate insurance to cover losses as a result of such hazards; our dependence on certain operational projects for a substantial portion of our cash flows; our ability to continue to grow our portfolio of projects through successful acquisitions; changes and advances in technology that impair or eliminate the competitive advantage of our projects or upsets the expectations underlying investments in our technologies; our ability to effectively anticipate and manage cost inflation, interest rate risk, currency exchange fluctuations and other macroeconomic conditions that impact our business; our ability to retain and attract key personnel; our ability to manage legal and regulatory compliance and litigation risk across our global corporate structure; our ability to protect our business from, and manage the impact of, cyber-attacks, disruptions and security incidents, as well as acts of terrorism or war; changes to existing renewable energy industry policies and regulations that present technical, regulatory and economic barriers to renewable energy projects; the reduction, elimination or expiration of government incentives for, or regulations mandating the use of, renewable energy; our ability to effectively manage our supply chain and comply with applicable regulations with respect to international trade relations, tariffs, sanctions, export controls and anti-bribery and anti-corruption laws; our ability to effectively comply with Environmental Health and Safety and other laws and regulations and receive and maintain all necessary licenses, permits and authorizations; our performance of various obligations under the terms of our indebtedness (and the indebtedness of our subsidiaries that we guarantee) and our ability to continue to secure project financing on attractive terms for our projects; limitations on our management rights and operational flexibility due to our use of tax equity arrangements; potential claims and disagreements with partners, investors and other counterparties that could reduce our right to cash flows generated by our projects; our ability to comply with tax laws of various jurisdictions in which we currently operate as well as the tax laws in jurisdictions in which we intend to operate in the future; the unknown effect of the dual listing of our ordinary shares on the price of our ordinary shares; various risks related to our incorporation and location in Israel; the costs and requirements of being a public company, including the diversion of management’s attention with respect to such requirements; certain provisions in our Articles of Association and certain applicable regulations that may delay or prevent a change of control; and other risk factors set forth in the section titled “Risk factors” in our Annual Report on Form 20-F for the fiscal year ended December 31, 2024, filed with the Securities and Exchange Commission (the “SEC”) and our other documents filed with or furnished to the SEC.</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These statements reflect management’s current expectations regarding future events and speak only as of the date of this press release.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may be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06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Enlight Renewable Energy Ltd.</w:t>
      </w:r>
    </w:p>
    <w:p>
      <w:pPr>
        <w:spacing w:after="0" w:line="243" w:lineRule="exact"/>
        <w:rPr>
          <w:sz w:val="20"/>
          <w:szCs w:val="20"/>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March 31, 2025</w:t>
      </w:r>
      <w:r>
        <w:rPr>
          <w:sz w:val="20"/>
          <w:szCs w:val="20"/>
          <w:color w:val="auto"/>
        </w:rPr>
        <w:tab/>
      </w:r>
      <w:r>
        <w:rPr>
          <w:rFonts w:ascii="Times New Roman" w:cs="Times New Roman" w:eastAsia="Times New Roman" w:hAnsi="Times New Roman"/>
          <w:sz w:val="18"/>
          <w:szCs w:val="18"/>
          <w:color w:val="auto"/>
        </w:rPr>
        <w:t>By:</w:t>
        <w:tab/>
        <w:t>/s/ Lisa Haimovitz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Lisa Haimovitz</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20"/>
      </w:cols>
      <w:pgMar w:left="320" w:top="1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2025-03-31T05:29:05Z</dcterms:created>
  <dcterms:modified xsi:type="dcterms:W3CDTF">2025-03-31T05:29:05Z</dcterms:modified>
</cp:coreProperties>
</file>