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533669.htm"/>
      <w:bookmarkStart w:id="1" w:name="kszk2533669"/>
      <w:bookmarkStart w:id="2" w:name="zk2533669.htm"/>
      <w:bookmarkStart w:id="3" w:name="kszk2533669"/>
      <w:bookmarkEnd w:id="2"/>
      <w:bookmarkEnd w:id="3"/>
    </w:p>
    <w:p>
      <w:pPr>
        <w:pStyle w:val="TextBody"/>
        <w:bidi w:val="0"/>
        <w:spacing w:before="0" w:after="0"/>
        <w:jc w:val="left"/>
        <w:rPr/>
      </w:pPr>
      <w:r>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8"/>
        </w:rPr>
        <w:t>UNITED STATES</w:t>
      </w:r>
      <w:r>
        <w:rPr>
          <w:rFonts w:ascii="Times New Roman" w:hAnsi="Times New Roman"/>
          <w:b/>
          <w:color w:val="000000"/>
          <w:sz w:val="20"/>
        </w:rPr>
        <w:br/>
      </w:r>
      <w:r>
        <w:rPr>
          <w:rFonts w:ascii="Times New Roman" w:hAnsi="Times New Roman"/>
          <w:b/>
          <w:color w:val="000000"/>
          <w:sz w:val="28"/>
        </w:rPr>
        <w:t>SECURITIES AND EXCHANGE COMMISSION</w:t>
      </w:r>
      <w:r>
        <w:rPr>
          <w:rFonts w:ascii="Times New Roman" w:hAnsi="Times New Roman"/>
          <w:b/>
          <w:color w:val="000000"/>
          <w:sz w:val="20"/>
        </w:rPr>
        <w:br/>
        <w:t>Washington, D.C. 20549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lineRule="auto" w:line="300" w:before="0" w:after="0"/>
        <w:jc w:val="left"/>
        <w:rPr>
          <w:rFonts w:ascii="Times New Roman" w:hAnsi="Times New Roman"/>
        </w:rPr>
      </w:pPr>
      <w:r>
        <w:rPr>
          <w:rFonts w:ascii="Times New Roman" w:hAnsi="Times New Roman"/>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REPORT OF FOREIGN PRIVATE ISSUER</w:t>
        <w:br/>
        <w:t>PURSUANT TO RULE 13A-16 OR 15D-16</w:t>
        <w:br/>
        <w:t>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For the month of August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Commission File Number: 001-41613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color w:val="000000"/>
          <w:sz w:val="20"/>
        </w:rPr>
      </w:pPr>
      <w:r>
        <w:rPr>
          <w:rFonts w:ascii="Times New Roman" w:hAnsi="Times New Roman"/>
          <w:b/>
          <w:color w:val="000000"/>
          <w:sz w:val="32"/>
        </w:rPr>
        <w:t>Enlight Renewable Energy Ltd.</w:t>
      </w:r>
      <w:r>
        <w:rPr>
          <w:rFonts w:ascii="Times New Roman" w:hAnsi="Times New Roman"/>
          <w:color w:val="000000"/>
          <w:sz w:val="20"/>
        </w:rPr>
        <w:br/>
        <w:t>(Translation of registrant’s name into English)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13 Amal St., Afek Industrial Park</w:t>
        <w:br/>
        <w:t>Rosh Ha’ayin, Israel</w:t>
        <w:br/>
        <w:t>+ 972 (3) 900-8700</w:t>
        <w:br/>
        <w:t>(Address of principal executive office)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IRS Publishes New Safe Harbor Guidelines</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rPr>
      </w:pPr>
      <w:r>
        <w:rPr>
          <w:rFonts w:ascii="Times New Roman;serif" w:hAnsi="Times New Roman;serif"/>
          <w:color w:val="000000"/>
          <w:sz w:val="20"/>
        </w:rPr>
        <w:t>Subsequent to the Executive Order issued on July 7, 2025, the United States Internal Revenue Service (the “IRS”) issued new criteria on August 15, 2025 regarding the “beginning of construction” requirements to qualify for safe harbor treatment in connection with the tax benefit eligibility of solar projects.</w:t>
      </w:r>
    </w:p>
    <w:p>
      <w:pPr>
        <w:pStyle w:val="TextBody"/>
        <w:bidi w:val="0"/>
        <w:spacing w:lineRule="auto" w:line="300" w:before="0" w:after="0"/>
        <w:jc w:val="left"/>
        <w:rPr/>
      </w:pPr>
      <w:r>
        <w:rPr/>
      </w:r>
    </w:p>
    <w:p>
      <w:pPr>
        <w:pStyle w:val="TextBody"/>
        <w:bidi w:val="0"/>
        <w:spacing w:lineRule="auto" w:line="240" w:before="0" w:after="0"/>
        <w:jc w:val="both"/>
        <w:rPr>
          <w:rFonts w:ascii="Times New Roman;serif" w:hAnsi="Times New Roman;serif"/>
          <w:color w:val="000000"/>
          <w:sz w:val="20"/>
        </w:rPr>
      </w:pPr>
      <w:r>
        <w:rPr>
          <w:rFonts w:ascii="Times New Roman;serif" w:hAnsi="Times New Roman;serif"/>
          <w:color w:val="000000"/>
          <w:sz w:val="20"/>
        </w:rPr>
        <w:t>As previously enacted under the reconciliation bill1, solar projects that qualify for safe harbor treatment by July 4, 2026 shall be eligible for full IRA tax benefits provided they become operational by 2030. The IRS guidelines for energy storage projects remain unchanged. The new guidelines will enter into effect on September 2, 2025, with no retroactive effect on projects that have already secured their tax benefit eligibility.</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rPr>
      </w:pPr>
      <w:r>
        <w:rPr>
          <w:rFonts w:ascii="Times New Roman;serif" w:hAnsi="Times New Roman;serif"/>
          <w:color w:val="000000"/>
          <w:sz w:val="20"/>
        </w:rPr>
        <w:t>Following a preliminary analysis, the new guidelines allow the Company to implement, at the minimum, its business plan as published in the presentation titled: “Enlight and the IRA Transition”, furnished as Exhibit 99.1 to the Form 6-K furnished to the U.S. Securities and Exchange Commission on May 27, 2025, pursuant to which the Company’s total operating portfolio in the U.S. eligible for tax benefits is expected to reach 6.5-8.0 factored gigawatts (FGW), by the end of 2028. The Company expects that its total global operating portfolio will reach 11-13 FGW with an annual recurring revenue and income run rate (ARR) of approximately $2 billion by the end of 2028, almost four times larger than the Company’s revenues and income guidance for 2025.</w:t>
      </w:r>
    </w:p>
    <w:p>
      <w:pPr>
        <w:pStyle w:val="TextBody"/>
        <w:bidi w:val="0"/>
        <w:spacing w:lineRule="auto" w:line="300" w:before="0" w:after="0"/>
        <w:jc w:val="left"/>
        <w:rPr/>
      </w:pPr>
      <w:r>
        <w:rPr/>
      </w:r>
    </w:p>
    <w:p>
      <w:pPr>
        <w:pStyle w:val="TextBody"/>
        <w:bidi w:val="0"/>
        <w:spacing w:lineRule="auto" w:line="240" w:before="0" w:after="0"/>
        <w:jc w:val="both"/>
        <w:rPr>
          <w:rFonts w:ascii="Times New Roman;serif" w:hAnsi="Times New Roman;serif"/>
          <w:color w:val="000000"/>
          <w:sz w:val="20"/>
        </w:rPr>
      </w:pPr>
      <w:r>
        <w:rPr>
          <w:rFonts w:ascii="Times New Roman;serif" w:hAnsi="Times New Roman;serif"/>
          <w:color w:val="000000"/>
          <w:sz w:val="20"/>
        </w:rPr>
        <w:t>Furthermore, a significant portion of the Company’s mature portfolio2 in the U.S. already meets existing regulations. In addition to the capacity mentioned above, the Company estimates an additional significant amount of projects within its U.S. development portfolio may meet the guidelines for commencement of construction and commencement of operations, and thus qualify for full tax credits, subject to other required development milestones.</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serif" w:hAnsi="Times New Roman;serif"/>
          <w:color w:val="000000"/>
          <w:sz w:val="20"/>
        </w:rPr>
      </w:pPr>
      <w:r>
        <w:rPr>
          <w:rFonts w:ascii="Times New Roman;serif" w:hAnsi="Times New Roman;serif"/>
          <w:color w:val="000000"/>
          <w:sz w:val="20"/>
        </w:rPr>
        <w:t>1 H. R. 1 – commonly known as the “One Big Beautiful Bill Act”.</w:t>
      </w:r>
    </w:p>
    <w:p>
      <w:pPr>
        <w:pStyle w:val="TextBody"/>
        <w:bidi w:val="0"/>
        <w:spacing w:lineRule="auto" w:line="240" w:before="0" w:after="0"/>
        <w:jc w:val="left"/>
        <w:rPr>
          <w:rFonts w:ascii="Times New Roman;serif" w:hAnsi="Times New Roman;serif"/>
          <w:color w:val="000000"/>
          <w:sz w:val="20"/>
        </w:rPr>
      </w:pPr>
      <w:r>
        <w:rPr>
          <w:rFonts w:ascii="Times New Roman;serif" w:hAnsi="Times New Roman;serif"/>
          <w:color w:val="000000"/>
          <w:sz w:val="20"/>
        </w:rPr>
        <w:t>2 The mature portfolio includes operating projects, projects under construction, and pre-construction projects (which begin construction within 12 months).</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0"/>
        </w:rPr>
      </w:pPr>
      <w:r>
        <w:rPr>
          <w:rFonts w:ascii="Times New Roman;serif" w:hAnsi="Times New Roman;serif"/>
          <w:color w:val="000000"/>
          <w:sz w:val="20"/>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filing other than statements of historical fact, including, without limitation, statements regarding the Company’s expectations relating to projects, plans, projections, predicted or anticipated future results, and the completion timeline for projects,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 and our other documents filed with or furnished to the SEC.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serif" w:hAnsi="Times New Roman;serif"/>
          <w:color w:val="000000"/>
          <w:sz w:val="20"/>
        </w:rPr>
      </w:pPr>
      <w:r>
        <w:rPr>
          <w:rFonts w:ascii="Times New Roman;serif" w:hAnsi="Times New Roman;serif"/>
          <w:color w:val="000000"/>
          <w:sz w:val="20"/>
        </w:rPr>
        <w:t>These statements reflect management’s current expectations regarding future events and speak only as of the date of this filing.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rPr>
      </w:pPr>
      <w:r>
        <w:rPr>
          <w:rFonts w:ascii="Times New Roman;serif" w:hAnsi="Times New Roman;serif"/>
          <w:color w:val="000000"/>
          <w:sz w:val="20"/>
        </w:rPr>
        <w:t>The information in this Form 6-K shall not be deemed “filed” for purposes of Section 18 of the Securities Exchange Act of 1934, as amended (the “</w:t>
      </w:r>
      <w:r>
        <w:rPr>
          <w:rFonts w:ascii="Times New Roman;serif" w:hAnsi="Times New Roman;serif"/>
          <w:b/>
          <w:color w:val="000000"/>
          <w:sz w:val="20"/>
        </w:rPr>
        <w:t>Exchange Act</w:t>
      </w:r>
      <w:r>
        <w:rPr>
          <w:rFonts w:ascii="Times New Roman;serif" w:hAnsi="Times New Roman;serif"/>
          <w:color w:val="000000"/>
          <w:sz w:val="20"/>
        </w:rPr>
        <w:t>”), or otherwise subject to the liabilities of that section, nor shall it be deemed incorporated by reference in any filing under the Securities Act of 1933, as amended, or the Exchange Act.</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lineRule="auto" w:line="300" w:before="0" w:after="0"/>
        <w:jc w:val="center"/>
        <w:rPr>
          <w:b/>
        </w:rPr>
      </w:pPr>
      <w:r>
        <w:rPr>
          <w:b/>
        </w:rPr>
      </w:r>
    </w:p>
    <w:p>
      <w:pPr>
        <w:pStyle w:val="TextBody"/>
        <w:bidi w:val="0"/>
        <w:spacing w:lineRule="auto" w:line="300"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97711a95078d4a8987b4c214a4fd0007"/>
      <w:bookmarkStart w:id="5" w:name="z97711a95078d4a8987b4c214a4fd0007"/>
      <w:bookmarkEnd w:id="5"/>
    </w:p>
    <w:tbl>
      <w:tblPr>
        <w:tblW w:w="5439" w:type="dxa"/>
        <w:jc w:val="left"/>
        <w:tblInd w:w="0" w:type="dxa"/>
        <w:tblLayout w:type="fixed"/>
        <w:tblCellMar>
          <w:top w:w="0" w:type="dxa"/>
          <w:left w:w="0" w:type="dxa"/>
          <w:bottom w:w="0" w:type="dxa"/>
          <w:right w:w="0" w:type="dxa"/>
        </w:tblCellMar>
      </w:tblPr>
      <w:tblGrid>
        <w:gridCol w:w="2180"/>
        <w:gridCol w:w="506"/>
        <w:gridCol w:w="2753"/>
      </w:tblGrid>
      <w:tr>
        <w:trPr/>
        <w:tc>
          <w:tcPr>
            <w:tcW w:w="2180"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lineRule="auto" w:line="300" w:before="0" w:after="0"/>
              <w:jc w:val="left"/>
              <w:rPr>
                <w:rFonts w:ascii="Times New Roman" w:hAnsi="Times New Roman"/>
                <w:b/>
                <w:color w:val="000000"/>
              </w:rPr>
            </w:pPr>
            <w:r>
              <w:rPr>
                <w:rFonts w:ascii="Times New Roman" w:hAnsi="Times New Roman"/>
                <w:b/>
                <w:color w:val="000000"/>
              </w:rPr>
              <w:t>Enlight Renewable Energy Ltd.</w:t>
            </w:r>
          </w:p>
        </w:tc>
      </w:tr>
      <w:tr>
        <w:trPr/>
        <w:tc>
          <w:tcPr>
            <w:tcW w:w="2180"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Date: August 18, 2025</w:t>
            </w:r>
          </w:p>
        </w:tc>
        <w:tc>
          <w:tcPr>
            <w:tcW w:w="506" w:type="dxa"/>
            <w:tcBorders/>
            <w:vAlign w:val="center"/>
          </w:tcPr>
          <w:p>
            <w:pPr>
              <w:pStyle w:val="TableContents"/>
              <w:bidi w:val="0"/>
              <w:spacing w:lineRule="auto" w:line="300" w:before="0" w:after="0"/>
              <w:jc w:val="left"/>
              <w:rPr>
                <w:rFonts w:ascii="Times New Roman" w:hAnsi="Times New Roman"/>
              </w:rPr>
            </w:pPr>
            <w:r>
              <w:rPr>
                <w:rFonts w:ascii="Times New Roman" w:hAnsi="Times New Roman"/>
              </w:rPr>
              <w:t>By:</w:t>
            </w:r>
          </w:p>
        </w:tc>
        <w:tc>
          <w:tcPr>
            <w:tcW w:w="275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/s/ Lisa Haimovitz</w:t>
            </w:r>
          </w:p>
        </w:tc>
      </w:tr>
      <w:tr>
        <w:trPr/>
        <w:tc>
          <w:tcPr>
            <w:tcW w:w="218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2753"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Lisa Haimovitz</w:t>
            </w:r>
          </w:p>
        </w:tc>
      </w:tr>
      <w:tr>
        <w:trPr/>
        <w:tc>
          <w:tcPr>
            <w:tcW w:w="218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2753" w:type="dxa"/>
            <w:tcBorders/>
            <w:vAlign w:val="center"/>
          </w:tcPr>
          <w:p>
            <w:pPr>
              <w:pStyle w:val="TableContents"/>
              <w:bidi w:val="0"/>
              <w:spacing w:lineRule="auto" w:line="300" w:before="0" w:after="0"/>
              <w:jc w:val="left"/>
              <w:rPr>
                <w:rFonts w:ascii="Times New Roman" w:hAnsi="Times New Roman"/>
                <w:color w:val="000000"/>
              </w:rPr>
            </w:pPr>
            <w:r>
              <w:rPr>
                <w:rFonts w:ascii="Times New Roman" w:hAnsi="Times New Roman"/>
                <w:color w:val="000000"/>
              </w:rPr>
              <w:t>VP General Counsel</w:t>
            </w:r>
          </w:p>
        </w:tc>
      </w:tr>
    </w:tbl>
    <w:p>
      <w:pPr>
        <w:pStyle w:val="TextBody"/>
        <w:bidi w:val="0"/>
        <w:spacing w:lineRule="auto" w:line="300" w:before="0" w:after="0"/>
        <w:jc w:val="left"/>
        <w:rPr>
          <w:rFonts w:ascii="Times New Roman" w:hAnsi="Times New Roman"/>
        </w:rPr>
      </w:pPr>
      <w:r>
        <w:rPr>
          <w:rFonts w:ascii="Times New Roman" w:hAnsi="Times New Roman"/>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1595</Words>
  <Characters>9345</Characters>
  <CharactersWithSpaces>10936</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