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left"/>
        <w:rPr/>
      </w:pPr>
      <w:r>
        <w:rPr/>
      </w:r>
      <w:bookmarkStart w:id="0" w:name="zk2533866.htm"/>
      <w:bookmarkStart w:id="1" w:name="kszk2533866"/>
      <w:bookmarkStart w:id="2" w:name="zk2533866.htm"/>
      <w:bookmarkStart w:id="3" w:name="kszk2533866"/>
      <w:bookmarkEnd w:id="2"/>
      <w:bookmarkEnd w:id="3"/>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UNITED STATES</w:t>
        <w:br/>
      </w:r>
      <w:r>
        <w:rPr>
          <w:rFonts w:ascii="Times New Roman;serif" w:hAnsi="Times New Roman;serif"/>
          <w:b/>
          <w:color w:val="000000"/>
          <w:sz w:val="28"/>
        </w:rPr>
        <w:t>SECURITIES AND EXCHANGE COMMISSION</w:t>
      </w:r>
      <w:r>
        <w:rPr>
          <w:rFonts w:ascii="Times New Roman;serif" w:hAnsi="Times New Roman;serif"/>
          <w:b/>
          <w:color w:val="000000"/>
          <w:sz w:val="24"/>
        </w:rPr>
        <w:br/>
        <w:t>Washington, D.C. 20549</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lineRule="auto" w:line="300" w:before="0" w:after="0"/>
        <w:jc w:val="left"/>
        <w:rPr/>
      </w:pPr>
      <w:r>
        <w:rPr/>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w:t>
        <w:br/>
        <w:t>PURSUANT TO RULE 13A-16 OR 15D-16</w:t>
        <w:br/>
        <w:t>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For the month of October 2025</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Commission File Number: 001-41613</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color w:val="000000"/>
          <w:sz w:val="20"/>
        </w:rPr>
      </w:pPr>
      <w:r>
        <w:rPr>
          <w:rFonts w:ascii="Times New Roman;serif" w:hAnsi="Times New Roman;serif"/>
          <w:b/>
          <w:color w:val="000000"/>
          <w:sz w:val="32"/>
        </w:rPr>
        <w:t>Enlight Renewable Energy Ltd.</w:t>
      </w:r>
      <w:r>
        <w:rPr>
          <w:rFonts w:ascii="Times New Roman;serif" w:hAnsi="Times New Roman;serif"/>
          <w:color w:val="000000"/>
          <w:sz w:val="20"/>
        </w:rPr>
        <w:br/>
        <w:t>(Translation of registrant’s name into English)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13 Amal St., Afek Industrial Park</w:t>
        <w:br/>
        <w:t>Rosh Ha’ayin, Israel</w:t>
        <w:br/>
        <w:t>+ 972 (3) 900-8700</w:t>
        <w:br/>
        <w:t>(Address of principal executive office)</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serif" w:hAnsi="Times New Roman;serif"/>
          <w:color w:val="000000"/>
          <w:sz w:val="20"/>
        </w:rPr>
      </w:pPr>
      <w:r>
        <w:rPr>
          <w:rFonts w:ascii="Times New Roman;serif" w:hAnsi="Times New Roman;serif"/>
          <w:color w:val="000000"/>
          <w:sz w:val="20"/>
        </w:rPr>
        <w:t>Indicate by check mark whether the registrant files or will file annual reports under cover of Form 20-F or Form 40-F.</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ind w:left="0" w:right="400" w:hanging="0"/>
        <w:jc w:val="center"/>
        <w:rPr>
          <w:rFonts w:ascii="Times New Roman;Times;serif" w:hAnsi="Times New Roman;Times;serif"/>
          <w:b/>
          <w:color w:val="000000"/>
          <w:sz w:val="24"/>
          <w:u w:val="single"/>
        </w:rPr>
      </w:pPr>
      <w:r>
        <w:rPr>
          <w:rFonts w:ascii="Times New Roman;Times;serif" w:hAnsi="Times New Roman;Times;serif"/>
          <w:b/>
          <w:color w:val="000000"/>
          <w:sz w:val="24"/>
          <w:u w:val="single"/>
        </w:rPr>
        <w:t>Enlight To Host Conference Calls Reviewing Third Quarter 2025 Financial Results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Enlight Renewable Energy (“Enlight”, "the Company”), a leading global renewable energy developer and an independent power producer, will release its financial results for the third quarter ended September 30, 2025, prior to the opening of the Tel Aviv Stock Exchange on Wednesday, November 12, 2025.</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Conference Call Information</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Enlight will host two calls to review its financial results and business outlook, one in English and one in Hebrew. Management will deliver prepared remarks followed by a question-and-answer session. Participants may join by conference call or webcast:</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br/>
        <w:t>English Conference Call &amp; Webcast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conference call in English will be held at: 8:00am Eastern Time / 3:00pm Israel Time.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Please pre-register to join the live conference call:</w:t>
      </w:r>
    </w:p>
    <w:p>
      <w:pPr>
        <w:pStyle w:val="TextBody"/>
        <w:bidi w:val="0"/>
        <w:spacing w:lineRule="auto" w:line="300" w:before="0" w:after="0"/>
        <w:jc w:val="left"/>
        <w:rPr>
          <w:rFonts w:ascii="Times New Roman;Times;serif" w:hAnsi="Times New Roman;Times;serif"/>
          <w:b/>
          <w:i w:val="false"/>
          <w:caps w:val="false"/>
          <w:smallCaps w:val="false"/>
          <w:color w:val="000000"/>
          <w:sz w:val="20"/>
          <w:u w:val="single"/>
          <w:shd w:fill="FFFFFF" w:val="clear"/>
        </w:rPr>
      </w:pPr>
      <w:r>
        <w:rPr>
          <w:rFonts w:ascii="Times New Roman;Times;serif" w:hAnsi="Times New Roman;Times;serif"/>
          <w:b/>
          <w:i w:val="false"/>
          <w:caps w:val="false"/>
          <w:smallCaps w:val="false"/>
          <w:color w:val="000000"/>
          <w:sz w:val="20"/>
          <w:u w:val="single"/>
          <w:shd w:fill="FFFFFF" w:val="clear"/>
        </w:rPr>
        <w:t>https://register-conf.media-server.com/register/BIc02636ac75af4b9b962a688d1f9e8115</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Upon registering, you will be emailed a dial-in number, direct passcode and unique PIN.</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 addition, a live webcast will be available. Please register and join using the following link:</w:t>
      </w:r>
    </w:p>
    <w:p>
      <w:pPr>
        <w:pStyle w:val="TextBody"/>
        <w:bidi w:val="0"/>
        <w:spacing w:lineRule="auto" w:line="300" w:before="0" w:after="0"/>
        <w:jc w:val="left"/>
        <w:rPr>
          <w:rFonts w:ascii="Times New Roman;Times;serif" w:hAnsi="Times New Roman;Times;serif"/>
          <w:b/>
          <w:i w:val="false"/>
          <w:caps w:val="false"/>
          <w:smallCaps w:val="false"/>
          <w:color w:val="000000"/>
          <w:sz w:val="20"/>
          <w:u w:val="single"/>
          <w:shd w:fill="FFFFFF" w:val="clear"/>
        </w:rPr>
      </w:pPr>
      <w:r>
        <w:rPr>
          <w:rFonts w:ascii="Times New Roman;Times;serif" w:hAnsi="Times New Roman;Times;serif"/>
          <w:b/>
          <w:i w:val="false"/>
          <w:caps w:val="false"/>
          <w:smallCaps w:val="false"/>
          <w:color w:val="000000"/>
          <w:sz w:val="20"/>
          <w:u w:val="single"/>
          <w:shd w:fill="FFFFFF" w:val="clear"/>
        </w:rPr>
        <w:t>https://edge.media-server.com/mmc/p/ovpd9nik</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Hebrew Webcast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The webcast in Hebrew will be held at: 6:00am Eastern Time / 1:00pm Israel Time.</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Please pre-register to join the live webcast:</w:t>
      </w:r>
    </w:p>
    <w:p>
      <w:pPr>
        <w:pStyle w:val="TextBody"/>
        <w:bidi w:val="0"/>
        <w:spacing w:lineRule="auto" w:line="300" w:before="0" w:after="0"/>
        <w:jc w:val="left"/>
        <w:rPr>
          <w:rFonts w:ascii="Times New Roman;Times;serif" w:hAnsi="Times New Roman;Times;serif"/>
          <w:b w:val="false"/>
          <w:i w:val="false"/>
          <w:caps w:val="false"/>
          <w:smallCaps w:val="false"/>
          <w:color w:val="000000"/>
          <w:sz w:val="20"/>
          <w:u w:val="single"/>
          <w:shd w:fill="FFFFFF" w:val="clear"/>
        </w:rPr>
      </w:pPr>
      <w:r>
        <w:rPr>
          <w:rFonts w:ascii="Times New Roman;Times;serif" w:hAnsi="Times New Roman;Times;serif"/>
          <w:b w:val="false"/>
          <w:i w:val="false"/>
          <w:caps w:val="false"/>
          <w:smallCaps w:val="false"/>
          <w:color w:val="000000"/>
          <w:sz w:val="20"/>
          <w:u w:val="single"/>
          <w:shd w:fill="FFFFFF" w:val="clear"/>
        </w:rPr>
        <w:t>https://enlightenergy-co-il.zoom.us/webinar/register/WN__wcPWrTGTXyuXG6P-eO3dw</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br/>
        <w:t xml:space="preserve">The earnings release with the financial results as well as additional investor presentation materials will be accessible on the Company’s website prior to the calls. An archived version of the English webcast will be available on the Company’s investor relations website at </w:t>
      </w:r>
      <w:r>
        <w:rPr>
          <w:rFonts w:ascii="Times New Roman;Times;serif" w:hAnsi="Times New Roman;Times;serif"/>
          <w:b w:val="false"/>
          <w:i w:val="false"/>
          <w:caps w:val="false"/>
          <w:smallCaps w:val="false"/>
          <w:color w:val="000000"/>
          <w:sz w:val="20"/>
          <w:u w:val="single"/>
          <w:shd w:fill="FFFFFF" w:val="clear"/>
        </w:rPr>
        <w:t>https://enlightenergy.co.il/events/</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br/>
        <w:t>Investor Contact</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Limor Gruber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Director IR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Limorgr@enlightenergy.co.il</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Yonah Weisz</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Director IR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investors@enlightenergy.co.il</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Erica Mannion or Mike Funari</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Sapphire Investor Relations, LLC</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+1 617 542 6180</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investors@enlightenergy.co.il</w:t>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09a9caae8f8e449587d2a253ada3da15"/>
      <w:bookmarkStart w:id="5" w:name="z09a9caae8f8e449587d2a253ada3da15"/>
      <w:bookmarkEnd w:id="5"/>
    </w:p>
    <w:tbl>
      <w:tblPr>
        <w:tblW w:w="1640" w:type="dxa"/>
        <w:jc w:val="left"/>
        <w:tblInd w:w="0" w:type="dxa"/>
        <w:tblLayout w:type="fixed"/>
        <w:tblCellMar>
          <w:top w:w="0" w:type="dxa"/>
          <w:left w:w="0" w:type="dxa"/>
          <w:bottom w:w="0" w:type="dxa"/>
          <w:right w:w="0" w:type="dxa"/>
        </w:tblCellMar>
      </w:tblPr>
      <w:tblGrid>
        <w:gridCol w:w="1640"/>
      </w:tblGrid>
      <w:tr>
        <w:trPr/>
        <w:tc>
          <w:tcPr>
            <w:tcW w:w="1640" w:type="dxa"/>
            <w:tcBorders/>
            <w:vAlign w:val="center"/>
          </w:tcPr>
          <w:p>
            <w:pPr>
              <w:pStyle w:val="TableContents"/>
              <w:bidi w:val="0"/>
              <w:spacing w:lineRule="auto" w:line="300" w:before="0" w:after="0"/>
              <w:jc w:val="center"/>
              <w:rPr>
                <w:rFonts w:ascii="Times New Roman;Times;serif" w:hAnsi="Times New Roman;Times;serif"/>
                <w:b/>
              </w:rPr>
            </w:pPr>
            <w:r>
              <w:rPr>
                <w:rFonts w:ascii="Times New Roman;Times;serif" w:hAnsi="Times New Roman;Times;serif"/>
                <w:b/>
              </w:rPr>
              <w:t>SIGNATURES</w:t>
            </w:r>
          </w:p>
        </w:tc>
      </w:tr>
    </w:tbl>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br/>
        <w:t>Pursuant to the requirements of the Securities Exchange Act of 1934, as amended,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de464eafe8b1406c863af14a3f58b247"/>
      <w:bookmarkStart w:id="7" w:name="zde464eafe8b1406c863af14a3f58b247"/>
      <w:bookmarkEnd w:id="7"/>
    </w:p>
    <w:tbl>
      <w:tblPr>
        <w:tblW w:w="5514" w:type="dxa"/>
        <w:jc w:val="left"/>
        <w:tblInd w:w="0" w:type="dxa"/>
        <w:tblLayout w:type="fixed"/>
        <w:tblCellMar>
          <w:top w:w="0" w:type="dxa"/>
          <w:left w:w="0" w:type="dxa"/>
          <w:bottom w:w="0" w:type="dxa"/>
          <w:right w:w="0" w:type="dxa"/>
        </w:tblCellMar>
      </w:tblPr>
      <w:tblGrid>
        <w:gridCol w:w="2255"/>
        <w:gridCol w:w="506"/>
        <w:gridCol w:w="2753"/>
      </w:tblGrid>
      <w:tr>
        <w:trPr/>
        <w:tc>
          <w:tcPr>
            <w:tcW w:w="2255" w:type="dxa"/>
            <w:tcBorders/>
            <w:vAlign w:val="center"/>
          </w:tcPr>
          <w:p>
            <w:pPr>
              <w:pStyle w:val="TableContents"/>
              <w:bidi w:val="0"/>
              <w:spacing w:before="0" w:after="283"/>
              <w:jc w:val="left"/>
              <w:rPr/>
            </w:pPr>
            <w:r>
              <w:rPr/>
              <w:t> </w:t>
            </w:r>
          </w:p>
        </w:tc>
        <w:tc>
          <w:tcPr>
            <w:tcW w:w="3259" w:type="dxa"/>
            <w:gridSpan w:val="2"/>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Enlight Renewable Energy Ltd.</w:t>
            </w:r>
          </w:p>
          <w:p>
            <w:pPr>
              <w:pStyle w:val="TableContents"/>
              <w:bidi w:val="0"/>
              <w:spacing w:lineRule="auto" w:line="300" w:before="0" w:after="0"/>
              <w:jc w:val="left"/>
              <w:rPr>
                <w:rFonts w:ascii="Times New Roman;Times;serif" w:hAnsi="Times New Roman;Times;serif" w:eastAsia="Times New Roman;Times;serif" w:cs="Times New Roman;Times;serif"/>
                <w:b/>
                <w:color w:val="000000"/>
              </w:rPr>
            </w:pPr>
            <w:r>
              <w:rPr>
                <w:rFonts w:eastAsia="Times New Roman;Times;serif" w:cs="Times New Roman;Times;serif" w:ascii="Times New Roman;Times;serif" w:hAnsi="Times New Roman;Times;serif"/>
                <w:b/>
                <w:color w:val="000000"/>
              </w:rPr>
            </w:r>
          </w:p>
        </w:tc>
      </w:tr>
      <w:tr>
        <w:trPr/>
        <w:tc>
          <w:tcPr>
            <w:tcW w:w="2255"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Date: October 21, 2025</w:t>
            </w:r>
          </w:p>
        </w:tc>
        <w:tc>
          <w:tcPr>
            <w:tcW w:w="506" w:type="dxa"/>
            <w:tcBorders/>
            <w:vAlign w:val="center"/>
          </w:tcPr>
          <w:p>
            <w:pPr>
              <w:pStyle w:val="TableContents"/>
              <w:bidi w:val="0"/>
              <w:spacing w:lineRule="auto" w:line="300" w:before="0" w:after="0"/>
              <w:jc w:val="left"/>
              <w:rPr>
                <w:rFonts w:ascii="Times New Roman;Times;serif" w:hAnsi="Times New Roman;Times;serif"/>
              </w:rPr>
            </w:pPr>
            <w:r>
              <w:rPr>
                <w:rFonts w:ascii="Times New Roman;Times;serif" w:hAnsi="Times New Roman;Times;serif"/>
              </w:rPr>
              <w:t>By:</w:t>
            </w:r>
          </w:p>
        </w:tc>
        <w:tc>
          <w:tcPr>
            <w:tcW w:w="2753" w:type="dxa"/>
            <w:tcBorders>
              <w:bottom w:val="single" w:sz="12" w:space="0" w:color="000000"/>
            </w:tcBorders>
            <w:tcMar>
              <w:bottom w:w="28" w:type="dxa"/>
            </w:tcMar>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/s/ Lisa Haimovitz</w:t>
            </w:r>
          </w:p>
        </w:tc>
      </w:tr>
      <w:tr>
        <w:trPr/>
        <w:tc>
          <w:tcPr>
            <w:tcW w:w="225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Lisa Haimovitz</w:t>
            </w:r>
          </w:p>
        </w:tc>
      </w:tr>
      <w:tr>
        <w:trPr/>
        <w:tc>
          <w:tcPr>
            <w:tcW w:w="225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2753" w:type="dxa"/>
            <w:tcBorders/>
            <w:vAlign w:val="center"/>
          </w:tcPr>
          <w:p>
            <w:pPr>
              <w:pStyle w:val="TableContents"/>
              <w:bidi w:val="0"/>
              <w:spacing w:lineRule="auto" w:line="300" w:before="0" w:after="0"/>
              <w:jc w:val="left"/>
              <w:rPr>
                <w:rFonts w:ascii="Times New Roman;Times;serif" w:hAnsi="Times New Roman;Times;serif"/>
                <w:color w:val="000000"/>
              </w:rPr>
            </w:pPr>
            <w:r>
              <w:rPr>
                <w:rFonts w:ascii="Times New Roman;Times;serif" w:hAnsi="Times New Roman;Times;serif"/>
                <w:color w:val="000000"/>
              </w:rPr>
              <w:t>VP General Counsel</w:t>
            </w:r>
          </w:p>
        </w:tc>
      </w:tr>
    </w:tbl>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HorizontalLine"/>
        <w:bidi w:val="0"/>
        <w:spacing w:lineRule="auto" w:line="3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rPr>
      </w:pPr>
      <w:r>
        <w:rPr>
          <w:rFonts w:ascii="Times New Roman;Times;serif" w:hAnsi="Times New Roman;Times;serif"/>
        </w:rPr>
      </w:r>
    </w:p>
    <w:p>
      <w:pPr>
        <w:pStyle w:val="TextBody"/>
        <w:bidi w:val="0"/>
        <w:spacing w:lineRule="auto" w:line="300"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396</Words>
  <Characters>2428</Characters>
  <CharactersWithSpaces>2815</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