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August 2025</w:t>
      </w: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001-41613</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Enlight Renewable Energy Ltd.</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13 Amal St., Afek Industrial Park</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Rosh Ha’ayin,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+ 972 (3) 900-8700</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2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3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Enlight Renewable Energy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will hold a Special and Annual General Meeting of shareholders of the Company (the “</w:t>
      </w:r>
      <w:r>
        <w:rPr>
          <w:rFonts w:ascii="Times New Roman" w:cs="Times New Roman" w:eastAsia="Times New Roman" w:hAnsi="Times New Roman"/>
          <w:sz w:val="18"/>
          <w:szCs w:val="18"/>
          <w:b w:val="1"/>
          <w:bCs w:val="1"/>
          <w:color w:val="auto"/>
        </w:rPr>
        <w:t>General Meeting</w:t>
      </w:r>
      <w:r>
        <w:rPr>
          <w:rFonts w:ascii="Times New Roman" w:cs="Times New Roman" w:eastAsia="Times New Roman" w:hAnsi="Times New Roman"/>
          <w:sz w:val="18"/>
          <w:szCs w:val="18"/>
          <w:color w:val="auto"/>
        </w:rPr>
        <w:t>”) on September 30, 2025, at 4:00 p.m. Israel time, at the offices of the Company, 13 Amal St., Afek Industrial Park, Rosh Ha’ayin 4809249, Israel. In connection with the General Meeting, the Company hereby furnishes the following documents, which will be distributed to all shareholders of record as of the close of business on August 26, 2025:</w:t>
      </w:r>
    </w:p>
    <w:p>
      <w:pPr>
        <w:spacing w:after="0" w:line="179" w:lineRule="exact"/>
        <w:rPr>
          <w:sz w:val="20"/>
          <w:szCs w:val="20"/>
          <w:color w:val="auto"/>
        </w:rPr>
      </w:pPr>
    </w:p>
    <w:p>
      <w:pPr>
        <w:jc w:val="both"/>
        <w:ind w:left="660" w:hanging="328"/>
        <w:spacing w:after="0" w:line="26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and Proxy Statement (“</w:t>
      </w:r>
      <w:r>
        <w:rPr>
          <w:rFonts w:ascii="Times New Roman" w:cs="Times New Roman" w:eastAsia="Times New Roman" w:hAnsi="Times New Roman"/>
          <w:sz w:val="18"/>
          <w:szCs w:val="18"/>
          <w:b w:val="1"/>
          <w:bCs w:val="1"/>
          <w:color w:val="auto"/>
        </w:rPr>
        <w:t>Notice and Proxy Statement</w:t>
      </w:r>
      <w:r>
        <w:rPr>
          <w:rFonts w:ascii="Times New Roman" w:cs="Times New Roman" w:eastAsia="Times New Roman" w:hAnsi="Times New Roman"/>
          <w:sz w:val="18"/>
          <w:szCs w:val="18"/>
          <w:color w:val="auto"/>
        </w:rPr>
        <w:t>”) with respect to the General Meeting, which describes the proposals to be voted on at the General Meeting, the procedure for voting in person or by proxy at the General Meeting and various other details related to the General Meeting; and</w:t>
      </w:r>
    </w:p>
    <w:p>
      <w:pPr>
        <w:spacing w:after="0" w:line="18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Proxy​ Card (“</w:t>
      </w:r>
      <w:r>
        <w:rPr>
          <w:rFonts w:ascii="Times New Roman" w:cs="Times New Roman" w:eastAsia="Times New Roman" w:hAnsi="Times New Roman"/>
          <w:sz w:val="18"/>
          <w:szCs w:val="18"/>
          <w:b w:val="1"/>
          <w:bCs w:val="1"/>
          <w:color w:val="auto"/>
        </w:rPr>
        <w:t>Proxy Card</w:t>
      </w:r>
      <w:r>
        <w:rPr>
          <w:rFonts w:ascii="Times New Roman" w:cs="Times New Roman" w:eastAsia="Times New Roman" w:hAnsi="Times New Roman"/>
          <w:sz w:val="18"/>
          <w:szCs w:val="18"/>
          <w:color w:val="auto"/>
        </w:rPr>
        <w:t>”) whereby holders of ordinary shares, par value NIS 0.1 per share, of the Company may vote at the General Meeting without attending in person.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and Proxy Statement and Proxy Card are furnished as Exhibits 99.1 and 99.2, respectively, to this Report on Form 6-K.</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Other than as indicated below, the information in this Form 6-K (including in Exhibits 99.1 and 99.2) shall not be deemed “filed” for purposes of Section 18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w:t>
      </w:r>
    </w:p>
    <w:p>
      <w:pPr>
        <w:spacing w:after="0" w:line="1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contained in the Notice and Proxy Statement attached as Exhibit 99.1 to this Report on Form 6-K is hereby incorporated by reference into the Company’s Registration Statement on Form S-8 (File No. 333-271297).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46"/>
        </w:trPr>
        <w:tc>
          <w:tcPr>
            <w:tcW w:w="11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exhibits are furnished as part of this Form 6-K:</w:t>
            </w:r>
          </w:p>
        </w:tc>
      </w:tr>
      <w:tr>
        <w:trPr>
          <w:trHeight w:val="466"/>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10200" w:type="dxa"/>
            <w:vAlign w:val="bottom"/>
            <w:tcBorders>
              <w:bottom w:val="single" w:sz="8" w:color="auto"/>
            </w:tcBorders>
            <w:gridSpan w:val="3"/>
          </w:tcPr>
          <w:p>
            <w:pPr>
              <w:ind w:left="46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Notice and Proxy Statement for the Company’s Special and Annual General Meeting of Shareholders to be held on September 30, 2025</w:t>
            </w:r>
          </w:p>
        </w:tc>
        <w:tc>
          <w:tcPr>
            <w:tcW w:w="420" w:type="dxa"/>
            <w:vAlign w:val="bottom"/>
          </w:tcPr>
          <w:p>
            <w:pPr>
              <w:spacing w:after="0"/>
              <w:rPr>
                <w:sz w:val="24"/>
                <w:szCs w:val="24"/>
                <w:color w:val="auto"/>
              </w:rPr>
            </w:pPr>
          </w:p>
        </w:tc>
      </w:tr>
      <w:tr>
        <w:trPr>
          <w:trHeight w:val="425"/>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5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Proxy Card for the Company’s Special and Annual General Meeting of Shareholders to be held on September 30, 2025</w:t>
            </w:r>
          </w:p>
        </w:tc>
        <w:tc>
          <w:tcPr>
            <w:tcW w:w="1620" w:type="dxa"/>
            <w:vAlign w:val="bottom"/>
            <w:gridSpan w:val="2"/>
          </w:tcPr>
          <w:p>
            <w:pPr>
              <w:spacing w:after="0"/>
              <w:rPr>
                <w:sz w:val="24"/>
                <w:szCs w:val="24"/>
                <w:color w:val="auto"/>
              </w:rPr>
            </w:pPr>
          </w:p>
        </w:tc>
      </w:tr>
      <w:tr>
        <w:trPr>
          <w:trHeight w:val="439"/>
        </w:trPr>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700" w:type="dxa"/>
            <w:vAlign w:val="bottom"/>
            <w:gridSpan w:val="2"/>
          </w:tcPr>
          <w:p>
            <w:pPr>
              <w:jc w:val="right"/>
              <w:ind w:right="3870"/>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61"/>
        </w:trPr>
        <w:tc>
          <w:tcPr>
            <w:tcW w:w="3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5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4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Enlight Renewable Energy Ltd.</w:t>
      </w:r>
    </w:p>
    <w:p>
      <w:pPr>
        <w:spacing w:after="0" w:line="243"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August 7, 2025</w:t>
      </w:r>
      <w:r>
        <w:rPr>
          <w:sz w:val="20"/>
          <w:szCs w:val="20"/>
          <w:color w:val="auto"/>
        </w:rPr>
        <w:tab/>
      </w:r>
      <w:r>
        <w:rPr>
          <w:rFonts w:ascii="Times New Roman" w:cs="Times New Roman" w:eastAsia="Times New Roman" w:hAnsi="Times New Roman"/>
          <w:sz w:val="18"/>
          <w:szCs w:val="18"/>
          <w:color w:val="auto"/>
        </w:rPr>
        <w:t>By: /s/ Lisa Haimovitz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26035</wp:posOffset>
            </wp:positionV>
            <wp:extent cx="33604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Lisa Haimovitz</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VP General Counsel</w:t>
      </w: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156845</wp:posOffset>
            </wp:positionV>
            <wp:extent cx="1714500" cy="643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ENLIGHT RENEWABLE ENERGY LTD.</w:t>
      </w:r>
    </w:p>
    <w:p>
      <w:pPr>
        <w:spacing w:after="0" w:line="23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13 Amal St.</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Afek Industrial Park</w:t>
      </w:r>
    </w:p>
    <w:p>
      <w:pPr>
        <w:spacing w:after="0" w:line="2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Rosh Ha’ayin 4809249</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 SPECIAL AND ANNUAL GENERAL MEETING OF SHAREHOLDERS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September 30, 2025</w:t>
      </w:r>
    </w:p>
    <w:p>
      <w:pPr>
        <w:spacing w:after="0" w:line="230"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A Special and Annual General Meeting of shareholders of Enlight Renewable Energy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will be held at the offices of the Company, 13 Amal St., Afek Industrial Park, Rosh Ha’ayin 4809249, Israel, on September 30, 2025, at 4:00 p.m. Israel time, or at any adjournments or postponements thereof (the “</w:t>
      </w:r>
      <w:r>
        <w:rPr>
          <w:rFonts w:ascii="Times New Roman" w:cs="Times New Roman" w:eastAsia="Times New Roman" w:hAnsi="Times New Roman"/>
          <w:sz w:val="18"/>
          <w:szCs w:val="18"/>
          <w:b w:val="1"/>
          <w:bCs w:val="1"/>
          <w:color w:val="auto"/>
        </w:rPr>
        <w:t>General Meeting</w:t>
      </w:r>
      <w:r>
        <w:rPr>
          <w:rFonts w:ascii="Times New Roman" w:cs="Times New Roman" w:eastAsia="Times New Roman" w:hAnsi="Times New Roman"/>
          <w:sz w:val="18"/>
          <w:szCs w:val="18"/>
          <w:color w:val="auto"/>
        </w:rPr>
        <w:t>”), for the following purposes:</w:t>
      </w:r>
    </w:p>
    <w:p>
      <w:pPr>
        <w:spacing w:after="0" w:line="181" w:lineRule="exact"/>
        <w:rPr>
          <w:sz w:val="20"/>
          <w:szCs w:val="20"/>
          <w:color w:val="auto"/>
        </w:rPr>
      </w:pPr>
    </w:p>
    <w:p>
      <w:pPr>
        <w:jc w:val="both"/>
        <w:ind w:left="460" w:hanging="331"/>
        <w:spacing w:after="0" w:line="261"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re-appointment of Somekh Chaikin, a member firm of KPMG International, as the Company’s independent registered public accounting firm for the year ending December 31, 2025, and until the next annual general meeting of shareholders, and to authorize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following the approval of the Audit Committee, to approve and ratify the remuneration of such firm in accordance with the volume and nature of their services.</w:t>
      </w:r>
    </w:p>
    <w:p>
      <w:pPr>
        <w:spacing w:after="0" w:line="193" w:lineRule="exact"/>
        <w:rPr>
          <w:rFonts w:ascii="Times New Roman" w:cs="Times New Roman" w:eastAsia="Times New Roman" w:hAnsi="Times New Roman"/>
          <w:sz w:val="18"/>
          <w:szCs w:val="18"/>
          <w:color w:val="auto"/>
        </w:rPr>
      </w:pPr>
    </w:p>
    <w:p>
      <w:pPr>
        <w:jc w:val="both"/>
        <w:ind w:left="460" w:hanging="331"/>
        <w:spacing w:after="0" w:line="266"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each of the following nominees to the Board of the Company, to hold office until close of the Company’s annual general meeting to be held in 2026, and until his or her successor has been duly elected or appointed, or until his or her office has been vacated pursuant to any applicable law or the Articles of Association:</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Gilad Yavetz</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Yair Seroussi</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Liat Benyamini</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Michal Tzuk</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Alla Felder</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Shai Weil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Yitzhak Betzalel</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Zvi Furman</w:t>
      </w:r>
    </w:p>
    <w:p>
      <w:pPr>
        <w:spacing w:after="0" w:line="238"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Approve amendments to the Compensation Policy for executive officers and directors, substantially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compensation of Ms. Adi Leviatan, our newly appointed Chief Executive Officer.</w:t>
      </w:r>
    </w:p>
    <w:p>
      <w:pPr>
        <w:spacing w:after="0" w:line="238"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compensation of Mr. Gilad Yavetz, our newly appointed full-time Executive Chairman of the Board of Directors.</w:t>
      </w:r>
    </w:p>
    <w:p>
      <w:pPr>
        <w:spacing w:after="0" w:line="238"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compensation of Mr. Yair Seroussi, our newly appointed Vice Chairman of the Board of Directors.</w:t>
      </w:r>
    </w:p>
    <w:p>
      <w:pPr>
        <w:spacing w:after="0" w:line="225" w:lineRule="exact"/>
        <w:rPr>
          <w:sz w:val="20"/>
          <w:szCs w:val="20"/>
          <w:color w:val="auto"/>
        </w:rPr>
      </w:pPr>
    </w:p>
    <w:p>
      <w:pPr>
        <w:ind w:firstLine="638"/>
        <w:spacing w:after="0" w:line="297" w:lineRule="auto"/>
        <w:rPr>
          <w:sz w:val="20"/>
          <w:szCs w:val="20"/>
          <w:color w:val="auto"/>
        </w:rPr>
      </w:pPr>
      <w:r>
        <w:rPr>
          <w:rFonts w:ascii="Times New Roman" w:cs="Times New Roman" w:eastAsia="Times New Roman" w:hAnsi="Times New Roman"/>
          <w:sz w:val="18"/>
          <w:szCs w:val="18"/>
          <w:color w:val="auto"/>
        </w:rPr>
        <w:t>The audited consolidated financial statements of the Company for the fiscal year ended December 31, 2024 will be presented for discussion at the General Meeting.</w:t>
      </w:r>
    </w:p>
    <w:p>
      <w:pPr>
        <w:spacing w:after="0" w:line="163" w:lineRule="exact"/>
        <w:rPr>
          <w:sz w:val="20"/>
          <w:szCs w:val="20"/>
          <w:color w:val="auto"/>
        </w:rPr>
      </w:pPr>
    </w:p>
    <w:p>
      <w:pPr>
        <w:ind w:right="20" w:firstLine="638"/>
        <w:spacing w:after="0" w:line="297" w:lineRule="auto"/>
        <w:rPr>
          <w:sz w:val="20"/>
          <w:szCs w:val="20"/>
          <w:color w:val="auto"/>
        </w:rPr>
      </w:pPr>
      <w:r>
        <w:rPr>
          <w:rFonts w:ascii="Times New Roman" w:cs="Times New Roman" w:eastAsia="Times New Roman" w:hAnsi="Times New Roman"/>
          <w:sz w:val="18"/>
          <w:szCs w:val="18"/>
          <w:color w:val="auto"/>
        </w:rPr>
        <w:t>Proposal 4 above is subject to and contingent upon approval of Proposal 3 above at this General Meeting. Proposals 5 and 6 above are subject to and contingent upon the approval of Proposals 2 and 3 above at this General Meeting.</w:t>
      </w:r>
    </w:p>
    <w:p>
      <w:pPr>
        <w:spacing w:after="0" w:line="163" w:lineRule="exact"/>
        <w:rPr>
          <w:sz w:val="20"/>
          <w:szCs w:val="20"/>
          <w:color w:val="auto"/>
        </w:rPr>
      </w:pPr>
    </w:p>
    <w:p>
      <w:pPr>
        <w:ind w:firstLine="638"/>
        <w:spacing w:after="0" w:line="297" w:lineRule="auto"/>
        <w:rPr>
          <w:sz w:val="20"/>
          <w:szCs w:val="20"/>
          <w:color w:val="auto"/>
        </w:rPr>
      </w:pPr>
      <w:r>
        <w:rPr>
          <w:rFonts w:ascii="Times New Roman" w:cs="Times New Roman" w:eastAsia="Times New Roman" w:hAnsi="Times New Roman"/>
          <w:sz w:val="18"/>
          <w:szCs w:val="18"/>
          <w:color w:val="auto"/>
        </w:rPr>
        <w:t>The Company is currently unaware of any other matters that may be raised at the General Meeting. Should any other matters be properly raised at the General Meeting, the persons designated as proxies will vote according to their own judgment on those matters.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The Board unanimously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each of the above proposals, as are described in the attached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099"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Record Date</w:t>
      </w:r>
    </w:p>
    <w:p>
      <w:pPr>
        <w:spacing w:after="0" w:line="239"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Only holders of record of ordinary shares, par value NIS 0.1 per share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at the close of business on August 26, 2025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will be entitled to receive notice of and to vote at the General Meeting.</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How You Can Vote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information regarding how you can vote, refer to “How You Can Vote” in the attached proxy statement.</w:t>
      </w:r>
    </w:p>
    <w:p>
      <w:pPr>
        <w:spacing w:after="0" w:line="235" w:lineRule="exact"/>
        <w:rPr>
          <w:sz w:val="20"/>
          <w:szCs w:val="20"/>
          <w:color w:val="auto"/>
        </w:rPr>
      </w:pPr>
    </w:p>
    <w:p>
      <w:pPr>
        <w:jc w:val="both"/>
        <w:ind w:firstLine="638"/>
        <w:spacing w:after="0" w:line="302" w:lineRule="auto"/>
        <w:rPr>
          <w:sz w:val="20"/>
          <w:szCs w:val="20"/>
          <w:color w:val="auto"/>
        </w:rPr>
      </w:pPr>
      <w:r>
        <w:rPr>
          <w:rFonts w:ascii="Times New Roman" w:cs="Times New Roman" w:eastAsia="Times New Roman" w:hAnsi="Times New Roman"/>
          <w:sz w:val="18"/>
          <w:szCs w:val="18"/>
          <w:b w:val="1"/>
          <w:bCs w:val="1"/>
          <w:color w:val="auto"/>
        </w:rPr>
        <w:t>Even if you plan to attend the General Meeting, the Board unanimously recommends that you vote your shares in advance so that your vote will be counted if you later decide not to attend the General Meeting</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38"/>
        <w:spacing w:after="0" w:line="271" w:lineRule="auto"/>
        <w:rPr>
          <w:sz w:val="20"/>
          <w:szCs w:val="20"/>
          <w:color w:val="auto"/>
        </w:rPr>
      </w:pPr>
      <w:r>
        <w:rPr>
          <w:rFonts w:ascii="Times New Roman" w:cs="Times New Roman" w:eastAsia="Times New Roman" w:hAnsi="Times New Roman"/>
          <w:sz w:val="18"/>
          <w:szCs w:val="18"/>
          <w:color w:val="auto"/>
        </w:rPr>
        <w:t xml:space="preserve">This Notice and the documents mentioned therein, as well as the proposed resolutions on the agenda, can be viewed at the Company’s registered office at 13 Amal St., Afek Industrial Park, Rosh Ha’ayin 4809249, Israel Tel: +972 3 9008700, Sunday through Thursday between 10:00 a.m. – 3:00 p.m. Israel time, and will also be made available to the public on the Company’s website </w:t>
      </w:r>
      <w:r>
        <w:rPr>
          <w:rFonts w:ascii="Times New Roman" w:cs="Times New Roman" w:eastAsia="Times New Roman" w:hAnsi="Times New Roman"/>
          <w:sz w:val="18"/>
          <w:szCs w:val="18"/>
          <w:u w:val="single" w:color="auto"/>
          <w:color w:val="auto"/>
        </w:rPr>
        <w:t>http://www.enlightenergy.com</w:t>
      </w:r>
      <w:r>
        <w:rPr>
          <w:rFonts w:ascii="Times New Roman" w:cs="Times New Roman" w:eastAsia="Times New Roman" w:hAnsi="Times New Roman"/>
          <w:sz w:val="18"/>
          <w:szCs w:val="18"/>
          <w:color w:val="auto"/>
        </w:rPr>
        <w:t xml:space="preserve">, the U.S. Securities and Exchange Commission’s website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xml:space="preserve"> and in addition at </w:t>
      </w:r>
      <w:r>
        <w:rPr>
          <w:rFonts w:ascii="Times New Roman" w:cs="Times New Roman" w:eastAsia="Times New Roman" w:hAnsi="Times New Roman"/>
          <w:sz w:val="18"/>
          <w:szCs w:val="18"/>
          <w:u w:val="single" w:color="auto"/>
          <w:color w:val="auto"/>
        </w:rPr>
        <w:t>http://www.magna.isa.gov.il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http://maya.tase.co.il.</w:t>
      </w:r>
    </w:p>
    <w:p>
      <w:pPr>
        <w:spacing w:after="0" w:line="18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Yair Seroussi</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Chairman of the Board of Directors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Rosh Ha’ayin,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7, 2025</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234315</wp:posOffset>
            </wp:positionV>
            <wp:extent cx="1714500" cy="643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714500" cy="643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ENLIGHT RENEWABLE ENERGY LTD.</w:t>
      </w:r>
    </w:p>
    <w:p>
      <w:pPr>
        <w:spacing w:after="0" w:line="23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13 Amal St.</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Afek Industrial Park</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Rosh Ha’ayin 4809249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A SPECIAL AND ANNUAL GENERAL MEETING OF SHAREHOLDERS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SEPTEMBER 30, 2025</w:t>
      </w:r>
    </w:p>
    <w:p>
      <w:pPr>
        <w:spacing w:after="0" w:line="230" w:lineRule="exact"/>
        <w:rPr>
          <w:sz w:val="20"/>
          <w:szCs w:val="20"/>
          <w:color w:val="auto"/>
        </w:rPr>
      </w:pPr>
    </w:p>
    <w:p>
      <w:pPr>
        <w:jc w:val="both"/>
        <w:ind w:firstLine="638"/>
        <w:spacing w:after="0" w:line="273" w:lineRule="auto"/>
        <w:rPr>
          <w:sz w:val="20"/>
          <w:szCs w:val="20"/>
          <w:color w:val="auto"/>
        </w:rPr>
      </w:pPr>
      <w:r>
        <w:rPr>
          <w:rFonts w:ascii="Times New Roman" w:cs="Times New Roman" w:eastAsia="Times New Roman" w:hAnsi="Times New Roman"/>
          <w:sz w:val="18"/>
          <w:szCs w:val="18"/>
          <w:color w:val="auto"/>
        </w:rPr>
        <w:t>This Proxy Statement is furnished to the holders of ordinary shares, par value NIS 0.1 per share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of Enlight Renewable Energy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solicitation by the Board of Directors of the Company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proxies for use at a special and annual general meeting of shareholders (the “</w:t>
      </w:r>
      <w:r>
        <w:rPr>
          <w:rFonts w:ascii="Times New Roman" w:cs="Times New Roman" w:eastAsia="Times New Roman" w:hAnsi="Times New Roman"/>
          <w:sz w:val="18"/>
          <w:szCs w:val="18"/>
          <w:b w:val="1"/>
          <w:bCs w:val="1"/>
          <w:color w:val="auto"/>
        </w:rPr>
        <w:t>General Meeting</w:t>
      </w:r>
      <w:r>
        <w:rPr>
          <w:rFonts w:ascii="Times New Roman" w:cs="Times New Roman" w:eastAsia="Times New Roman" w:hAnsi="Times New Roman"/>
          <w:sz w:val="18"/>
          <w:szCs w:val="18"/>
          <w:color w:val="auto"/>
        </w:rPr>
        <w:t>”), to be held on September 30, 2025, at 4:00 p.m. Israel time at the offices of the Company, 13 Amal St., Afek Industrial Park, Rosh Ha’ayin 4809249, Israel, or at any adjournments or postponements thereof.</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proposed that the following proposals will be adopted at the General Meeting:</w:t>
      </w:r>
    </w:p>
    <w:p>
      <w:pPr>
        <w:spacing w:after="0" w:line="239" w:lineRule="exact"/>
        <w:rPr>
          <w:sz w:val="20"/>
          <w:szCs w:val="20"/>
          <w:color w:val="auto"/>
        </w:rPr>
      </w:pPr>
    </w:p>
    <w:p>
      <w:pPr>
        <w:jc w:val="both"/>
        <w:ind w:left="460" w:hanging="331"/>
        <w:spacing w:after="0" w:line="261"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re-appointment of Somekh Chaikin, a member firm of KPMG International, as the Company’s independent registered public accounting firm for the year ending December 31, 2025, and until the next annual general meeting of shareholders, and to authorize the Company’s Board of Directors, following the approval of the Audit Committee, to approve and ratify the remuneration of such firm in accordance with the volume and nature of their services.</w:t>
      </w:r>
    </w:p>
    <w:p>
      <w:pPr>
        <w:spacing w:after="0" w:line="193" w:lineRule="exact"/>
        <w:rPr>
          <w:rFonts w:ascii="Times New Roman" w:cs="Times New Roman" w:eastAsia="Times New Roman" w:hAnsi="Times New Roman"/>
          <w:sz w:val="18"/>
          <w:szCs w:val="18"/>
          <w:color w:val="auto"/>
        </w:rPr>
      </w:pPr>
    </w:p>
    <w:p>
      <w:pPr>
        <w:jc w:val="both"/>
        <w:ind w:left="460" w:hanging="331"/>
        <w:spacing w:after="0" w:line="266"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each of the following nominees to the Board of Directors of the Company, to hold office until close of the Company’s annual general meeting to be held in 2026, and until his or her successor has been duly elected or appointed, or until his or her office has been vacated pursuant to any applicable law or the Articles of Association:</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Gilad Yavetz</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Yair Seroussi</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Liat Benyamini</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Michal Tzuk;</w:t>
      </w:r>
    </w:p>
    <w:p>
      <w:pPr>
        <w:spacing w:after="0" w:line="238"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Alla Felder</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Shai Weil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Yitzhak Betzalel</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Zvi Furman</w:t>
      </w:r>
    </w:p>
    <w:p>
      <w:pPr>
        <w:spacing w:after="0" w:line="238"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Approve amendments to the Compensation Policy for executive officers and directors, substantially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compensation of Ms. Adi Leviatan, our newly appointed Chief Executive Officer.</w:t>
      </w:r>
    </w:p>
    <w:p>
      <w:pPr>
        <w:spacing w:after="0" w:line="238"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compensation of Mr. Gilad Yavetz, our newly appointed full-time Executive Chairman of the Board of Directors.</w:t>
      </w:r>
    </w:p>
    <w:p>
      <w:pPr>
        <w:spacing w:after="0" w:line="238"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compensation of Mr. Yair Seroussi, our newly appointed Vice Chairman of the Board of Directors.</w:t>
      </w:r>
    </w:p>
    <w:p>
      <w:pPr>
        <w:spacing w:after="0" w:line="225" w:lineRule="exact"/>
        <w:rPr>
          <w:sz w:val="20"/>
          <w:szCs w:val="20"/>
          <w:color w:val="auto"/>
        </w:rPr>
      </w:pPr>
    </w:p>
    <w:p>
      <w:pPr>
        <w:jc w:val="both"/>
        <w:ind w:firstLine="638"/>
        <w:spacing w:after="0" w:line="297" w:lineRule="auto"/>
        <w:rPr>
          <w:sz w:val="20"/>
          <w:szCs w:val="20"/>
          <w:color w:val="auto"/>
        </w:rPr>
      </w:pPr>
      <w:r>
        <w:rPr>
          <w:rFonts w:ascii="Times New Roman" w:cs="Times New Roman" w:eastAsia="Times New Roman" w:hAnsi="Times New Roman"/>
          <w:sz w:val="18"/>
          <w:szCs w:val="18"/>
          <w:color w:val="auto"/>
        </w:rPr>
        <w:t>The audited consolidated financial statements of the Company for the fiscal year ended December 31, 2024 will be presented for discussion at the General Meeting.</w:t>
      </w:r>
    </w:p>
    <w:p>
      <w:pPr>
        <w:spacing w:after="0" w:line="163" w:lineRule="exact"/>
        <w:rPr>
          <w:sz w:val="20"/>
          <w:szCs w:val="20"/>
          <w:color w:val="auto"/>
        </w:rPr>
      </w:pPr>
    </w:p>
    <w:p>
      <w:pPr>
        <w:jc w:val="both"/>
        <w:ind w:right="20" w:firstLine="638"/>
        <w:spacing w:after="0" w:line="297" w:lineRule="auto"/>
        <w:rPr>
          <w:sz w:val="20"/>
          <w:szCs w:val="20"/>
          <w:color w:val="auto"/>
        </w:rPr>
      </w:pPr>
      <w:r>
        <w:rPr>
          <w:rFonts w:ascii="Times New Roman" w:cs="Times New Roman" w:eastAsia="Times New Roman" w:hAnsi="Times New Roman"/>
          <w:sz w:val="18"/>
          <w:szCs w:val="18"/>
          <w:color w:val="auto"/>
        </w:rPr>
        <w:t>Proposal 4 above is subject to and contingent upon approval of Proposal 3 above at this General Meeting. Proposals 5 and 6 above are subject to and contingent upon the approval of Proposals 2 and 3 above at this General Meeting.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Entitled to Vote</w:t>
      </w:r>
    </w:p>
    <w:p>
      <w:pPr>
        <w:spacing w:after="0" w:line="252" w:lineRule="exact"/>
        <w:rPr>
          <w:sz w:val="20"/>
          <w:szCs w:val="20"/>
          <w:color w:val="auto"/>
        </w:rPr>
      </w:pPr>
    </w:p>
    <w:p>
      <w:pPr>
        <w:jc w:val="both"/>
        <w:ind w:firstLine="638"/>
        <w:spacing w:after="0" w:line="267" w:lineRule="auto"/>
        <w:rPr>
          <w:sz w:val="20"/>
          <w:szCs w:val="20"/>
          <w:color w:val="auto"/>
        </w:rPr>
      </w:pPr>
      <w:r>
        <w:rPr>
          <w:rFonts w:ascii="Times New Roman" w:cs="Times New Roman" w:eastAsia="Times New Roman" w:hAnsi="Times New Roman"/>
          <w:sz w:val="18"/>
          <w:szCs w:val="18"/>
          <w:color w:val="auto"/>
        </w:rPr>
        <w:t xml:space="preserve">Only shareholders of record at the close of business on </w:t>
      </w:r>
      <w:r>
        <w:rPr>
          <w:rFonts w:ascii="Times New Roman" w:cs="Times New Roman" w:eastAsia="Times New Roman" w:hAnsi="Times New Roman"/>
          <w:sz w:val="18"/>
          <w:szCs w:val="18"/>
          <w:b w:val="1"/>
          <w:bCs w:val="1"/>
          <w:color w:val="auto"/>
        </w:rPr>
        <w:t>August 26, 2025</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will be entitled to receive notice of, and to vote on the matters to be presented at, the General Meeting. At the close of business on August 4, 2025, the Company had outstanding 120,007,417 Ordinary Shares. In the event of two or more shareholders that are joint holders of a share and are present and voting – only the vote of the head of the joint owners present and voting will be taken into consideration, and the votes of the other joint owners will not. For this purpose, the head of the joint owners will be considered the person whose name is recorded first in the register of shareholders from those present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222"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How You Can Vote</w:t>
      </w:r>
    </w:p>
    <w:p>
      <w:pPr>
        <w:spacing w:after="0" w:line="243" w:lineRule="exact"/>
        <w:rPr>
          <w:sz w:val="20"/>
          <w:szCs w:val="20"/>
          <w:color w:val="auto"/>
        </w:rPr>
      </w:pPr>
    </w:p>
    <w:p>
      <w:pPr>
        <w:jc w:val="both"/>
        <w:ind w:firstLine="638"/>
        <w:spacing w:after="0" w:line="269" w:lineRule="auto"/>
        <w:rPr>
          <w:sz w:val="20"/>
          <w:szCs w:val="20"/>
          <w:color w:val="auto"/>
        </w:rPr>
      </w:pPr>
      <w:r>
        <w:rPr>
          <w:rFonts w:ascii="Times New Roman" w:cs="Times New Roman" w:eastAsia="Times New Roman" w:hAnsi="Times New Roman"/>
          <w:sz w:val="18"/>
          <w:szCs w:val="18"/>
          <w:color w:val="auto"/>
        </w:rPr>
        <w:t>A form of proxy card for use at the General Meeting is attached to this Proxy Statement and has been sent to the shareholders together with a prepaid return envelope for the proxy. By appointing “proxies”, shareholders may vote at the General Meeting, whether or not they attend. If a properly executed proxy in the enclosed form is received by the Company within the timeframes outlined below, all of the Ordinary Shares represented by the proxy shall be voted as indicated on the proxy card. If you are a registered shareholder, subject to applicable law and the rules of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in the absence of instructions, the Ordinary Shares represented by properly dated, executed and delivered proxies will be voted FOR all of the proposed resolutions to be presented at the General Meeting for which the Board of Directors recommends a “FOR” vote.</w:t>
      </w:r>
    </w:p>
    <w:p>
      <w:pPr>
        <w:spacing w:after="0" w:line="188"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Whether or not you plan to attend the General Meeting, it is important that your Ordinary Shares be represented. Accordingly, you are kindly requested to complete, date, sign and mail the enclosed proxy in the envelope provided at your earliest convenience.</w:t>
      </w:r>
    </w:p>
    <w:p>
      <w:pPr>
        <w:spacing w:after="0" w:line="159" w:lineRule="exact"/>
        <w:rPr>
          <w:sz w:val="20"/>
          <w:szCs w:val="20"/>
          <w:color w:val="auto"/>
        </w:rPr>
      </w:pPr>
    </w:p>
    <w:p>
      <w:pPr>
        <w:jc w:val="both"/>
        <w:ind w:left="980" w:hanging="324"/>
        <w:spacing w:after="0" w:line="291" w:lineRule="auto"/>
        <w:tabs>
          <w:tab w:leader="none" w:pos="9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Shareholders of record are requested to complete, date and sign the enclosed form of proxy and to return it no later than </w:t>
      </w:r>
      <w:r>
        <w:rPr>
          <w:rFonts w:ascii="Times New Roman" w:cs="Times New Roman" w:eastAsia="Times New Roman" w:hAnsi="Times New Roman"/>
          <w:sz w:val="17"/>
          <w:szCs w:val="17"/>
          <w:b w:val="1"/>
          <w:bCs w:val="1"/>
          <w:color w:val="auto"/>
        </w:rPr>
        <w:t>September 30, 2025,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at 6:59 a.m. Israel time </w:t>
      </w:r>
      <w:r>
        <w:rPr>
          <w:rFonts w:ascii="Times New Roman" w:cs="Times New Roman" w:eastAsia="Times New Roman" w:hAnsi="Times New Roman"/>
          <w:sz w:val="17"/>
          <w:szCs w:val="17"/>
          <w:color w:val="auto"/>
        </w:rPr>
        <w:t>(i.e., 11:59 p.m. ET the day before the General Meeting), in the pre-addressed envelope provided. Alternatively,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shareholders may vote electronically before such time at </w:t>
      </w:r>
      <w:r>
        <w:rPr>
          <w:rFonts w:ascii="Times New Roman" w:cs="Times New Roman" w:eastAsia="Times New Roman" w:hAnsi="Times New Roman"/>
          <w:sz w:val="17"/>
          <w:szCs w:val="17"/>
          <w:u w:val="single" w:color="auto"/>
          <w:color w:val="auto"/>
        </w:rPr>
        <w:t>www.proxyvote.com</w:t>
      </w:r>
      <w:r>
        <w:rPr>
          <w:rFonts w:ascii="Times New Roman" w:cs="Times New Roman" w:eastAsia="Times New Roman" w:hAnsi="Times New Roman"/>
          <w:sz w:val="17"/>
          <w:szCs w:val="17"/>
          <w:color w:val="auto"/>
        </w:rPr>
        <w:t xml:space="preserve"> using the control number provided with your proxy materials.</w:t>
      </w:r>
    </w:p>
    <w:p>
      <w:pPr>
        <w:spacing w:after="0" w:line="170" w:lineRule="exact"/>
        <w:rPr>
          <w:rFonts w:ascii="Times New Roman" w:cs="Times New Roman" w:eastAsia="Times New Roman" w:hAnsi="Times New Roman"/>
          <w:sz w:val="17"/>
          <w:szCs w:val="17"/>
          <w:color w:val="auto"/>
        </w:rPr>
      </w:pPr>
    </w:p>
    <w:p>
      <w:pPr>
        <w:jc w:val="both"/>
        <w:ind w:left="980" w:hanging="324"/>
        <w:spacing w:after="0" w:line="255"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Ordinary Shares are held through a bank, broker or other nominee, which in turn holds the shares through Cede &amp; Co. as nominee for The Depository Trust Company, such Ordinary Shares are considered to be held in “street name” and you are the beneficial owner with respect to such Ordinary Shares (“</w:t>
      </w:r>
      <w:r>
        <w:rPr>
          <w:rFonts w:ascii="Times New Roman" w:cs="Times New Roman" w:eastAsia="Times New Roman" w:hAnsi="Times New Roman"/>
          <w:sz w:val="18"/>
          <w:szCs w:val="18"/>
          <w:b w:val="1"/>
          <w:bCs w:val="1"/>
          <w:color w:val="auto"/>
        </w:rPr>
        <w:t>Beneficial Owners</w:t>
      </w:r>
      <w:r>
        <w:rPr>
          <w:rFonts w:ascii="Times New Roman" w:cs="Times New Roman" w:eastAsia="Times New Roman" w:hAnsi="Times New Roman"/>
          <w:sz w:val="18"/>
          <w:szCs w:val="18"/>
          <w:color w:val="auto"/>
        </w:rPr>
        <w:t>”). A Beneficial Owner as of the Record Date has the right to direct the bank, broker or nominee how to vote Ordinary Shares beneficially owned by such Beneficial Owner at the General Meeting. If your Ordinary Shares were held in “street name” as of the Record Date, these proxy materials are being forwarded to you by your bank, broker or other nominee (who is considered, with respect to such Ordinary Shares, as the shareholder of record), together with a voting instruction card for you to use in directing the bank, broker or nominee how to vote your Ordinary Shares.</w:t>
      </w:r>
    </w:p>
    <w:p>
      <w:pPr>
        <w:spacing w:after="0" w:line="184" w:lineRule="exact"/>
        <w:rPr>
          <w:rFonts w:ascii="Times New Roman" w:cs="Times New Roman" w:eastAsia="Times New Roman" w:hAnsi="Times New Roman"/>
          <w:sz w:val="18"/>
          <w:szCs w:val="18"/>
          <w:color w:val="auto"/>
        </w:rPr>
      </w:pPr>
    </w:p>
    <w:p>
      <w:pPr>
        <w:jc w:val="both"/>
        <w:ind w:left="960" w:hanging="304"/>
        <w:spacing w:after="0" w:line="253"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registered in the Company’s shareholders register in Israel (“</w:t>
      </w:r>
      <w:r>
        <w:rPr>
          <w:rFonts w:ascii="Times New Roman" w:cs="Times New Roman" w:eastAsia="Times New Roman" w:hAnsi="Times New Roman"/>
          <w:sz w:val="18"/>
          <w:szCs w:val="18"/>
          <w:b w:val="1"/>
          <w:bCs w:val="1"/>
          <w:color w:val="auto"/>
        </w:rPr>
        <w:t>Registered Shareholders</w:t>
      </w:r>
      <w:r>
        <w:rPr>
          <w:rFonts w:ascii="Times New Roman" w:cs="Times New Roman" w:eastAsia="Times New Roman" w:hAnsi="Times New Roman"/>
          <w:sz w:val="18"/>
          <w:szCs w:val="18"/>
          <w:color w:val="auto"/>
        </w:rPr>
        <w:t>”) and shareholders who hold Ordinary Shares through members of the Tel Aviv Stock Exchange (“</w:t>
      </w:r>
      <w:r>
        <w:rPr>
          <w:rFonts w:ascii="Times New Roman" w:cs="Times New Roman" w:eastAsia="Times New Roman" w:hAnsi="Times New Roman"/>
          <w:sz w:val="18"/>
          <w:szCs w:val="18"/>
          <w:b w:val="1"/>
          <w:bCs w:val="1"/>
          <w:color w:val="auto"/>
        </w:rPr>
        <w:t>TASE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TASE Member</w:t>
      </w:r>
      <w:r>
        <w:rPr>
          <w:rFonts w:ascii="Times New Roman" w:cs="Times New Roman" w:eastAsia="Times New Roman" w:hAnsi="Times New Roman"/>
          <w:sz w:val="18"/>
          <w:szCs w:val="18"/>
          <w:color w:val="auto"/>
        </w:rPr>
        <w:t>”, respectively) that are included among the Ordinary Shares registered in the Company’s shareholders register in Israel under the name of a nominee company in Israel (“</w:t>
      </w:r>
      <w:r>
        <w:rPr>
          <w:rFonts w:ascii="Times New Roman" w:cs="Times New Roman" w:eastAsia="Times New Roman" w:hAnsi="Times New Roman"/>
          <w:sz w:val="18"/>
          <w:szCs w:val="18"/>
          <w:b w:val="1"/>
          <w:bCs w:val="1"/>
          <w:color w:val="auto"/>
        </w:rPr>
        <w:t>Non-registered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should deliver or mail (via registered mail) a completed written ballot (in the form filed by the Company via MAGNA,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online platform of the Israel Securities Authority (“</w:t>
      </w:r>
      <w:r>
        <w:rPr>
          <w:rFonts w:ascii="Times New Roman" w:cs="Times New Roman" w:eastAsia="Times New Roman" w:hAnsi="Times New Roman"/>
          <w:sz w:val="18"/>
          <w:szCs w:val="18"/>
          <w:b w:val="1"/>
          <w:bCs w:val="1"/>
          <w:color w:val="auto"/>
        </w:rPr>
        <w:t>TASE Ballot</w:t>
      </w:r>
      <w:r>
        <w:rPr>
          <w:rFonts w:ascii="Times New Roman" w:cs="Times New Roman" w:eastAsia="Times New Roman" w:hAnsi="Times New Roman"/>
          <w:sz w:val="18"/>
          <w:szCs w:val="18"/>
          <w:color w:val="auto"/>
        </w:rPr>
        <w:t xml:space="preserve">”)) to the Company’s offices, c/o Ms. Lisa Haimovitz, 13 Amal St., Afek Industrial Park, Rosh Ha’ayin 4809249, Israel no later than </w:t>
      </w:r>
      <w:r>
        <w:rPr>
          <w:rFonts w:ascii="Times New Roman" w:cs="Times New Roman" w:eastAsia="Times New Roman" w:hAnsi="Times New Roman"/>
          <w:sz w:val="18"/>
          <w:szCs w:val="18"/>
          <w:b w:val="1"/>
          <w:bCs w:val="1"/>
          <w:color w:val="auto"/>
        </w:rPr>
        <w:t>September 30, 2025 at 12:00 p.m. Israel time</w:t>
      </w:r>
      <w:r>
        <w:rPr>
          <w:rFonts w:ascii="Times New Roman" w:cs="Times New Roman" w:eastAsia="Times New Roman" w:hAnsi="Times New Roman"/>
          <w:sz w:val="18"/>
          <w:szCs w:val="18"/>
          <w:color w:val="auto"/>
        </w:rPr>
        <w:t xml:space="preserve"> (i.e., at least four (4) hours before the General Meeting starts). By this time, both Registered Shareholders and Non-registered shareholders must also provide the Company with a copy of their identity card, passport or certificate of incorporation (“</w:t>
      </w:r>
      <w:r>
        <w:rPr>
          <w:rFonts w:ascii="Times New Roman" w:cs="Times New Roman" w:eastAsia="Times New Roman" w:hAnsi="Times New Roman"/>
          <w:sz w:val="18"/>
          <w:szCs w:val="18"/>
          <w:b w:val="1"/>
          <w:bCs w:val="1"/>
          <w:color w:val="auto"/>
        </w:rPr>
        <w:t>Identifying Information</w:t>
      </w:r>
      <w:r>
        <w:rPr>
          <w:rFonts w:ascii="Times New Roman" w:cs="Times New Roman" w:eastAsia="Times New Roman" w:hAnsi="Times New Roman"/>
          <w:sz w:val="18"/>
          <w:szCs w:val="18"/>
          <w:color w:val="auto"/>
        </w:rPr>
        <w:t>”). A TASE Ballot submitted by a Registered Shareholder without Identifying Information attached to it will not be valid. Non-registered Shareholders must also provide the Company with an ownership certificate confirming their ownership of the Company’s Ordinary Shares on the Record Date, which certificate must be approved by a recognized financial institution (“</w:t>
      </w:r>
      <w:r>
        <w:rPr>
          <w:rFonts w:ascii="Times New Roman" w:cs="Times New Roman" w:eastAsia="Times New Roman" w:hAnsi="Times New Roman"/>
          <w:sz w:val="18"/>
          <w:szCs w:val="18"/>
          <w:b w:val="1"/>
          <w:bCs w:val="1"/>
          <w:color w:val="auto"/>
        </w:rPr>
        <w:t>Ownership Certificate</w:t>
      </w:r>
      <w:r>
        <w:rPr>
          <w:rFonts w:ascii="Times New Roman" w:cs="Times New Roman" w:eastAsia="Times New Roman" w:hAnsi="Times New Roman"/>
          <w:sz w:val="18"/>
          <w:szCs w:val="18"/>
          <w:color w:val="auto"/>
        </w:rPr>
        <w:t>”), as required by the Israel Companies Law 5759-1999 (the “</w:t>
      </w:r>
      <w:r>
        <w:rPr>
          <w:rFonts w:ascii="Times New Roman" w:cs="Times New Roman" w:eastAsia="Times New Roman" w:hAnsi="Times New Roman"/>
          <w:sz w:val="18"/>
          <w:szCs w:val="18"/>
          <w:b w:val="1"/>
          <w:bCs w:val="1"/>
          <w:color w:val="auto"/>
        </w:rPr>
        <w:t>Companies Law</w:t>
      </w:r>
      <w:r>
        <w:rPr>
          <w:rFonts w:ascii="Times New Roman" w:cs="Times New Roman" w:eastAsia="Times New Roman" w:hAnsi="Times New Roman"/>
          <w:sz w:val="18"/>
          <w:szCs w:val="18"/>
          <w:color w:val="auto"/>
        </w:rPr>
        <w:t>”) and Israel Companies Regulations (Proof of Ownership of Shares for Voting at General Meeting), 5760-2000, as amended. A TASE Ballot submitted by a Non-registered Shareholder without an Ownership Certificate attached to it will not be valid. A Non-registered Shareholder is entitled to receive the Ownership Certificate at the branch of the TASE Member through which such shareholder holds his Ordinary Shares, or request from such TASE Member to deliver it by mail. Such a request must be provided in advance, and with respect to a specific securities account. A Non-registered Shareholder may direct the relevant TASE Member to transfer the Ownership Certificate to the Company through the electronic voting system of the Israel Securities Authority (the “</w:t>
      </w:r>
      <w:r>
        <w:rPr>
          <w:rFonts w:ascii="Times New Roman" w:cs="Times New Roman" w:eastAsia="Times New Roman" w:hAnsi="Times New Roman"/>
          <w:sz w:val="18"/>
          <w:szCs w:val="18"/>
          <w:b w:val="1"/>
          <w:bCs w:val="1"/>
          <w:color w:val="auto"/>
        </w:rPr>
        <w:t>Electronic Voting System</w:t>
      </w:r>
      <w:r>
        <w:rPr>
          <w:rFonts w:ascii="Times New Roman" w:cs="Times New Roman" w:eastAsia="Times New Roman" w:hAnsi="Times New Roman"/>
          <w:sz w:val="18"/>
          <w:szCs w:val="18"/>
          <w:color w:val="auto"/>
        </w:rPr>
        <w:t xml:space="preserve">”). Alternatively, Non-registered Shareholders may vote electronically via the Electronic Voting System, no later than </w:t>
      </w:r>
      <w:r>
        <w:rPr>
          <w:rFonts w:ascii="Times New Roman" w:cs="Times New Roman" w:eastAsia="Times New Roman" w:hAnsi="Times New Roman"/>
          <w:sz w:val="18"/>
          <w:szCs w:val="18"/>
          <w:b w:val="1"/>
          <w:bCs w:val="1"/>
          <w:color w:val="auto"/>
        </w:rPr>
        <w:t>September 30,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10:00 a.m. Israel time </w:t>
      </w:r>
      <w:r>
        <w:rPr>
          <w:rFonts w:ascii="Times New Roman" w:cs="Times New Roman" w:eastAsia="Times New Roman" w:hAnsi="Times New Roman"/>
          <w:sz w:val="18"/>
          <w:szCs w:val="18"/>
          <w:color w:val="auto"/>
        </w:rPr>
        <w:t>(i.e., at least six (6) hours before the General Meeting starts). A Non-registered Shareholder should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instructions about electronic voting from the TASE Member through which such Non-registered Shareholder holds his Ordinary Shares.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Execution of a proxy will not in any way affect a shareholder’s right to attend the General Meeting and vote in person, and any person giving a proxy has the right to revoke it in accordance with Section 9 of the Israel Companies Law Regulations (Proxy Voting and Positions Statements), 2005 (the “</w:t>
      </w:r>
      <w:r>
        <w:rPr>
          <w:rFonts w:ascii="Times New Roman" w:cs="Times New Roman" w:eastAsia="Times New Roman" w:hAnsi="Times New Roman"/>
          <w:sz w:val="18"/>
          <w:szCs w:val="18"/>
          <w:b w:val="1"/>
          <w:bCs w:val="1"/>
          <w:color w:val="auto"/>
        </w:rPr>
        <w:t>Companies Law Regulations (Proxy Voting)</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ind w:left="960" w:hanging="30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of record who intend to vote their Ordinary Shares in person are requested to bring proof of identity to the General Meeting.</w:t>
      </w:r>
    </w:p>
    <w:p>
      <w:pPr>
        <w:spacing w:after="0" w:line="225" w:lineRule="exact"/>
        <w:rPr>
          <w:rFonts w:ascii="Times New Roman" w:cs="Times New Roman" w:eastAsia="Times New Roman" w:hAnsi="Times New Roman"/>
          <w:sz w:val="18"/>
          <w:szCs w:val="18"/>
          <w:color w:val="auto"/>
        </w:rPr>
      </w:pPr>
    </w:p>
    <w:p>
      <w:pPr>
        <w:jc w:val="both"/>
        <w:ind w:left="960" w:hanging="304"/>
        <w:spacing w:after="0" w:line="255"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a Beneficial Owner with shares held in “street name” is not a shareholder of record, such shareholders may not vote those Ordinary Shares directly at the General Meeting unless they obtain a “legal proxy” from the bank, broker or other nominee that holds the Ordinary Shares directly, giving them the right to vote the Ordinary Shares at the General Meeting. Brokers that hold ordinary shares in “street name” for clients typically have authority to vote on “routine” proposals even when they have not received instructions from beneficial owners. None of the items on the General Meeting agenda may be considered routine. Therefore, it is important for a shareholder that holds Ordinary Shares through a bank, broker or other nominee to instruct its bank, broker or other nominee how to vote its Ordinary Shares, if the shareholder wants its Ordinary Shares to count for all proposals.</w:t>
      </w:r>
    </w:p>
    <w:p>
      <w:pPr>
        <w:spacing w:after="0" w:line="202" w:lineRule="exact"/>
        <w:rPr>
          <w:rFonts w:ascii="Times New Roman" w:cs="Times New Roman" w:eastAsia="Times New Roman" w:hAnsi="Times New Roman"/>
          <w:sz w:val="18"/>
          <w:szCs w:val="18"/>
          <w:color w:val="auto"/>
        </w:rPr>
      </w:pPr>
    </w:p>
    <w:p>
      <w:pPr>
        <w:jc w:val="both"/>
        <w:ind w:left="960" w:hanging="304"/>
        <w:spacing w:after="0" w:line="258"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Both Registered Shareholders and Non-registered Shareholders who intend to vote their Ordinary Shares in person must provide the Company with Identifying Information and Non-registered Shareholders must also provide an Ownership Certificate, no later than </w:t>
      </w:r>
      <w:r>
        <w:rPr>
          <w:rFonts w:ascii="Times New Roman" w:cs="Times New Roman" w:eastAsia="Times New Roman" w:hAnsi="Times New Roman"/>
          <w:sz w:val="18"/>
          <w:szCs w:val="18"/>
          <w:b w:val="1"/>
          <w:bCs w:val="1"/>
          <w:color w:val="auto"/>
        </w:rPr>
        <w:t>September 30,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at 14:00 p.m. Israel time </w:t>
      </w:r>
      <w:r>
        <w:rPr>
          <w:rFonts w:ascii="Times New Roman" w:cs="Times New Roman" w:eastAsia="Times New Roman" w:hAnsi="Times New Roman"/>
          <w:sz w:val="18"/>
          <w:szCs w:val="18"/>
          <w:color w:val="auto"/>
        </w:rPr>
        <w:t>(i.e., at least two (2) hours before the General Meeting starts). Both Registered Shareholders and Non-registered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may revoke their proxies or TASE Ballot (as applicable) in accordance with Section 9 of the Companies Law Regulations (Proxy Voting).</w:t>
      </w:r>
    </w:p>
    <w:p>
      <w:pPr>
        <w:spacing w:after="0" w:line="19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Even if you plan to attend the General Meeting, the Board unanimously recommends that you vote your shares in advance so that your vote will be counted if you later decide not to attend the General Meeting.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and Solicitation</w:t>
      </w:r>
    </w:p>
    <w:p>
      <w:pPr>
        <w:spacing w:after="0" w:line="24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 Board of Directors is soliciting proxies for use at the General Meeting. The Company expects to mail this Proxy Statement and the accompanying proxy cards to the shareholders on or about August 29, 2025. In addition to solicitation of proxies by the shareholders by mail, certain officers, directors, employees and agents of the Company may solicit proxies by telephone, mail or other personal contact. The Company will bear the cost of the solicitation of the proxies, including postage, printing and handling and will reimburse the reasonable expenses of brokerage firms and others for forwarding materials to beneficial owners of Ordinary Shares.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Proxy Statement and proxy card will also serve as a voting deed (ktav hatzba’a), as such term is defined under the Companies Law.</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or Revocation of Proxy</w:t>
      </w:r>
    </w:p>
    <w:p>
      <w:pPr>
        <w:spacing w:after="0" w:line="24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Any shareholder of record at the close of business on the Record Date returning the accompanying proxy may revoke such proxy at any time prior to the General Meeting by: (i) giving written notice to us of such revocation; (ii) voting in person at the General Meeting or requesting the return of the proxy at the General Meeting; or (iii) executing and delivering to us a later-dated proxy prior to the General Meeting. Written revocations and later-dated proxies should be sent in accordance with Section 9 of the Companies Law Regulations (Proxy Voting), to the Company’s offices, c/o Ms. Lisa Haimovitz, at 13 Amal St., Afek Industrial Park, Rosh Ha’ayin 4809249, Israel. Attendance at the General Meeting will not cause your previously granted proxy to be revoked unless you specifically so request.</w:t>
      </w:r>
    </w:p>
    <w:p>
      <w:pPr>
        <w:spacing w:after="0" w:line="18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If you are a Beneficial Owner with shares held in “street name,” you may change your vote by submitting new voting instructions to your bank, broker or other nominee in accordance with Section 9 of the Companies Law Regulations (Proxy Voting) or, if you have obtained a legal proxy from your bank, broker or other nominee giving you the right to vote your shares, by attending the General Meeting and voting in person. If you are a beneficial owner of shares registered in the name of a member of the TASE and wish to change your voting instructions, you must contact the TASE member through which you hold your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and Vote Required for Approval of Each of the Proposals</w:t>
      </w:r>
    </w:p>
    <w:p>
      <w:pPr>
        <w:spacing w:after="0" w:line="24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One (1) or more shareholders holding Ordinary Shares representing in the aggregate at least twenty-five percent (25%) of the voting power of the Company, present in person or by proxy at the General Meeting and entitled to vote thereat, will constitute a quorum (a “</w:t>
      </w:r>
      <w:r>
        <w:rPr>
          <w:rFonts w:ascii="Times New Roman" w:cs="Times New Roman" w:eastAsia="Times New Roman" w:hAnsi="Times New Roman"/>
          <w:sz w:val="18"/>
          <w:szCs w:val="18"/>
          <w:b w:val="1"/>
          <w:bCs w:val="1"/>
          <w:color w:val="auto"/>
        </w:rPr>
        <w:t>Quorum</w:t>
      </w:r>
      <w:r>
        <w:rPr>
          <w:rFonts w:ascii="Times New Roman" w:cs="Times New Roman" w:eastAsia="Times New Roman" w:hAnsi="Times New Roman"/>
          <w:sz w:val="18"/>
          <w:szCs w:val="18"/>
          <w:color w:val="auto"/>
        </w:rPr>
        <w:t>”). If within 30 minutes from the time appointed for the General Meeting a Quorum is not present, the General Meeting shall be adjourned to the same day of the following week, at the same time and place, or at such other day, time and place as shall be prescribed by the Board of Directors in a notification to the shareholders. In the event that a Quorum is not present 30 minutes from the time appointed for the reconvened meeting, the reconvened meeting will take place with any number of shareholders.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Companies Law, the approval of all Proposals in this Proxy Statement requires the affirmative vote of at least a majority of the voting power represented at the General Meeting, in person or by proxy, and voting on the matter presented, provided that with respect to only Proposals 3 and 4, either: (i) such majority includes a majority of the Ordinary Shares voted at the General Meeting by shareholders who are not Controlling Shareholders (as defined below) and do not have a Personal Interest (as defined below) in the approval of such Proposal, disregarding abstentions; or (ii) the total number of Ordinary Shares voted against the approval of such Proposal by shareholders referred to in sub-section (i) does not exceed two percent (2%) of the total voting rights in the Company.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Companies Law:</w:t>
      </w:r>
    </w:p>
    <w:p>
      <w:pPr>
        <w:spacing w:after="0" w:line="2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“Personal Interest” means a shareholder’s personal interest in an act or a transaction of a company, including the personal interest of his or her Relatives (as defined below) or of an entity in which such shareholder or his or her Relative is an Interested Party (as defined below). Personal Interest excludes a personal interest arising solely from holding a company’s shares and includes a Personal Interest of any person voting pursuant to a proxy provided to him or her by another person with respect to the proposal, even if the person providing the proxy does not have a Personal Interest. The vote of a person who is voting by a proxy provided to him or her on behalf of another who has a Personal Interest will also be seen as a vote of a person with a Personal Interest, whether the discretion to vote is in the hands of the voter or not.</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“Relative” means a person’s (a) brother, sister, parent, grandparent or descendant, (b) spouse, or (c) the spouse’s brother, sister, parent or descendant (or in each case the spouse thereof).</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“Interested Party” means any person that either:</w:t>
      </w:r>
    </w:p>
    <w:p>
      <w:pPr>
        <w:spacing w:after="0" w:line="252" w:lineRule="exact"/>
        <w:rPr>
          <w:sz w:val="20"/>
          <w:szCs w:val="20"/>
          <w:color w:val="auto"/>
        </w:rPr>
      </w:pPr>
    </w:p>
    <w:p>
      <w:pPr>
        <w:ind w:left="900" w:hanging="244"/>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five percent (5%) or more of an entity’s issued share capital or voting rights;</w:t>
      </w:r>
    </w:p>
    <w:p>
      <w:pPr>
        <w:spacing w:after="0" w:line="23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right to appoint a director to an entity’s board of directors or the chief executive officer thereof; or</w:t>
      </w:r>
    </w:p>
    <w:p>
      <w:pPr>
        <w:spacing w:after="0" w:line="238"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member of an entity’s board of directors or serves as the chief executive officer thereof.</w:t>
      </w:r>
    </w:p>
    <w:p>
      <w:pPr>
        <w:spacing w:after="0" w:line="25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“Controlling Shareholder” means, for purposes of each Proposal and elsewhere as specifically referenced in this Proxy Statement, any shareholder who has the ability to direct the Company’s activity, including any shareholder holding 50% or more of the “means of control” of the Company. “Means of control” is defined under Israeli law as any one of the following: (i) the right to vote at a general meeting of the Company, or (ii) the right to appoint directors of the Company or its chief executive officer.</w:t>
      </w:r>
    </w:p>
    <w:p>
      <w:pPr>
        <w:spacing w:after="0" w:line="18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According to the Companies Law Regulations (Relief for Public Companies Traded in Stock Exchange Outside of Israel) 5760-2000, by signing and submitting the enclosed proxy card, a shareholder declares and approves that he or she has no Personal Interest in the approval of any of the items on the General Meeting agenda, except if such shareholder notified the Company of such Personal Interest in writing. If you believe that you have a Personal Interest in any of the items on the General Meeting agenda and you wish to inform the Company of such Personal Interest, you should submit such information in advance of voting to the Company’s offices, c/o Ms. Lisa Haimovitz, 13 Amal St., Afek Industrial Park, Rosh Ha’ayin 4809249, Israel.</w:t>
      </w:r>
    </w:p>
    <w:p>
      <w:pPr>
        <w:spacing w:after="0" w:line="186" w:lineRule="exact"/>
        <w:rPr>
          <w:sz w:val="20"/>
          <w:szCs w:val="20"/>
          <w:color w:val="auto"/>
        </w:rPr>
      </w:pPr>
    </w:p>
    <w:p>
      <w:pPr>
        <w:jc w:val="both"/>
        <w:ind w:firstLine="638"/>
        <w:spacing w:after="0" w:line="274" w:lineRule="auto"/>
        <w:rPr>
          <w:sz w:val="20"/>
          <w:szCs w:val="20"/>
          <w:color w:val="auto"/>
        </w:rPr>
      </w:pPr>
      <w:r>
        <w:rPr>
          <w:rFonts w:ascii="Times New Roman" w:cs="Times New Roman" w:eastAsia="Times New Roman" w:hAnsi="Times New Roman"/>
          <w:sz w:val="18"/>
          <w:szCs w:val="18"/>
          <w:color w:val="auto"/>
        </w:rPr>
        <w:t>Abstentions and “broker non-votes” are counted as present and entitled to vote for purposes of determining a Quorum. Apart from for the purpose of determining a Quorum, broker non-votes will not be counted as present and are not entitled to vote. Abstentions will not be treated as either a vote “FOR” or “AGAINST” a matter.</w:t>
      </w:r>
    </w:p>
    <w:p>
      <w:pPr>
        <w:spacing w:after="0" w:line="196" w:lineRule="exact"/>
        <w:rPr>
          <w:sz w:val="20"/>
          <w:szCs w:val="20"/>
          <w:color w:val="auto"/>
        </w:rPr>
      </w:pPr>
    </w:p>
    <w:p>
      <w:pPr>
        <w:jc w:val="both"/>
        <w:ind w:firstLine="638"/>
        <w:spacing w:after="0" w:line="274" w:lineRule="auto"/>
        <w:rPr>
          <w:sz w:val="20"/>
          <w:szCs w:val="20"/>
          <w:color w:val="auto"/>
        </w:rPr>
      </w:pPr>
      <w:r>
        <w:rPr>
          <w:rFonts w:ascii="Times New Roman" w:cs="Times New Roman" w:eastAsia="Times New Roman" w:hAnsi="Times New Roman"/>
          <w:sz w:val="18"/>
          <w:szCs w:val="18"/>
          <w:color w:val="auto"/>
        </w:rPr>
        <w:t>On each matter submitted to the shareholders for consideration at the General Meeting, only Ordinary Shares that are voted on such matter will be counted toward determining whether shareholders approved the matter. Ordinary Shares present at the General Meeting that are not voted on a particular matter (including broker non-votes) will not be counted in determining whether such matter is approved by shareholders.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56"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The Company is currently unaware of any other matters that may be raised at the General Meeting. Should any other matters be properly raised at the General Meeting, the persons designated as proxies will vote according to their own judgment on those matters. One or more shareholders holding at least one percent (1%) of the Company’s total voting rights may present proposals for consideration at the General Meeting by submitting their proposals to the Company’s offices, c/o Ms. Lisa Haimovitz, at 13 Amal St., Afek Industrial Park, Rosh Ha’ayin 4809249, Israel, no later than the close of business on May 14, 2025. If the Company determines that a shareholder’s proposal is suitable for discussion at the General Meeting, a revised agenda will be published by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Results</w:t>
      </w:r>
    </w:p>
    <w:p>
      <w:pPr>
        <w:spacing w:after="0" w:line="243" w:lineRule="exact"/>
        <w:rPr>
          <w:sz w:val="20"/>
          <w:szCs w:val="20"/>
          <w:color w:val="auto"/>
        </w:rPr>
      </w:pPr>
    </w:p>
    <w:p>
      <w:pPr>
        <w:jc w:val="both"/>
        <w:ind w:firstLine="638"/>
        <w:spacing w:after="0" w:line="281" w:lineRule="auto"/>
        <w:rPr>
          <w:sz w:val="20"/>
          <w:szCs w:val="20"/>
          <w:color w:val="auto"/>
        </w:rPr>
      </w:pPr>
      <w:r>
        <w:rPr>
          <w:rFonts w:ascii="Times New Roman" w:cs="Times New Roman" w:eastAsia="Times New Roman" w:hAnsi="Times New Roman"/>
          <w:sz w:val="18"/>
          <w:szCs w:val="18"/>
          <w:color w:val="auto"/>
        </w:rPr>
        <w:t>The final voting results will be tallied by the Company based on the information provided by our tabulation agent, Broadridge Financial Solutions, Inc., or otherwise, and the overall results of the General Meeting will be published following the General Meeting in a Report of Foreign Private Issuer on Form 6-K that will be furnished to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21" w:right="3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Reporting Requirements</w:t>
      </w:r>
    </w:p>
    <w:p>
      <w:pPr>
        <w:spacing w:after="0" w:line="23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The Company is subject to the information reporting requirements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xml:space="preserve">”), applicable to foreign private issuers. The Company fulfills these requirements by filing reports with the SEC. The Company’s filings are available to the public on the SEC’s website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As a foreign private issuer, the Company is exempt from the rules under the Exchange Act related to the furnishing and content of proxy statements. The circulation of this Notice and Proxy Statement should not be considered as an admission that the Company is subject to the proxy rules under the Exchange Act.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EXECUTIVE OFFICERS</w:t>
      </w:r>
    </w:p>
    <w:p>
      <w:pPr>
        <w:spacing w:after="0" w:line="24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For information concerning the salary expenses and social benefit costs of the Company’s five highest compensated executive officers in the year ended December 31, 2024, see Item 6.B. of the Company’s Annual Report on Form 20-F for the year ended December 31, 2024, filed with the SEC on March 28, 2025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xml:space="preserve">”), a copy of which is available on the SEC’s website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xml:space="preserve"> or on the Company’s website at </w:t>
      </w:r>
      <w:r>
        <w:rPr>
          <w:rFonts w:ascii="Times New Roman" w:cs="Times New Roman" w:eastAsia="Times New Roman" w:hAnsi="Times New Roman"/>
          <w:sz w:val="18"/>
          <w:szCs w:val="18"/>
          <w:u w:val="single" w:color="auto"/>
          <w:color w:val="auto"/>
        </w:rPr>
        <w:t>https://enlightenergy.co.il</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3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According to the Company’s Amended and Restated Articles of Association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the number of Company directors must not be less than five (5) and shall not exceed thirteen (13) members. The term of office of the directors expires at each annual general meeting, provided that their respective replacement has been duly elected or appointed. At each annual general meeting the then-serving directors may be re-nominated to serve an additional one-year term that expires at the annual general meeting held in the year following such election, provided that their respective replacement has been duly elected or appointed.</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an Israeli company, the Company is subject to various corporate governance requirements under the Companies Law. However, pursuant to regulations promulgated under the Companies Law, companies with shares traded on certain U.S. stock exchanges, including Nasdaq, may, subject to certain conditions, opt out from certain Companies Law requirements, including a requirement to appoint “external directors” and related rules concerning the composition of the audit committee and compensation committee of the board of directors. Under these regulations, the exemptions from such Companies Law requirements will continue to be available to the Company so long as the Company complies with the following: (i) the Company does not have a “controlling shareholder” (as such term is defined under the Companies Law), (ii) the Company’s Ordinary Shares are traded on certain U.S. stock exchanges, including Nasdaq, and (iii) the Company complies with the director independence requirements and the requirements regarding the composition of the audit committee and the compensation committee under U.S. laws (including applicable Nasdaq rules) applicable to U.S. domestic issuers.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a “foreign private issuer” (as such term is defined in Rule 3b-4 under the Exchange Act). As a foreign private issuer, the Company is permitted to comply with Israeli corporate governance practices instead of the corporate governance rules of Nasdaq, provided that the Company discloses which requirements it is not following and the equivalent Israeli requirement. As a foreign private issuer, the Company is exempt under the Exchange Act from, among other things, the rules prescribing the furnishing and content of proxy statements, and the Company’s officers, directors and principal shareholders are exempt from the reporting and short-swing profit recovery provisions contained in Section 16 of the Exchange Act. In addition, the Company is not required under the Exchange Act to file periodic reports and financial statements with the SEC as frequently or as promptly as U.S. companies whose securities are registered under the Exchange Act. For more information regarding the Company’s corporate governance practices and foreign private issuer status, see Item 16G. “</w:t>
      </w:r>
      <w:r>
        <w:rPr>
          <w:rFonts w:ascii="Times New Roman" w:cs="Times New Roman" w:eastAsia="Times New Roman" w:hAnsi="Times New Roman"/>
          <w:sz w:val="18"/>
          <w:szCs w:val="18"/>
          <w:i w:val="1"/>
          <w:iCs w:val="1"/>
          <w:color w:val="auto"/>
        </w:rPr>
        <w:t>Corporate Governance</w:t>
      </w:r>
      <w:r>
        <w:rPr>
          <w:rFonts w:ascii="Times New Roman" w:cs="Times New Roman" w:eastAsia="Times New Roman" w:hAnsi="Times New Roman"/>
          <w:sz w:val="18"/>
          <w:szCs w:val="18"/>
          <w:color w:val="auto"/>
        </w:rPr>
        <w:t>” of the Company’s Annual Report.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Company’s Board of Directors</w:t>
      </w:r>
    </w:p>
    <w:p>
      <w:pPr>
        <w:spacing w:after="0" w:line="25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The Board of Directors has established an audit committee, a compensation committee, a nominating committee, and an environmental, social and governance committee. Each committee operates in accordance with a written charter that sets forth such committee’s structure, operations, membership requirements, responsibilities and authority to engage advisors, among other duties, as required by Nasdaq listing standards applicable to U.S. domestic listed companies. Members serve on these committees until their resignation, until they cease to be members of the Board of Directors, or until otherwise determined by the Board of Directors. The Company’s Board of Directors may establish other committees as it deems necessary or appropriate from time to time. The Company has elected to opt out from the Companies Law rules concerning the composition of the audit committee and compensation committee, and has instead elected to comply with the audit committee and compensation committee composition requirements of Nasdaq applicable to U.S. domestic listed companies. For more information regarding the Company’s committees, see Item 6.C. “</w:t>
      </w:r>
      <w:r>
        <w:rPr>
          <w:rFonts w:ascii="Times New Roman" w:cs="Times New Roman" w:eastAsia="Times New Roman" w:hAnsi="Times New Roman"/>
          <w:sz w:val="18"/>
          <w:szCs w:val="18"/>
          <w:i w:val="1"/>
          <w:iCs w:val="1"/>
          <w:color w:val="auto"/>
        </w:rPr>
        <w:t>Board Practices - Committees of our Board of Directors</w:t>
      </w:r>
      <w:r>
        <w:rPr>
          <w:rFonts w:ascii="Times New Roman" w:cs="Times New Roman" w:eastAsia="Times New Roman" w:hAnsi="Times New Roman"/>
          <w:sz w:val="18"/>
          <w:szCs w:val="18"/>
          <w:color w:val="auto"/>
        </w:rPr>
        <w:t>” of the Company’s Annual Report.</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Other Corporate Governance Practices</w:t>
      </w:r>
    </w:p>
    <w:p>
      <w:pPr>
        <w:spacing w:after="0" w:line="243"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Below is a summary of other key governance practices and policies that the Board of Directors believes help advance the Company’s goals and protect the interests of the shareholders, including:</w:t>
      </w:r>
    </w:p>
    <w:p>
      <w:pPr>
        <w:sectPr>
          <w:pgSz w:w="11900" w:h="16838" w:orient="portrait"/>
          <w:cols w:equalWidth="0" w:num="1">
            <w:col w:w="11240"/>
          </w:cols>
          <w:pgMar w:left="320" w:top="117" w:right="339" w:bottom="1440" w:gutter="0" w:footer="0" w:header="0"/>
        </w:sectPr>
      </w:pPr>
    </w:p>
    <w:p>
      <w:pPr>
        <w:spacing w:after="0" w:line="271" w:lineRule="exact"/>
        <w:rPr>
          <w:sz w:val="20"/>
          <w:szCs w:val="20"/>
          <w:color w:val="auto"/>
        </w:rPr>
      </w:pPr>
    </w:p>
    <w:p>
      <w:pPr>
        <w:ind w:left="660" w:hanging="409"/>
        <w:spacing w:after="0" w:line="196" w:lineRule="auto"/>
        <w:tabs>
          <w:tab w:leader="none" w:pos="660" w:val="left"/>
        </w:tabs>
        <w:numPr>
          <w:ilvl w:val="0"/>
          <w:numId w:val="9"/>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Base a portion of the compensation opportunity of our executive officers on our and their respective performance.</w:t>
      </w:r>
    </w:p>
    <w:p>
      <w:pPr>
        <w:spacing w:after="0" w:line="333" w:lineRule="exact"/>
        <w:rPr>
          <w:rFonts w:ascii="MS PGothic" w:cs="MS PGothic" w:eastAsia="MS PGothic" w:hAnsi="MS PGothic"/>
          <w:sz w:val="36"/>
          <w:szCs w:val="36"/>
          <w:color w:val="auto"/>
          <w:vertAlign w:val="subscript"/>
        </w:rPr>
      </w:pPr>
    </w:p>
    <w:p>
      <w:pPr>
        <w:ind w:left="660" w:hanging="409"/>
        <w:spacing w:after="0" w:line="196" w:lineRule="auto"/>
        <w:tabs>
          <w:tab w:leader="none" w:pos="660" w:val="left"/>
        </w:tabs>
        <w:numPr>
          <w:ilvl w:val="0"/>
          <w:numId w:val="9"/>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Set annual performance targets to our chief executive officer based on measurable objectives.</w:t>
      </w:r>
    </w:p>
    <w:p>
      <w:pPr>
        <w:spacing w:after="0" w:line="212"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Adopted a ‘clawback policy’ and include in our Compensation Policy ‘clawback’ provisions which allow us under certain</w:t>
      </w:r>
    </w:p>
    <w:p>
      <w:pPr>
        <w:jc w:val="both"/>
        <w:ind w:left="660" w:hanging="409"/>
        <w:spacing w:after="0" w:line="274" w:lineRule="auto"/>
        <w:tabs>
          <w:tab w:leader="none" w:pos="660"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circumstances to recoup excess incentive compensation to executive officers where the company is required to prepare a financial restatement to correct a material error.</w:t>
      </w:r>
    </w:p>
    <w:p>
      <w:pPr>
        <w:spacing w:after="0" w:line="200" w:lineRule="exact"/>
        <w:rPr>
          <w:rFonts w:ascii="MS PGothic" w:cs="MS PGothic" w:eastAsia="MS PGothic" w:hAnsi="MS PGothic"/>
          <w:sz w:val="18"/>
          <w:szCs w:val="18"/>
          <w:color w:val="auto"/>
        </w:rPr>
      </w:pPr>
    </w:p>
    <w:p>
      <w:pPr>
        <w:spacing w:after="0" w:line="306" w:lineRule="exact"/>
        <w:rPr>
          <w:rFonts w:ascii="MS PGothic" w:cs="MS PGothic" w:eastAsia="MS PGothic" w:hAnsi="MS PGothic"/>
          <w:sz w:val="18"/>
          <w:szCs w:val="18"/>
          <w:color w:val="auto"/>
        </w:rPr>
      </w:pPr>
    </w:p>
    <w:p>
      <w:pPr>
        <w:ind w:left="660" w:hanging="409"/>
        <w:spacing w:after="0"/>
        <w:tabs>
          <w:tab w:leader="none" w:pos="660"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Maintain a majority independent Board of Directors.</w:t>
      </w:r>
    </w:p>
    <w:p>
      <w:pPr>
        <w:spacing w:after="0" w:line="200" w:lineRule="exact"/>
        <w:rPr>
          <w:rFonts w:ascii="MS PGothic" w:cs="MS PGothic" w:eastAsia="MS PGothic" w:hAnsi="MS PGothic"/>
          <w:sz w:val="18"/>
          <w:szCs w:val="18"/>
          <w:color w:val="auto"/>
        </w:rPr>
      </w:pPr>
    </w:p>
    <w:p>
      <w:pPr>
        <w:spacing w:after="0" w:line="389" w:lineRule="exact"/>
        <w:rPr>
          <w:rFonts w:ascii="MS PGothic" w:cs="MS PGothic" w:eastAsia="MS PGothic" w:hAnsi="MS PGothic"/>
          <w:sz w:val="18"/>
          <w:szCs w:val="18"/>
          <w:color w:val="auto"/>
        </w:rPr>
      </w:pPr>
    </w:p>
    <w:p>
      <w:pPr>
        <w:ind w:left="660" w:hanging="409"/>
        <w:spacing w:after="0" w:line="196" w:lineRule="auto"/>
        <w:tabs>
          <w:tab w:leader="none" w:pos="660" w:val="left"/>
        </w:tabs>
        <w:numPr>
          <w:ilvl w:val="0"/>
          <w:numId w:val="10"/>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Maintain entirely independent audit, compensation, and environmental, social and governance committees.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386"/>
        <w:spacing w:after="0"/>
        <w:rPr>
          <w:sz w:val="20"/>
          <w:szCs w:val="20"/>
          <w:color w:val="auto"/>
        </w:rPr>
      </w:pPr>
      <w:r>
        <w:rPr>
          <w:rFonts w:ascii="Times New Roman" w:cs="Times New Roman" w:eastAsia="Times New Roman" w:hAnsi="Times New Roman"/>
          <w:sz w:val="18"/>
          <w:szCs w:val="18"/>
          <w:color w:val="auto"/>
        </w:rPr>
        <w:t>Annual bonuses are subject either to the attainment of pre-set</w:t>
      </w:r>
    </w:p>
    <w:p>
      <w:pPr>
        <w:spacing w:after="0" w:line="23" w:lineRule="exact"/>
        <w:rPr>
          <w:sz w:val="20"/>
          <w:szCs w:val="20"/>
          <w:color w:val="auto"/>
        </w:rPr>
      </w:pPr>
    </w:p>
    <w:p>
      <w:pPr>
        <w:ind w:left="386" w:hanging="386"/>
        <w:spacing w:after="0" w:line="268" w:lineRule="auto"/>
        <w:tabs>
          <w:tab w:leader="none" w:pos="386"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periodic objectives and individual and Company targets determined annually, or to discretionary evaluations.</w:t>
      </w:r>
    </w:p>
    <w:p>
      <w:pPr>
        <w:spacing w:after="0" w:line="1" w:lineRule="exact"/>
        <w:rPr>
          <w:rFonts w:ascii="MS PGothic" w:cs="MS PGothic" w:eastAsia="MS PGothic" w:hAnsi="MS PGothic"/>
          <w:sz w:val="18"/>
          <w:szCs w:val="18"/>
          <w:color w:val="auto"/>
        </w:rPr>
      </w:pPr>
    </w:p>
    <w:p>
      <w:pPr>
        <w:ind w:left="386"/>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Offer equity and cash compensation which we believe enhances</w:t>
      </w:r>
    </w:p>
    <w:p>
      <w:pPr>
        <w:spacing w:after="0" w:line="9" w:lineRule="exact"/>
        <w:rPr>
          <w:rFonts w:ascii="MS PGothic" w:cs="MS PGothic" w:eastAsia="MS PGothic" w:hAnsi="MS PGothic"/>
          <w:sz w:val="18"/>
          <w:szCs w:val="18"/>
          <w:color w:val="auto"/>
        </w:rPr>
      </w:pPr>
    </w:p>
    <w:p>
      <w:pPr>
        <w:jc w:val="both"/>
        <w:ind w:left="386" w:hanging="386"/>
        <w:spacing w:after="0" w:line="209" w:lineRule="auto"/>
        <w:tabs>
          <w:tab w:leader="none" w:pos="386" w:val="left"/>
        </w:tabs>
        <w:numPr>
          <w:ilvl w:val="0"/>
          <w:numId w:val="11"/>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alignment between executive officers’ interests with the Company’s and shareholders’ long-term interests, as well as strengthens retention and motivation of executive officers in the long-term.</w:t>
      </w:r>
    </w:p>
    <w:p>
      <w:pPr>
        <w:spacing w:after="0" w:line="333" w:lineRule="exact"/>
        <w:rPr>
          <w:rFonts w:ascii="MS PGothic" w:cs="MS PGothic" w:eastAsia="MS PGothic" w:hAnsi="MS PGothic"/>
          <w:sz w:val="36"/>
          <w:szCs w:val="36"/>
          <w:color w:val="auto"/>
          <w:vertAlign w:val="subscript"/>
        </w:rPr>
      </w:pPr>
    </w:p>
    <w:p>
      <w:pPr>
        <w:ind w:left="386" w:hanging="386"/>
        <w:spacing w:after="0" w:line="196" w:lineRule="auto"/>
        <w:tabs>
          <w:tab w:leader="none" w:pos="386" w:val="left"/>
        </w:tabs>
        <w:numPr>
          <w:ilvl w:val="0"/>
          <w:numId w:val="11"/>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Tailor executive officers’ compensation to target our short and long-term goals, as well as each officer’s individual performance.</w:t>
      </w:r>
    </w:p>
    <w:p>
      <w:pPr>
        <w:spacing w:after="0" w:line="319" w:lineRule="exact"/>
        <w:rPr>
          <w:rFonts w:ascii="MS PGothic" w:cs="MS PGothic" w:eastAsia="MS PGothic" w:hAnsi="MS PGothic"/>
          <w:sz w:val="36"/>
          <w:szCs w:val="36"/>
          <w:color w:val="auto"/>
          <w:vertAlign w:val="subscript"/>
        </w:rPr>
      </w:pPr>
    </w:p>
    <w:p>
      <w:pPr>
        <w:jc w:val="both"/>
        <w:ind w:left="386" w:right="20"/>
        <w:spacing w:after="0" w:line="268" w:lineRule="auto"/>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Include in our Compensation Policy measures intended to reduce executive officers’ incentives to take excessive risks that may harm</w:t>
      </w:r>
    </w:p>
    <w:p>
      <w:pPr>
        <w:spacing w:after="0" w:line="1" w:lineRule="exact"/>
        <w:rPr>
          <w:rFonts w:ascii="MS PGothic" w:cs="MS PGothic" w:eastAsia="MS PGothic" w:hAnsi="MS PGothic"/>
          <w:sz w:val="36"/>
          <w:szCs w:val="36"/>
          <w:color w:val="auto"/>
          <w:vertAlign w:val="subscript"/>
        </w:rPr>
      </w:pPr>
    </w:p>
    <w:p>
      <w:pPr>
        <w:jc w:val="both"/>
        <w:ind w:left="386" w:hanging="386"/>
        <w:spacing w:after="0" w:line="221" w:lineRule="auto"/>
        <w:tabs>
          <w:tab w:leader="none" w:pos="386" w:val="left"/>
        </w:tabs>
        <w:numPr>
          <w:ilvl w:val="0"/>
          <w:numId w:val="11"/>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us in the long-term, such as limit cash bonuses and equity-based compensation, as well as the ratio between the variable and the total compensation of an executive officer, and set minimum vesting periods for equity-based compensation.</w:t>
      </w:r>
    </w:p>
    <w:p>
      <w:pPr>
        <w:spacing w:after="0" w:line="90" w:lineRule="exact"/>
        <w:rPr>
          <w:rFonts w:ascii="MS PGothic" w:cs="MS PGothic" w:eastAsia="MS PGothic" w:hAnsi="MS PGothic"/>
          <w:sz w:val="36"/>
          <w:szCs w:val="36"/>
          <w:color w:val="auto"/>
          <w:vertAlign w:val="subscript"/>
        </w:rPr>
      </w:pPr>
    </w:p>
    <w:p>
      <w:pPr>
        <w:ind w:left="386" w:hanging="386"/>
        <w:spacing w:after="0"/>
        <w:tabs>
          <w:tab w:leader="none" w:pos="386"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Regularly review executive compensation.</w:t>
      </w:r>
    </w:p>
    <w:p>
      <w:pPr>
        <w:spacing w:after="0" w:line="348" w:lineRule="exact"/>
        <w:rPr>
          <w:sz w:val="20"/>
          <w:szCs w:val="20"/>
          <w:color w:val="auto"/>
        </w:rPr>
      </w:pPr>
    </w:p>
    <w:p>
      <w:pPr>
        <w:sectPr>
          <w:pgSz w:w="11900" w:h="16838" w:orient="portrait"/>
          <w:cols w:equalWidth="0" w:num="2">
            <w:col w:w="5620" w:space="294"/>
            <w:col w:w="5326"/>
          </w:cols>
          <w:pgMar w:left="320" w:top="117" w:right="339" w:bottom="1440" w:gutter="0" w:footer="0" w:header="0"/>
          <w:type w:val="continuous"/>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DIVERSITY OF THE BOARD OF DIRECTORS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provides certain information regarding the diversity of the Board of Directors as of the date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2520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520315"/>
                    </a:xfrm>
                    <a:prstGeom prst="rect">
                      <a:avLst/>
                    </a:prstGeom>
                    <a:noFill/>
                  </pic:spPr>
                </pic:pic>
              </a:graphicData>
            </a:graphic>
          </wp:anchor>
        </w:drawing>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tcBorders>
              <w:top w:val="single" w:sz="8" w:color="auto"/>
            </w:tcBorders>
          </w:tcPr>
          <w:p>
            <w:pPr>
              <w:spacing w:after="0"/>
              <w:rPr>
                <w:sz w:val="23"/>
                <w:szCs w:val="23"/>
                <w:color w:val="auto"/>
              </w:rPr>
            </w:pPr>
          </w:p>
        </w:tc>
        <w:tc>
          <w:tcPr>
            <w:tcW w:w="4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Country of Principal Executive Offices</w:t>
            </w: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Israel</w:t>
            </w:r>
          </w:p>
        </w:tc>
        <w:tc>
          <w:tcPr>
            <w:tcW w:w="2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2620" w:type="dxa"/>
            <w:vAlign w:val="bottom"/>
            <w:tcBorders>
              <w:top w:val="single" w:sz="8" w:color="auto"/>
            </w:tcBorders>
          </w:tcPr>
          <w:p>
            <w:pPr>
              <w:spacing w:after="0"/>
              <w:rPr>
                <w:sz w:val="23"/>
                <w:szCs w:val="23"/>
                <w:color w:val="auto"/>
              </w:rPr>
            </w:pPr>
          </w:p>
        </w:tc>
        <w:tc>
          <w:tcPr>
            <w:tcW w:w="2280" w:type="dxa"/>
            <w:vAlign w:val="bottom"/>
            <w:tcBorders>
              <w:top w:val="single" w:sz="8" w:color="auto"/>
            </w:tcBorders>
          </w:tcPr>
          <w:p>
            <w:pPr>
              <w:spacing w:after="0"/>
              <w:rPr>
                <w:sz w:val="23"/>
                <w:szCs w:val="23"/>
                <w:color w:val="auto"/>
              </w:rPr>
            </w:pPr>
          </w:p>
        </w:tc>
      </w:tr>
      <w:tr>
        <w:trPr>
          <w:trHeight w:val="48"/>
        </w:trPr>
        <w:tc>
          <w:tcPr>
            <w:tcW w:w="40" w:type="dxa"/>
            <w:vAlign w:val="bottom"/>
            <w:tcBorders>
              <w:bottom w:val="single" w:sz="8" w:color="auto"/>
            </w:tcBorders>
          </w:tcPr>
          <w:p>
            <w:pPr>
              <w:spacing w:after="0"/>
              <w:rPr>
                <w:sz w:val="4"/>
                <w:szCs w:val="4"/>
                <w:color w:val="auto"/>
              </w:rPr>
            </w:pPr>
          </w:p>
        </w:tc>
        <w:tc>
          <w:tcPr>
            <w:tcW w:w="470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4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Private Issuer</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Yes</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48"/>
        </w:trPr>
        <w:tc>
          <w:tcPr>
            <w:tcW w:w="40" w:type="dxa"/>
            <w:vAlign w:val="bottom"/>
            <w:tcBorders>
              <w:bottom w:val="single" w:sz="8" w:color="auto"/>
            </w:tcBorders>
          </w:tcPr>
          <w:p>
            <w:pPr>
              <w:spacing w:after="0"/>
              <w:rPr>
                <w:sz w:val="4"/>
                <w:szCs w:val="4"/>
                <w:color w:val="auto"/>
              </w:rPr>
            </w:pPr>
          </w:p>
        </w:tc>
        <w:tc>
          <w:tcPr>
            <w:tcW w:w="470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4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Disclosure Prohibited under Home Country Law</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47"/>
        </w:trPr>
        <w:tc>
          <w:tcPr>
            <w:tcW w:w="40" w:type="dxa"/>
            <w:vAlign w:val="bottom"/>
            <w:tcBorders>
              <w:bottom w:val="single" w:sz="8" w:color="auto"/>
            </w:tcBorders>
          </w:tcPr>
          <w:p>
            <w:pPr>
              <w:spacing w:after="0"/>
              <w:rPr>
                <w:sz w:val="4"/>
                <w:szCs w:val="4"/>
                <w:color w:val="auto"/>
              </w:rPr>
            </w:pPr>
          </w:p>
        </w:tc>
        <w:tc>
          <w:tcPr>
            <w:tcW w:w="470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4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48"/>
        </w:trPr>
        <w:tc>
          <w:tcPr>
            <w:tcW w:w="40" w:type="dxa"/>
            <w:vAlign w:val="bottom"/>
            <w:tcBorders>
              <w:bottom w:val="single" w:sz="8" w:color="auto"/>
            </w:tcBorders>
          </w:tcPr>
          <w:p>
            <w:pPr>
              <w:spacing w:after="0"/>
              <w:rPr>
                <w:sz w:val="4"/>
                <w:szCs w:val="4"/>
                <w:color w:val="auto"/>
              </w:rPr>
            </w:pPr>
          </w:p>
        </w:tc>
        <w:tc>
          <w:tcPr>
            <w:tcW w:w="470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r>
      <w:tr>
        <w:trPr>
          <w:trHeight w:val="459"/>
        </w:trPr>
        <w:tc>
          <w:tcPr>
            <w:tcW w:w="40" w:type="dxa"/>
            <w:vAlign w:val="bottom"/>
          </w:tcPr>
          <w:p>
            <w:pPr>
              <w:spacing w:after="0"/>
              <w:rPr>
                <w:sz w:val="24"/>
                <w:szCs w:val="24"/>
                <w:color w:val="auto"/>
              </w:rPr>
            </w:pPr>
          </w:p>
        </w:tc>
        <w:tc>
          <w:tcPr>
            <w:tcW w:w="4700" w:type="dxa"/>
            <w:vAlign w:val="bottom"/>
            <w:tcBorders>
              <w:right w:val="single" w:sz="8" w:color="auto"/>
            </w:tcBorders>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20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Male</w:t>
            </w:r>
          </w:p>
        </w:tc>
        <w:tc>
          <w:tcPr>
            <w:tcW w:w="2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Non-Binary/Transgender</w:t>
            </w: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Did Not Disclose Gender</w:t>
            </w:r>
          </w:p>
        </w:tc>
      </w:tr>
      <w:tr>
        <w:trPr>
          <w:trHeight w:val="48"/>
        </w:trPr>
        <w:tc>
          <w:tcPr>
            <w:tcW w:w="40" w:type="dxa"/>
            <w:vAlign w:val="bottom"/>
            <w:tcBorders>
              <w:bottom w:val="single" w:sz="8" w:color="auto"/>
            </w:tcBorders>
          </w:tcPr>
          <w:p>
            <w:pPr>
              <w:spacing w:after="0"/>
              <w:rPr>
                <w:sz w:val="4"/>
                <w:szCs w:val="4"/>
                <w:color w:val="auto"/>
              </w:rPr>
            </w:pPr>
          </w:p>
        </w:tc>
        <w:tc>
          <w:tcPr>
            <w:tcW w:w="470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262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4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48"/>
        </w:trPr>
        <w:tc>
          <w:tcPr>
            <w:tcW w:w="40" w:type="dxa"/>
            <w:vAlign w:val="bottom"/>
            <w:tcBorders>
              <w:bottom w:val="single" w:sz="8" w:color="auto"/>
            </w:tcBorders>
          </w:tcPr>
          <w:p>
            <w:pPr>
              <w:spacing w:after="0"/>
              <w:rPr>
                <w:sz w:val="4"/>
                <w:szCs w:val="4"/>
                <w:color w:val="auto"/>
              </w:rPr>
            </w:pPr>
          </w:p>
        </w:tc>
        <w:tc>
          <w:tcPr>
            <w:tcW w:w="470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4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Directors</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right w:val="single" w:sz="8" w:color="auto"/>
            </w:tcBorders>
          </w:tcPr>
          <w:p>
            <w:pPr>
              <w:spacing w:after="0"/>
              <w:rPr>
                <w:sz w:val="21"/>
                <w:szCs w:val="21"/>
                <w:color w:val="auto"/>
              </w:rPr>
            </w:pPr>
          </w:p>
        </w:tc>
        <w:tc>
          <w:tcPr>
            <w:tcW w:w="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2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r>
      <w:tr>
        <w:trPr>
          <w:trHeight w:val="48"/>
        </w:trPr>
        <w:tc>
          <w:tcPr>
            <w:tcW w:w="40" w:type="dxa"/>
            <w:vAlign w:val="bottom"/>
            <w:tcBorders>
              <w:bottom w:val="single" w:sz="8" w:color="auto"/>
            </w:tcBorders>
          </w:tcPr>
          <w:p>
            <w:pPr>
              <w:spacing w:after="0"/>
              <w:rPr>
                <w:sz w:val="4"/>
                <w:szCs w:val="4"/>
                <w:color w:val="auto"/>
              </w:rPr>
            </w:pPr>
          </w:p>
        </w:tc>
        <w:tc>
          <w:tcPr>
            <w:tcW w:w="470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262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4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47"/>
        </w:trPr>
        <w:tc>
          <w:tcPr>
            <w:tcW w:w="40" w:type="dxa"/>
            <w:vAlign w:val="bottom"/>
            <w:tcBorders>
              <w:bottom w:val="single" w:sz="8" w:color="auto"/>
            </w:tcBorders>
          </w:tcPr>
          <w:p>
            <w:pPr>
              <w:spacing w:after="0"/>
              <w:rPr>
                <w:sz w:val="4"/>
                <w:szCs w:val="4"/>
                <w:color w:val="auto"/>
              </w:rPr>
            </w:pPr>
          </w:p>
        </w:tc>
        <w:tc>
          <w:tcPr>
            <w:tcW w:w="470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4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Underrepresented Individual in Home Country Jurisdiction</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48"/>
        </w:trPr>
        <w:tc>
          <w:tcPr>
            <w:tcW w:w="40" w:type="dxa"/>
            <w:vAlign w:val="bottom"/>
            <w:tcBorders>
              <w:bottom w:val="single" w:sz="8" w:color="auto"/>
            </w:tcBorders>
          </w:tcPr>
          <w:p>
            <w:pPr>
              <w:spacing w:after="0"/>
              <w:rPr>
                <w:sz w:val="4"/>
                <w:szCs w:val="4"/>
                <w:color w:val="auto"/>
              </w:rPr>
            </w:pPr>
          </w:p>
        </w:tc>
        <w:tc>
          <w:tcPr>
            <w:tcW w:w="470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4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LGBTQ+</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48"/>
        </w:trPr>
        <w:tc>
          <w:tcPr>
            <w:tcW w:w="40" w:type="dxa"/>
            <w:vAlign w:val="bottom"/>
          </w:tcPr>
          <w:p>
            <w:pPr>
              <w:spacing w:after="0"/>
              <w:rPr>
                <w:sz w:val="4"/>
                <w:szCs w:val="4"/>
                <w:color w:val="auto"/>
              </w:rPr>
            </w:pPr>
          </w:p>
        </w:tc>
        <w:tc>
          <w:tcPr>
            <w:tcW w:w="470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4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48"/>
        </w:trPr>
        <w:tc>
          <w:tcPr>
            <w:tcW w:w="40" w:type="dxa"/>
            <w:vAlign w:val="bottom"/>
            <w:tcBorders>
              <w:right w:val="single" w:sz="8" w:color="auto"/>
            </w:tcBorders>
          </w:tcPr>
          <w:p>
            <w:pPr>
              <w:spacing w:after="0"/>
              <w:rPr>
                <w:sz w:val="4"/>
                <w:szCs w:val="4"/>
                <w:color w:val="auto"/>
              </w:rPr>
            </w:pPr>
          </w:p>
        </w:tc>
        <w:tc>
          <w:tcPr>
            <w:tcW w:w="470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r>
      <w:tr>
        <w:trPr>
          <w:trHeight w:val="621"/>
        </w:trPr>
        <w:tc>
          <w:tcPr>
            <w:tcW w:w="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7</w:t>
            </w:r>
          </w:p>
        </w:tc>
        <w:tc>
          <w:tcPr>
            <w:tcW w:w="26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61"/>
        </w:trPr>
        <w:tc>
          <w:tcPr>
            <w:tcW w:w="40" w:type="dxa"/>
            <w:vAlign w:val="bottom"/>
            <w:tcBorders>
              <w:bottom w:val="single" w:sz="8" w:color="auto"/>
            </w:tcBorders>
          </w:tcPr>
          <w:p>
            <w:pPr>
              <w:spacing w:after="0"/>
              <w:rPr>
                <w:sz w:val="5"/>
                <w:szCs w:val="5"/>
                <w:color w:val="auto"/>
              </w:rPr>
            </w:pPr>
          </w:p>
        </w:tc>
        <w:tc>
          <w:tcPr>
            <w:tcW w:w="47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OWNERSHIP OF THE COMPANY’S ORDINARY SHARES</w:t>
      </w:r>
    </w:p>
    <w:p>
      <w:pPr>
        <w:spacing w:after="0" w:line="24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The beneficial ownership of Ordinary Shares is determined in accordance with the SEC rules and generally includes any Ordinary Shares over which a person exercises sole or shared voting or investment power. For purposes of the table below, Ordinary Shares subject to options or other rights that are exercisable on or within 60 days of August 4, 2025 are deemed to be outstanding and to be beneficially owned by the person holding the options or warrants for the purposes of calculating the percentage ownership of that person but are not treated as outstanding for the purpose of calculating the percentage ownership of any other person. The percentage of Ordinary Shares beneficially owned is based on 120,007,417 Ordinary Shares outstanding as of August 4, 2025.</w:t>
      </w:r>
    </w:p>
    <w:p>
      <w:pPr>
        <w:spacing w:after="0" w:line="188"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All of the Company’s shareholders, including the shareholders listed below, have the same voting rights attached to their Ordinary Shares. Neither the Company’s principal shareholders nor the Company’s directors and executive officers have different or special voting rights with respect to their Ordinary Shares. Unless otherwise noted, the address of each shareholder listed below is 13 Amal St., Afek Industrial Park, Rosh Ha’ayin 4809249, Israel.</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 of</w:t>
            </w:r>
          </w:p>
        </w:tc>
      </w:tr>
      <w:tr>
        <w:trPr>
          <w:trHeight w:val="243"/>
        </w:trPr>
        <w:tc>
          <w:tcPr>
            <w:tcW w:w="8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9"/>
              </w:rPr>
              <w:t>Number of</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9"/>
              </w:rPr>
              <w:t>Outstanding</w:t>
            </w:r>
          </w:p>
        </w:tc>
      </w:tr>
      <w:tr>
        <w:trPr>
          <w:trHeight w:val="243"/>
        </w:trPr>
        <w:tc>
          <w:tcPr>
            <w:tcW w:w="8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8"/>
              </w:rPr>
              <w:t>Ordinary</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Ordinary</w:t>
            </w:r>
          </w:p>
        </w:tc>
      </w:tr>
      <w:tr>
        <w:trPr>
          <w:trHeight w:val="277"/>
        </w:trPr>
        <w:tc>
          <w:tcPr>
            <w:tcW w:w="8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Principal shareholders</w:t>
            </w:r>
          </w:p>
        </w:tc>
        <w:tc>
          <w:tcPr>
            <w:tcW w:w="10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Shares</w:t>
            </w:r>
          </w:p>
        </w:tc>
        <w:tc>
          <w:tcPr>
            <w:tcW w:w="22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180" w:type="dxa"/>
            <w:vAlign w:val="bottom"/>
          </w:tcPr>
          <w:p>
            <w:pPr>
              <w:spacing w:after="0"/>
              <w:rPr>
                <w:sz w:val="24"/>
                <w:szCs w:val="24"/>
                <w:color w:val="auto"/>
              </w:rPr>
            </w:pPr>
          </w:p>
        </w:tc>
      </w:tr>
      <w:tr>
        <w:trPr>
          <w:trHeight w:val="243"/>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Migdal Insurance and Financial Holdings Ltd.</w:t>
            </w:r>
            <w:r>
              <w:rPr>
                <w:rFonts w:ascii="Times New Roman" w:cs="Times New Roman" w:eastAsia="Times New Roman" w:hAnsi="Times New Roman"/>
                <w:sz w:val="28"/>
                <w:szCs w:val="28"/>
                <w:color w:val="auto"/>
                <w:vertAlign w:val="superscript"/>
              </w:rPr>
              <w:t>(1)</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7,255,590</w:t>
            </w:r>
          </w:p>
        </w:tc>
        <w:tc>
          <w:tcPr>
            <w:tcW w:w="2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6.05%</w:t>
            </w: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Harel Insurance Investments &amp; Financial Services Ltd.</w:t>
            </w:r>
            <w:r>
              <w:rPr>
                <w:rFonts w:ascii="Times New Roman" w:cs="Times New Roman" w:eastAsia="Times New Roman" w:hAnsi="Times New Roman"/>
                <w:sz w:val="28"/>
                <w:szCs w:val="28"/>
                <w:color w:val="auto"/>
                <w:vertAlign w:val="superscript"/>
              </w:rPr>
              <w:t>(2)</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15,046,965.3</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12.54%</w:t>
            </w:r>
          </w:p>
        </w:tc>
      </w:tr>
      <w:tr>
        <w:trPr>
          <w:trHeight w:val="243"/>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The Phoenix Holdings Ltd.</w:t>
            </w:r>
            <w:r>
              <w:rPr>
                <w:rFonts w:ascii="Times New Roman" w:cs="Times New Roman" w:eastAsia="Times New Roman" w:hAnsi="Times New Roman"/>
                <w:sz w:val="28"/>
                <w:szCs w:val="28"/>
                <w:color w:val="auto"/>
                <w:vertAlign w:val="superscript"/>
              </w:rPr>
              <w:t>(3)</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11,795,026.78</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9.83%</w:t>
            </w: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Meitav Investment House Ltd.</w:t>
            </w:r>
            <w:r>
              <w:rPr>
                <w:rFonts w:ascii="Times New Roman" w:cs="Times New Roman" w:eastAsia="Times New Roman" w:hAnsi="Times New Roman"/>
                <w:sz w:val="28"/>
                <w:szCs w:val="28"/>
                <w:color w:val="auto"/>
                <w:vertAlign w:val="superscript"/>
              </w:rPr>
              <w:t>(4)</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12,617,928</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10.51%</w:t>
            </w:r>
          </w:p>
        </w:tc>
      </w:tr>
      <w:tr>
        <w:trPr>
          <w:trHeight w:val="243"/>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Clal Insurance Enterprises Holdings Ltd.</w:t>
            </w:r>
            <w:r>
              <w:rPr>
                <w:rFonts w:ascii="Times New Roman" w:cs="Times New Roman" w:eastAsia="Times New Roman" w:hAnsi="Times New Roman"/>
                <w:sz w:val="28"/>
                <w:szCs w:val="28"/>
                <w:color w:val="auto"/>
                <w:vertAlign w:val="superscript"/>
              </w:rPr>
              <w:t>(5)</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8,750,122.3</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7.29%</w:t>
            </w: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Menora Mivtachim Holdings Ltd. </w:t>
            </w:r>
            <w:r>
              <w:rPr>
                <w:rFonts w:ascii="Times New Roman" w:cs="Times New Roman" w:eastAsia="Times New Roman" w:hAnsi="Times New Roman"/>
                <w:sz w:val="28"/>
                <w:szCs w:val="28"/>
                <w:color w:val="auto"/>
                <w:vertAlign w:val="superscript"/>
              </w:rPr>
              <w:t>(6)</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8,413,962.7</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7.01%</w:t>
            </w:r>
          </w:p>
        </w:tc>
      </w:tr>
      <w:tr>
        <w:trPr>
          <w:trHeight w:val="243"/>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Yelin Lapidot Holdings Management Ltd.</w:t>
            </w:r>
            <w:r>
              <w:rPr>
                <w:rFonts w:ascii="Times New Roman" w:cs="Times New Roman" w:eastAsia="Times New Roman" w:hAnsi="Times New Roman"/>
                <w:sz w:val="28"/>
                <w:szCs w:val="28"/>
                <w:color w:val="auto"/>
                <w:vertAlign w:val="superscript"/>
              </w:rPr>
              <w:t>(7)</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6,018,721</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5.02%</w:t>
            </w:r>
          </w:p>
        </w:tc>
      </w:tr>
      <w:tr>
        <w:trPr>
          <w:trHeight w:val="243"/>
        </w:trPr>
        <w:tc>
          <w:tcPr>
            <w:tcW w:w="84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Directors and executive officers</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Gilad Yavetz</w:t>
            </w:r>
            <w:r>
              <w:rPr>
                <w:rFonts w:ascii="Times New Roman" w:cs="Times New Roman" w:eastAsia="Times New Roman" w:hAnsi="Times New Roman"/>
                <w:sz w:val="28"/>
                <w:szCs w:val="28"/>
                <w:color w:val="auto"/>
                <w:vertAlign w:val="superscript"/>
              </w:rPr>
              <w:t>(8)</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1,627,225</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1.35%</w:t>
            </w: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Nir Yehuda</w:t>
            </w:r>
            <w:r>
              <w:rPr>
                <w:rFonts w:ascii="Times New Roman" w:cs="Times New Roman" w:eastAsia="Times New Roman" w:hAnsi="Times New Roman"/>
                <w:sz w:val="28"/>
                <w:szCs w:val="28"/>
                <w:color w:val="auto"/>
                <w:vertAlign w:val="superscript"/>
              </w:rPr>
              <w:t>(9)</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246,945</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r>
      <w:tr>
        <w:trPr>
          <w:trHeight w:val="243"/>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Amit Paz</w:t>
            </w:r>
            <w:r>
              <w:rPr>
                <w:rFonts w:ascii="Times New Roman" w:cs="Times New Roman" w:eastAsia="Times New Roman" w:hAnsi="Times New Roman"/>
                <w:sz w:val="28"/>
                <w:szCs w:val="28"/>
                <w:color w:val="auto"/>
                <w:vertAlign w:val="superscript"/>
              </w:rPr>
              <w:t>(10)</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698,607</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Ilan Goren</w:t>
            </w:r>
            <w:r>
              <w:rPr>
                <w:rFonts w:ascii="Times New Roman" w:cs="Times New Roman" w:eastAsia="Times New Roman" w:hAnsi="Times New Roman"/>
                <w:sz w:val="28"/>
                <w:szCs w:val="28"/>
                <w:color w:val="auto"/>
                <w:vertAlign w:val="superscript"/>
              </w:rPr>
              <w:t>(11)</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389,741</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r>
      <w:tr>
        <w:trPr>
          <w:trHeight w:val="243"/>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Marko Liposcak</w:t>
            </w:r>
            <w:r>
              <w:rPr>
                <w:rFonts w:ascii="Times New Roman" w:cs="Times New Roman" w:eastAsia="Times New Roman" w:hAnsi="Times New Roman"/>
                <w:sz w:val="28"/>
                <w:szCs w:val="28"/>
                <w:color w:val="auto"/>
                <w:vertAlign w:val="superscript"/>
              </w:rPr>
              <w:t>(12)</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66,401</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Gilad Peled</w:t>
            </w:r>
            <w:r>
              <w:rPr>
                <w:rFonts w:ascii="Times New Roman" w:cs="Times New Roman" w:eastAsia="Times New Roman" w:hAnsi="Times New Roman"/>
                <w:sz w:val="28"/>
                <w:szCs w:val="28"/>
                <w:color w:val="auto"/>
                <w:vertAlign w:val="superscript"/>
              </w:rPr>
              <w:t>(13)</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51,313</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r>
      <w:tr>
        <w:trPr>
          <w:trHeight w:val="243"/>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Ziv Shor</w:t>
            </w:r>
            <w:r>
              <w:rPr>
                <w:rFonts w:ascii="Times New Roman" w:cs="Times New Roman" w:eastAsia="Times New Roman" w:hAnsi="Times New Roman"/>
                <w:sz w:val="28"/>
                <w:szCs w:val="28"/>
                <w:color w:val="auto"/>
                <w:vertAlign w:val="superscript"/>
              </w:rPr>
              <w:t>(14)</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44,038</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Meron Carr</w:t>
            </w:r>
            <w:r>
              <w:rPr>
                <w:rFonts w:ascii="Times New Roman" w:cs="Times New Roman" w:eastAsia="Times New Roman" w:hAnsi="Times New Roman"/>
                <w:sz w:val="28"/>
                <w:szCs w:val="28"/>
                <w:color w:val="auto"/>
                <w:vertAlign w:val="superscript"/>
              </w:rPr>
              <w:t>(15)</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226,940</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r>
      <w:tr>
        <w:trPr>
          <w:trHeight w:val="243"/>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Ayelet Cohen Israeli</w:t>
            </w:r>
            <w:r>
              <w:rPr>
                <w:rFonts w:ascii="Times New Roman" w:cs="Times New Roman" w:eastAsia="Times New Roman" w:hAnsi="Times New Roman"/>
                <w:sz w:val="28"/>
                <w:szCs w:val="28"/>
                <w:color w:val="auto"/>
                <w:vertAlign w:val="superscript"/>
              </w:rPr>
              <w:t>(16)</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103,256</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Lisa Haimovitz</w:t>
            </w:r>
            <w:r>
              <w:rPr>
                <w:rFonts w:ascii="Times New Roman" w:cs="Times New Roman" w:eastAsia="Times New Roman" w:hAnsi="Times New Roman"/>
                <w:sz w:val="28"/>
                <w:szCs w:val="28"/>
                <w:color w:val="auto"/>
                <w:vertAlign w:val="superscript"/>
              </w:rPr>
              <w:t>(17)</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3,256</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r>
      <w:tr>
        <w:trPr>
          <w:trHeight w:val="243"/>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Itay Banayan</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Yair Seroussi</w:t>
            </w:r>
            <w:r>
              <w:rPr>
                <w:rFonts w:ascii="Times New Roman" w:cs="Times New Roman" w:eastAsia="Times New Roman" w:hAnsi="Times New Roman"/>
                <w:sz w:val="28"/>
                <w:szCs w:val="28"/>
                <w:color w:val="auto"/>
                <w:vertAlign w:val="superscript"/>
              </w:rPr>
              <w:t>(18)</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145,558</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r>
      <w:tr>
        <w:trPr>
          <w:trHeight w:val="243"/>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Liat Benyamini</w:t>
            </w:r>
            <w:r>
              <w:rPr>
                <w:rFonts w:ascii="Times New Roman" w:cs="Times New Roman" w:eastAsia="Times New Roman" w:hAnsi="Times New Roman"/>
                <w:sz w:val="28"/>
                <w:szCs w:val="28"/>
                <w:color w:val="auto"/>
                <w:vertAlign w:val="superscript"/>
              </w:rPr>
              <w:t>(19)</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1,704</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Yitzhak Betzalel</w:t>
            </w:r>
            <w:r>
              <w:rPr>
                <w:rFonts w:ascii="Times New Roman" w:cs="Times New Roman" w:eastAsia="Times New Roman" w:hAnsi="Times New Roman"/>
                <w:sz w:val="28"/>
                <w:szCs w:val="28"/>
                <w:color w:val="auto"/>
                <w:vertAlign w:val="superscript"/>
              </w:rPr>
              <w:t>(20)</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1,704</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r>
      <w:tr>
        <w:trPr>
          <w:trHeight w:val="243"/>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Alla Felder</w:t>
            </w:r>
            <w:r>
              <w:rPr>
                <w:rFonts w:ascii="Times New Roman" w:cs="Times New Roman" w:eastAsia="Times New Roman" w:hAnsi="Times New Roman"/>
                <w:sz w:val="28"/>
                <w:szCs w:val="28"/>
                <w:color w:val="auto"/>
                <w:vertAlign w:val="superscript"/>
              </w:rPr>
              <w:t>(21)</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1,704</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Zvi Furman</w:t>
            </w:r>
            <w:r>
              <w:rPr>
                <w:rFonts w:ascii="Times New Roman" w:cs="Times New Roman" w:eastAsia="Times New Roman" w:hAnsi="Times New Roman"/>
                <w:sz w:val="28"/>
                <w:szCs w:val="28"/>
                <w:color w:val="auto"/>
                <w:vertAlign w:val="superscript"/>
              </w:rPr>
              <w:t>(22)</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1,704</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r>
      <w:tr>
        <w:trPr>
          <w:trHeight w:val="243"/>
        </w:trPr>
        <w:tc>
          <w:tcPr>
            <w:tcW w:w="8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Michal Tzuk</w:t>
            </w:r>
            <w:r>
              <w:rPr>
                <w:rFonts w:ascii="Times New Roman" w:cs="Times New Roman" w:eastAsia="Times New Roman" w:hAnsi="Times New Roman"/>
                <w:sz w:val="28"/>
                <w:szCs w:val="28"/>
                <w:color w:val="auto"/>
                <w:vertAlign w:val="superscript"/>
              </w:rPr>
              <w:t>(23)</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1,704</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r>
      <w:tr>
        <w:trPr>
          <w:trHeight w:val="243"/>
        </w:trPr>
        <w:tc>
          <w:tcPr>
            <w:tcW w:w="840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Dr. Shai Weil</w:t>
            </w:r>
            <w:r>
              <w:rPr>
                <w:rFonts w:ascii="Times New Roman" w:cs="Times New Roman" w:eastAsia="Times New Roman" w:hAnsi="Times New Roman"/>
                <w:sz w:val="28"/>
                <w:szCs w:val="28"/>
                <w:color w:val="auto"/>
                <w:vertAlign w:val="superscript"/>
              </w:rPr>
              <w:t>(24)</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40,549.4</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r>
      <w:tr>
        <w:trPr>
          <w:trHeight w:val="243"/>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i w:val="1"/>
                <w:iCs w:val="1"/>
                <w:color w:val="auto"/>
              </w:rPr>
              <w:t>All executive officers and directors as a group (18 persons)</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3,652,349.4</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2.99%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ownership of less than 1%.</w:t>
      </w:r>
    </w:p>
    <w:p>
      <w:pPr>
        <w:spacing w:after="0" w:line="248" w:lineRule="exact"/>
        <w:rPr>
          <w:sz w:val="20"/>
          <w:szCs w:val="20"/>
          <w:color w:val="auto"/>
        </w:rPr>
      </w:pPr>
    </w:p>
    <w:p>
      <w:pPr>
        <w:jc w:val="both"/>
        <w:ind w:left="760" w:hanging="752"/>
        <w:spacing w:after="0" w:line="268"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Schedule 13G filed by Migdal Insurance and Financial Holdings Ltd. (“</w:t>
      </w:r>
      <w:r>
        <w:rPr>
          <w:rFonts w:ascii="Times New Roman" w:cs="Times New Roman" w:eastAsia="Times New Roman" w:hAnsi="Times New Roman"/>
          <w:sz w:val="18"/>
          <w:szCs w:val="18"/>
          <w:b w:val="1"/>
          <w:bCs w:val="1"/>
          <w:color w:val="auto"/>
        </w:rPr>
        <w:t>Migdal</w:t>
      </w:r>
      <w:r>
        <w:rPr>
          <w:rFonts w:ascii="Times New Roman" w:cs="Times New Roman" w:eastAsia="Times New Roman" w:hAnsi="Times New Roman"/>
          <w:sz w:val="18"/>
          <w:szCs w:val="18"/>
          <w:color w:val="auto"/>
        </w:rPr>
        <w:t>”) with the SEC on February 13, 2025, consists of 7,255,590 Ordinary Shares as of December 31,2024, beneficially owned by Migdal and entities under its control. The address of Migdal is 4 Efal Street, P.O. Box 3063, Petach Tikva, Israel.</w:t>
      </w:r>
    </w:p>
    <w:p>
      <w:pPr>
        <w:spacing w:after="0" w:line="174" w:lineRule="exact"/>
        <w:rPr>
          <w:rFonts w:ascii="Times New Roman" w:cs="Times New Roman" w:eastAsia="Times New Roman" w:hAnsi="Times New Roman"/>
          <w:sz w:val="18"/>
          <w:szCs w:val="18"/>
          <w:color w:val="auto"/>
        </w:rPr>
      </w:pPr>
    </w:p>
    <w:p>
      <w:pPr>
        <w:jc w:val="both"/>
        <w:ind w:left="760" w:hanging="752"/>
        <w:spacing w:after="0" w:line="261"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consists of 15,046,965.3 Ordinary Shares as of June 30, 2025, beneficially owned by Harel Insurance Investments &amp; Financial Services Ltd (“</w:t>
      </w:r>
      <w:r>
        <w:rPr>
          <w:rFonts w:ascii="Times New Roman" w:cs="Times New Roman" w:eastAsia="Times New Roman" w:hAnsi="Times New Roman"/>
          <w:sz w:val="18"/>
          <w:szCs w:val="18"/>
          <w:b w:val="1"/>
          <w:bCs w:val="1"/>
          <w:color w:val="auto"/>
        </w:rPr>
        <w:t>Harel</w:t>
      </w:r>
      <w:r>
        <w:rPr>
          <w:rFonts w:ascii="Times New Roman" w:cs="Times New Roman" w:eastAsia="Times New Roman" w:hAnsi="Times New Roman"/>
          <w:sz w:val="18"/>
          <w:szCs w:val="18"/>
          <w:color w:val="auto"/>
        </w:rPr>
        <w:t>”) and entities under its control. In addition, to the Company’s knowledge, Harel holds 6,901,158 units of Series C Debentures. To the Company’s knowledge, the ultimate controlling shareholders of Harel are Mr. Yair Hamburger, Mr. Gideon Hamburger and Ms. Nurit Manor. The address of Harel is Abba Hillel 3, Ramat Gan, Israel.</w:t>
      </w:r>
    </w:p>
    <w:p>
      <w:pPr>
        <w:spacing w:after="0" w:line="193"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consists of 11,795,026.78 Ordinary Shares as of June 30, 2025, beneficially owned by the Phoenix Financial Ltd. and entitles under its control (“</w:t>
      </w:r>
      <w:r>
        <w:rPr>
          <w:rFonts w:ascii="Times New Roman" w:cs="Times New Roman" w:eastAsia="Times New Roman" w:hAnsi="Times New Roman"/>
          <w:sz w:val="18"/>
          <w:szCs w:val="18"/>
          <w:b w:val="1"/>
          <w:bCs w:val="1"/>
          <w:color w:val="auto"/>
        </w:rPr>
        <w:t>Phoenix</w:t>
      </w:r>
      <w:r>
        <w:rPr>
          <w:rFonts w:ascii="Times New Roman" w:cs="Times New Roman" w:eastAsia="Times New Roman" w:hAnsi="Times New Roman"/>
          <w:sz w:val="18"/>
          <w:szCs w:val="18"/>
          <w:color w:val="auto"/>
        </w:rPr>
        <w:t>”). In addition, to the Company’s knowledge, Phoenix holds 70,375,443 units of Series C Debentures and 5,349,000 units of Series H Debentures. The address of Phoenix is Derech Hashalom 53, Givataim, 53454, Israel.</w:t>
      </w:r>
    </w:p>
    <w:p>
      <w:pPr>
        <w:spacing w:after="0" w:line="175" w:lineRule="exact"/>
        <w:rPr>
          <w:rFonts w:ascii="Times New Roman" w:cs="Times New Roman" w:eastAsia="Times New Roman" w:hAnsi="Times New Roman"/>
          <w:sz w:val="18"/>
          <w:szCs w:val="18"/>
          <w:color w:val="auto"/>
        </w:rPr>
      </w:pPr>
    </w:p>
    <w:p>
      <w:pPr>
        <w:ind w:left="760" w:right="20" w:hanging="752"/>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consists of 12,617,928 Ordinary Shares as of June 30, 2025, beneficially owned by Meitav Investment House Ltd. (“</w:t>
      </w:r>
      <w:r>
        <w:rPr>
          <w:rFonts w:ascii="Times New Roman" w:cs="Times New Roman" w:eastAsia="Times New Roman" w:hAnsi="Times New Roman"/>
          <w:sz w:val="18"/>
          <w:szCs w:val="18"/>
          <w:b w:val="1"/>
          <w:bCs w:val="1"/>
          <w:color w:val="auto"/>
        </w:rPr>
        <w:t>Meitav</w:t>
      </w:r>
      <w:r>
        <w:rPr>
          <w:rFonts w:ascii="Times New Roman" w:cs="Times New Roman" w:eastAsia="Times New Roman" w:hAnsi="Times New Roman"/>
          <w:sz w:val="18"/>
          <w:szCs w:val="18"/>
          <w:color w:val="auto"/>
        </w:rPr>
        <w:t>”) and entitles under its control. The address for Meitav is 1 Jabotinski, Bene-Beraq, Israel.</w:t>
      </w:r>
    </w:p>
    <w:p>
      <w:pPr>
        <w:sectPr>
          <w:pgSz w:w="11900" w:h="16838" w:orient="portrait"/>
          <w:cols w:equalWidth="0" w:num="1">
            <w:col w:w="11240"/>
          </w:cols>
          <w:pgMar w:left="320" w:top="117" w:right="339" w:bottom="1132" w:gutter="0" w:footer="0" w:header="0"/>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132" w:gutter="0" w:footer="0" w:header="0"/>
          <w:type w:val="continuous"/>
        </w:sectPr>
      </w:pPr>
    </w:p>
    <w:bookmarkStart w:id="13" w:name="page14"/>
    <w:bookmarkEnd w:id="13"/>
    <w:p>
      <w:pPr>
        <w:jc w:val="both"/>
        <w:ind w:left="760" w:hanging="752"/>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consists of 8,750,122.3 Ordinary Shares as of March 31, 2025, beneficially owned by Clal Insurance Enterprises Holdings Ltd. and entities under its control (“</w:t>
      </w:r>
      <w:r>
        <w:rPr>
          <w:rFonts w:ascii="Times New Roman" w:cs="Times New Roman" w:eastAsia="Times New Roman" w:hAnsi="Times New Roman"/>
          <w:sz w:val="18"/>
          <w:szCs w:val="18"/>
          <w:b w:val="1"/>
          <w:bCs w:val="1"/>
          <w:color w:val="auto"/>
        </w:rPr>
        <w:t>Clal</w:t>
      </w:r>
      <w:r>
        <w:rPr>
          <w:rFonts w:ascii="Times New Roman" w:cs="Times New Roman" w:eastAsia="Times New Roman" w:hAnsi="Times New Roman"/>
          <w:sz w:val="18"/>
          <w:szCs w:val="18"/>
          <w:color w:val="auto"/>
        </w:rPr>
        <w:t>”). In addition, to the Company’s knowledge, Clal holds 22,651,517 units of Series C Debentures and 48,630,000 units of Series H Debentures. The address for Clal is 36 Raul Walenberg St., Tel Aviv, Israel.</w:t>
      </w:r>
    </w:p>
    <w:p>
      <w:pPr>
        <w:spacing w:after="0" w:line="189"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consists of 8,413,962.7 Ordinary Shares as of June 30, 2025, beneficially owned by Menora Mivtachim Holdings Ltd. (“</w:t>
      </w:r>
      <w:r>
        <w:rPr>
          <w:rFonts w:ascii="Times New Roman" w:cs="Times New Roman" w:eastAsia="Times New Roman" w:hAnsi="Times New Roman"/>
          <w:sz w:val="18"/>
          <w:szCs w:val="18"/>
          <w:b w:val="1"/>
          <w:bCs w:val="1"/>
          <w:color w:val="auto"/>
        </w:rPr>
        <w:t>Menora</w:t>
      </w:r>
      <w:r>
        <w:rPr>
          <w:rFonts w:ascii="Times New Roman" w:cs="Times New Roman" w:eastAsia="Times New Roman" w:hAnsi="Times New Roman"/>
          <w:sz w:val="18"/>
          <w:szCs w:val="18"/>
          <w:color w:val="auto"/>
        </w:rPr>
        <w:t>”) and entitles under its control. In addition, to the Company’s knowledge, Menora holds 5,304,611 units of Series C Debentures and 12,000,000 units of Series H Debentures. The address of Menora is Menora House, 23 Jabotinsky St., Ramat Gan 5251102, Israel.</w:t>
      </w:r>
    </w:p>
    <w:p>
      <w:pPr>
        <w:spacing w:after="0" w:line="171" w:lineRule="exact"/>
        <w:rPr>
          <w:rFonts w:ascii="Times New Roman" w:cs="Times New Roman" w:eastAsia="Times New Roman" w:hAnsi="Times New Roman"/>
          <w:sz w:val="18"/>
          <w:szCs w:val="18"/>
          <w:color w:val="auto"/>
        </w:rPr>
      </w:pPr>
    </w:p>
    <w:p>
      <w:pPr>
        <w:jc w:val="both"/>
        <w:ind w:left="760" w:hanging="752"/>
        <w:spacing w:after="0" w:line="268"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Schedule 13G filed by Yelin Lapidot Holdings Management Ltd. (“</w:t>
      </w:r>
      <w:r>
        <w:rPr>
          <w:rFonts w:ascii="Times New Roman" w:cs="Times New Roman" w:eastAsia="Times New Roman" w:hAnsi="Times New Roman"/>
          <w:sz w:val="18"/>
          <w:szCs w:val="18"/>
          <w:b w:val="1"/>
          <w:bCs w:val="1"/>
          <w:color w:val="auto"/>
        </w:rPr>
        <w:t>Yelin Lapidot Holdings</w:t>
      </w:r>
      <w:r>
        <w:rPr>
          <w:rFonts w:ascii="Times New Roman" w:cs="Times New Roman" w:eastAsia="Times New Roman" w:hAnsi="Times New Roman"/>
          <w:sz w:val="18"/>
          <w:szCs w:val="18"/>
          <w:color w:val="auto"/>
        </w:rPr>
        <w:t>”) with the SEC on July 31, 2024, consists of 6,018,721 Ordinary Shares as of July 25, 2024 beneficially owned by Yelin Lapidot Holdings and entitles under its control as of July 25, 2024. The address of Yelin Lapidot Holdings is 50 Dizengoff St., Dizengoff Center, Gate 3, Top Tower, 13th floor, Tel Aviv 64332, Israel.</w:t>
      </w:r>
    </w:p>
    <w:p>
      <w:pPr>
        <w:spacing w:after="0" w:line="188" w:lineRule="exact"/>
        <w:rPr>
          <w:rFonts w:ascii="Times New Roman" w:cs="Times New Roman" w:eastAsia="Times New Roman" w:hAnsi="Times New Roman"/>
          <w:sz w:val="18"/>
          <w:szCs w:val="18"/>
          <w:color w:val="auto"/>
        </w:rPr>
      </w:pPr>
    </w:p>
    <w:p>
      <w:pPr>
        <w:ind w:left="760" w:right="20" w:hanging="752"/>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817,953 Ordinary Shares beneficially owned directly by Mr. Yavetz, and (ii) 809,272 Ordinary Shares subject to options held by Mr. Yavetz that are exercisable within 60 days of August 4, 2025.</w:t>
      </w:r>
    </w:p>
    <w:p>
      <w:pPr>
        <w:spacing w:after="0" w:line="17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6,945 Ordinary Shares beneficially owned directly by Mr. Yehuda, and (ii) 240,000 Ordinary Shares subject to options held by Mr. Yehuda that are exercisable within 60 days of August 4, 2025.</w:t>
      </w:r>
    </w:p>
    <w:p>
      <w:pPr>
        <w:spacing w:after="0" w:line="161" w:lineRule="exact"/>
        <w:rPr>
          <w:rFonts w:ascii="Times New Roman" w:cs="Times New Roman" w:eastAsia="Times New Roman" w:hAnsi="Times New Roman"/>
          <w:sz w:val="18"/>
          <w:szCs w:val="18"/>
          <w:color w:val="auto"/>
        </w:rPr>
      </w:pPr>
    </w:p>
    <w:p>
      <w:pPr>
        <w:ind w:left="760" w:right="20" w:hanging="752"/>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478,607 Ordinary Shares beneficially owned directly by Mr. Paz, and (ii) 220,000 Ordinary Shares subject to options held by Mr. Paz that are exercisable within 60 days of August 4, 2025.</w:t>
      </w:r>
    </w:p>
    <w:p>
      <w:pPr>
        <w:spacing w:after="0" w:line="17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4,741 Ordinary Shares beneficially owned directly by Mr. Goren and (ii) 385,000 Ordinary Shares subject to options held by Mr. Goren that are exercisable within 60 days of August 4, 2025.</w:t>
      </w:r>
    </w:p>
    <w:p>
      <w:pPr>
        <w:spacing w:after="0" w:line="175" w:lineRule="exact"/>
        <w:rPr>
          <w:rFonts w:ascii="Times New Roman" w:cs="Times New Roman" w:eastAsia="Times New Roman" w:hAnsi="Times New Roman"/>
          <w:sz w:val="18"/>
          <w:szCs w:val="18"/>
          <w:color w:val="auto"/>
        </w:rPr>
      </w:pPr>
    </w:p>
    <w:p>
      <w:pPr>
        <w:ind w:left="760" w:right="20" w:hanging="752"/>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6,401 Ordinary Shares beneficially owned directly by Mr.Liposcak and (ii) 60,000 Ordinary Shares subject to options held by Mr. Liposcak that are exercisable within 60 days of August 4, 2025.</w:t>
      </w:r>
    </w:p>
    <w:p>
      <w:pPr>
        <w:spacing w:after="0" w:line="161" w:lineRule="exact"/>
        <w:rPr>
          <w:rFonts w:ascii="Times New Roman" w:cs="Times New Roman" w:eastAsia="Times New Roman" w:hAnsi="Times New Roman"/>
          <w:sz w:val="18"/>
          <w:szCs w:val="18"/>
          <w:color w:val="auto"/>
        </w:rPr>
      </w:pPr>
    </w:p>
    <w:p>
      <w:pPr>
        <w:ind w:left="760" w:right="20" w:hanging="752"/>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6,313 Ordinary Shares beneficially owned directly by Mr. Peled and (ii) 45,000 Ordinary Shares subject to options held by Mr. Peled that are exercisable within 60 days of August 4, 2025.</w:t>
      </w:r>
    </w:p>
    <w:p>
      <w:pPr>
        <w:spacing w:after="0" w:line="175" w:lineRule="exact"/>
        <w:rPr>
          <w:rFonts w:ascii="Times New Roman" w:cs="Times New Roman" w:eastAsia="Times New Roman" w:hAnsi="Times New Roman"/>
          <w:sz w:val="18"/>
          <w:szCs w:val="18"/>
          <w:color w:val="auto"/>
        </w:rPr>
      </w:pPr>
    </w:p>
    <w:p>
      <w:pPr>
        <w:ind w:left="760" w:hanging="752"/>
        <w:spacing w:after="0" w:line="297"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9,696 RSUs held by Mr. Shor that vest within 60 days of August 4, 2025 and (ii) 34,342 Ordinary Shares subject to options held by Mr. Shor that are exercisable within 60 days of August 4, 2025.</w:t>
      </w:r>
    </w:p>
    <w:p>
      <w:pPr>
        <w:spacing w:after="0" w:line="162"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5,682 Ordinary Shares beneficially owned directly by Mr. Carr and (ii) 221,258 Ordinary Shares subject to options held by Mr. Carr that are exercisable within 60 days of August 4, 2025.</w:t>
      </w:r>
    </w:p>
    <w:p>
      <w:pPr>
        <w:spacing w:after="0" w:line="161" w:lineRule="exact"/>
        <w:rPr>
          <w:rFonts w:ascii="Times New Roman" w:cs="Times New Roman" w:eastAsia="Times New Roman" w:hAnsi="Times New Roman"/>
          <w:sz w:val="18"/>
          <w:szCs w:val="18"/>
          <w:color w:val="auto"/>
        </w:rPr>
      </w:pPr>
    </w:p>
    <w:p>
      <w:pPr>
        <w:ind w:left="760" w:right="20" w:hanging="752"/>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3,256 Ordinary Shares beneficially owned directly by Ms. Cohen Israeli and (ii) 100,000 Ordinary Shares subject to options held by Ms. Cohen Israeli that are exercisable within 60 days of August 4, 2025.</w:t>
      </w:r>
    </w:p>
    <w:p>
      <w:pPr>
        <w:spacing w:after="0" w:line="175"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3,256 Ordinary Shares beneficially owned directly by Ms. Haimovitz.</w:t>
      </w:r>
    </w:p>
    <w:p>
      <w:pPr>
        <w:spacing w:after="0" w:line="238" w:lineRule="exact"/>
        <w:rPr>
          <w:rFonts w:ascii="Times New Roman" w:cs="Times New Roman" w:eastAsia="Times New Roman" w:hAnsi="Times New Roman"/>
          <w:sz w:val="18"/>
          <w:szCs w:val="18"/>
          <w:color w:val="auto"/>
        </w:rPr>
      </w:pPr>
    </w:p>
    <w:p>
      <w:pPr>
        <w:ind w:left="760" w:right="20" w:hanging="752"/>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3,558 Ordinary Shares beneficially owned directly by Mr.Seroussi and (ii) 142,000 Ordinary Shares subject to options held by Mr. Seroussi that are exercisable within 60 days of August 4, 2025.</w:t>
      </w:r>
    </w:p>
    <w:p>
      <w:pPr>
        <w:spacing w:after="0" w:line="16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1,704 Ordinary Shares beneficially owned directly by Ms. Benyamini.</w:t>
      </w:r>
    </w:p>
    <w:p>
      <w:pPr>
        <w:spacing w:after="0" w:line="238"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1,704 Ordinary Shares beneficially owned directly by Mr.Betzalel.</w:t>
      </w:r>
    </w:p>
    <w:p>
      <w:pPr>
        <w:spacing w:after="0" w:line="238"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1,704 Ordinary Shares beneficially owned directly by Ms. Felder.</w:t>
      </w:r>
    </w:p>
    <w:p>
      <w:pPr>
        <w:spacing w:after="0" w:line="225"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1,704 Ordinary Shares beneficially owned directly by Mr. Furman.</w:t>
      </w:r>
    </w:p>
    <w:p>
      <w:pPr>
        <w:spacing w:after="0" w:line="238"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1,704 Ordinary Shares beneficially owned directly by Ms. Tzuk.</w:t>
      </w:r>
    </w:p>
    <w:p>
      <w:pPr>
        <w:spacing w:after="0" w:line="22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40,549.4 Ordinary Shares beneficially owned directly by Dr. Weil. Not included as beneficially owned by Dr. Weil are 801,304 Ordinary Shares owned directly by Givon Investments Partnership (GAAS), which is controlled by the Weil family of which Dr. Weil is a part.</w:t>
      </w:r>
    </w:p>
    <w:p>
      <w:pPr>
        <w:spacing w:after="0" w:line="171" w:lineRule="exact"/>
        <w:rPr>
          <w:sz w:val="20"/>
          <w:szCs w:val="20"/>
          <w:color w:val="auto"/>
        </w:rPr>
      </w:pPr>
    </w:p>
    <w:p>
      <w:pPr>
        <w:ind w:firstLine="648"/>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UNANIMOUSLY RECOMMENDS THAT YOU VOTE </w:t>
      </w: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color w:val="auto"/>
        </w:rPr>
        <w:t xml:space="preserve"> EACH OF THE FOLLOWING PROPOSALS.</w:t>
      </w:r>
    </w:p>
    <w:p>
      <w:pPr>
        <w:spacing w:after="0" w:line="158"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Except as specifically provided herein, the lack of a required majority for the adoption of any resolution presented shall not affect the adoption of any other resolutions for which the required majority was obtained.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 should carefully read this entire Proxy Statement, including the documents referred to in this Proxy Statement.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APPOINTMENT OF AUDITORS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General Meeting, shareholders will be asked to approve the re-appointment of Somekh Chaikin, a member firm of KPMG International, as the Company’s independent registered public accounting firm for the year ending December 31, 2025, and until the next annual general meeting of shareholders, and to authorize the Company’s Board of Directors, following the approval of the Audit Committee, to approve and ratify the remuneration of such firm in accordance with the volume and nature of their services. Somekh Chaikin has no relationship with the Company or with any affiliate of the Company except to provide audit services and tax consulting services.</w:t>
      </w:r>
    </w:p>
    <w:p>
      <w:pPr>
        <w:spacing w:after="0" w:line="20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out the total amount paid by the Company to Somekh Chaikin for services performed in the years ended December 31, 2023 and 2024, and breaks down these amounts by category of service: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256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86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8680" w:type="dxa"/>
            <w:vAlign w:val="bottom"/>
          </w:tcPr>
          <w:p>
            <w:pPr>
              <w:spacing w:after="0"/>
              <w:rPr>
                <w:sz w:val="19"/>
                <w:szCs w:val="19"/>
                <w:color w:val="auto"/>
              </w:rPr>
            </w:pPr>
          </w:p>
        </w:tc>
        <w:tc>
          <w:tcPr>
            <w:tcW w:w="112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(in</w:t>
            </w:r>
          </w:p>
        </w:tc>
        <w:tc>
          <w:tcPr>
            <w:tcW w:w="10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w w:val="75"/>
              </w:rPr>
              <w:t>thousands)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b w:val="1"/>
                <w:bCs w:val="1"/>
                <w:color w:val="auto"/>
              </w:rPr>
              <w:t>Audit Fees</w:t>
            </w:r>
            <w:r>
              <w:rPr>
                <w:rFonts w:ascii="Times New Roman" w:cs="Times New Roman" w:eastAsia="Times New Roman" w:hAnsi="Times New Roman"/>
                <w:sz w:val="26"/>
                <w:szCs w:val="26"/>
                <w:color w:val="auto"/>
                <w:vertAlign w:val="superscript"/>
              </w:rPr>
              <w:t>(1)</w:t>
            </w:r>
          </w:p>
        </w:tc>
        <w:tc>
          <w:tcPr>
            <w:tcW w:w="8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861</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615</w:t>
            </w:r>
          </w:p>
        </w:tc>
      </w:tr>
      <w:tr>
        <w:trPr>
          <w:trHeight w:val="229"/>
        </w:trPr>
        <w:tc>
          <w:tcPr>
            <w:tcW w:w="8680" w:type="dxa"/>
            <w:vAlign w:val="bottom"/>
          </w:tcPr>
          <w:p>
            <w:pPr>
              <w:spacing w:after="0" w:line="230" w:lineRule="exact"/>
              <w:rPr>
                <w:sz w:val="20"/>
                <w:szCs w:val="20"/>
                <w:color w:val="auto"/>
              </w:rPr>
            </w:pPr>
            <w:r>
              <w:rPr>
                <w:rFonts w:ascii="Times New Roman" w:cs="Times New Roman" w:eastAsia="Times New Roman" w:hAnsi="Times New Roman"/>
                <w:sz w:val="16"/>
                <w:szCs w:val="16"/>
                <w:b w:val="1"/>
                <w:bCs w:val="1"/>
                <w:color w:val="auto"/>
              </w:rPr>
              <w:t>Tax Fees</w:t>
            </w:r>
            <w:r>
              <w:rPr>
                <w:rFonts w:ascii="Times New Roman" w:cs="Times New Roman" w:eastAsia="Times New Roman" w:hAnsi="Times New Roman"/>
                <w:sz w:val="26"/>
                <w:szCs w:val="26"/>
                <w:color w:val="auto"/>
                <w:vertAlign w:val="superscript"/>
              </w:rPr>
              <w:t>(2)</w:t>
            </w:r>
          </w:p>
        </w:tc>
        <w:tc>
          <w:tcPr>
            <w:tcW w:w="800" w:type="dxa"/>
            <w:vAlign w:val="bottom"/>
          </w:tcPr>
          <w:p>
            <w:pPr>
              <w:spacing w:after="0"/>
              <w:rPr>
                <w:sz w:val="19"/>
                <w:szCs w:val="19"/>
                <w:color w:val="auto"/>
              </w:rPr>
            </w:pP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128</w:t>
            </w:r>
          </w:p>
        </w:tc>
        <w:tc>
          <w:tcPr>
            <w:tcW w:w="80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989</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r>
    </w:tbl>
    <w:p>
      <w:pPr>
        <w:spacing w:after="0" w:line="198" w:lineRule="exact"/>
        <w:rPr>
          <w:sz w:val="20"/>
          <w:szCs w:val="20"/>
          <w:color w:val="auto"/>
        </w:rPr>
      </w:pPr>
    </w:p>
    <w:p>
      <w:pPr>
        <w:jc w:val="both"/>
        <w:ind w:left="380" w:hanging="318"/>
        <w:spacing w:after="0" w:line="261"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for the years ended December 31, 2024 and 2023 consisted of fees for professional services provided in connection with the audit of our annual consolidated financial statements and audit services that are normally provided by an independent registered public accounting firm in connection with statutory and regulatory filings or engagements for these years. For the year ending December 31, 2024, our auditors performed, for the first time, an integrated audit of our financial statement and our internal controls as required under the Sarbanes-Oxley Act.</w:t>
      </w:r>
    </w:p>
    <w:p>
      <w:pPr>
        <w:spacing w:after="0" w:line="193" w:lineRule="exact"/>
        <w:rPr>
          <w:rFonts w:ascii="Times New Roman" w:cs="Times New Roman" w:eastAsia="Times New Roman" w:hAnsi="Times New Roman"/>
          <w:sz w:val="18"/>
          <w:szCs w:val="18"/>
          <w:color w:val="auto"/>
        </w:rPr>
      </w:pPr>
    </w:p>
    <w:p>
      <w:pPr>
        <w:ind w:left="380" w:hanging="318"/>
        <w:spacing w:after="0" w:line="282"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for the years ended December 31, 2024 and 2023 refer to professional services rendered by our auditors, which include ongoing tax advisory, tax compliance and tax consulting associated with transfer pricing.</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advance approval of the audit committee or members thereof, to whom approval authority has been delegated, is required for all audit and non-audit services provided by the Company’s auditors.</w:t>
      </w:r>
    </w:p>
    <w:p>
      <w:pPr>
        <w:spacing w:after="0" w:line="175"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The audit committee has adopted a pre-approval policy with respect to services provided by the Company’s auditors, and all such services are approved in advance by either the audit committee or members thereof, to whom authority has been delegated, in accordance with such policy.</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proposed that at the General Meeting, the following resolution be adopted:</w:t>
      </w:r>
    </w:p>
    <w:p>
      <w:pPr>
        <w:spacing w:after="0" w:line="248" w:lineRule="exact"/>
        <w:rPr>
          <w:sz w:val="20"/>
          <w:szCs w:val="20"/>
          <w:color w:val="auto"/>
        </w:rPr>
      </w:pPr>
    </w:p>
    <w:p>
      <w:pPr>
        <w:jc w:val="both"/>
        <w:ind w:left="660" w:right="54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RESOLVED, to approve the re-appointment of Somekh Chaikin, a member firm of KPMG International, as the Company’s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independent registered public accounting firm for the year ending December 31, 2025, and until the next annual general meeting of shareholders, and to authorize the Company’s Board of Directors, following the approval of the Audit Committee, to approve and ratify the remuneration of such firm in accordance with the volume and nature of their services.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 w:firstLine="648"/>
        <w:spacing w:after="0" w:line="297" w:lineRule="auto"/>
        <w:rPr>
          <w:sz w:val="20"/>
          <w:szCs w:val="20"/>
          <w:color w:val="auto"/>
        </w:rPr>
      </w:pPr>
      <w:r>
        <w:rPr>
          <w:rFonts w:ascii="Times New Roman" w:cs="Times New Roman" w:eastAsia="Times New Roman" w:hAnsi="Times New Roman"/>
          <w:sz w:val="18"/>
          <w:szCs w:val="18"/>
          <w:color w:val="auto"/>
        </w:rPr>
        <w:t>The affirmative vote of at least a majority of the voting power represented at the General Meeting, in person or by proxy and voting thereon, is required to adopt this resolution.</w:t>
      </w:r>
    </w:p>
    <w:p>
      <w:pPr>
        <w:spacing w:after="0" w:line="159" w:lineRule="exact"/>
        <w:rPr>
          <w:sz w:val="20"/>
          <w:szCs w:val="20"/>
          <w:color w:val="auto"/>
        </w:rPr>
      </w:pPr>
    </w:p>
    <w:p>
      <w:pPr>
        <w:ind w:firstLine="648"/>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THE COMPANY’S AUDIT COMMITTEE AND THE BOARD OF DIRECTORS UNANIMOUSLY RECOMMEND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APPROVAL OF THIS RESOLUTION.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5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According to the Company’s Articles, the number of Company directors must not be less than five (5) and shall not exceed thirteen (13) members. The term of office of the directors expires at each annual general meeting, provided that their respective replacement has been duly elected or appointed. At each annual general meeting the then-serving directors may be re-nominated to serve an additional one-year term that expires at the annual general meeting held in the year following such election, provided that their respective replacement has been duly elected or appointed.</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term of office of each of the current directors of the Company expires at the General Meeting. Therefore, at the General Meeting, shareholders will be asked to elect Mr. Gilad Yavetz, Mr. Yair Seroussi, Ms. Liat Benyamini, Ms. Michal Tzuk, Ms. Alla Felder, Dr. Shai Weil, Mr. Yitzhak Betzalel and Mr. Zvi Furman. The Board of Directors has recommended and approved that the foregoing individuals be nominated for election at the General Meeting. If elected at the General Meeting, Mr. Yavetz, Mr. Seroussi, Ms. Benyamini, Ms. Tzuk, Ms. Felder, Dr. Weil, Mr. Betzalel and Mr. Furman will each serve until the 2026 annual general meeting of shareholders, and until his or her respective successor has been duly elected or appointed, or until his or her office has been vacated in accordance with applicable law or the Articles. The Company is not aware of any reason why any of the nominees, if elected, would be unable or unwilling to serve as a director.</w:t>
      </w:r>
    </w:p>
    <w:p>
      <w:pPr>
        <w:spacing w:after="0" w:line="19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Each of Mr. Gilad Yavetz, Mr. Yair Seroussi, Ms. Liat Benyamini, Ms. Michal Tzuk, Ms. Alla Felder, Dr. Shai Weil, Mr. Yitzhak Betzalel and Mr. Zvi Furman has attested to the Board of Directors and to the Company that he or she, as applicable, meets all the requirements in connection with the election of directors under the Companies Law. In addition, the Board of Directors has determined that each of the nominees qualifies as an independent director under the applicable requirements of Nasdaq and the relevant rules of the SEC, except Mr. Gilad Yavetz who is not independent by virtue of being the Company’s chief executive officer.</w:t>
      </w:r>
    </w:p>
    <w:p>
      <w:pPr>
        <w:spacing w:after="0" w:line="18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Since the last annual general meeting of shareholders in 2024, each director nominated for election has attended at least 95% of the meetings of the Board and the respective Board committees on which he or she served during such time (with the majority of our incumbent directors attending 100% of the meetings).</w:t>
      </w:r>
    </w:p>
    <w:p>
      <w:pPr>
        <w:spacing w:after="0" w:line="19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Mr. Seroussi is required to dedicate the equivalent of 40% of the time required by a full-time position to his role as Chairman of our Board of Directors.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Compensation of the Directors</w:t>
      </w:r>
    </w:p>
    <w:p>
      <w:pPr>
        <w:spacing w:after="0" w:line="24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Each of our other non-employee directors (excluding the Chairman of our Board of Directors, Mr. Seroussi) receives an annual cash retainer of up to NIS 103,114 (or approximately $30,292 based on the New Israeli Shekel to United States Dollar exchange rate of NIS 3.404 to USD 1.0 published by the Bank of Israel on August 4, 2025 (the “</w:t>
      </w:r>
      <w:r>
        <w:rPr>
          <w:rFonts w:ascii="Times New Roman" w:cs="Times New Roman" w:eastAsia="Times New Roman" w:hAnsi="Times New Roman"/>
          <w:sz w:val="18"/>
          <w:szCs w:val="18"/>
          <w:b w:val="1"/>
          <w:bCs w:val="1"/>
          <w:color w:val="auto"/>
        </w:rPr>
        <w:t>NIS to USD Exchange Rate</w:t>
      </w:r>
      <w:r>
        <w:rPr>
          <w:rFonts w:ascii="Times New Roman" w:cs="Times New Roman" w:eastAsia="Times New Roman" w:hAnsi="Times New Roman"/>
          <w:sz w:val="18"/>
          <w:szCs w:val="18"/>
          <w:color w:val="auto"/>
        </w:rPr>
        <w:t>”)) with an additional payment for service on the Board and its committees of NIS 3,835 (or approximately $1,127 based on the NIS to USD Exchange Rate) per meeting.</w:t>
      </w:r>
    </w:p>
    <w:p>
      <w:pPr>
        <w:spacing w:after="0" w:line="18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The Chairman of our Board of Directors, Mr. Seroussi. receives an annual cash payment of NIS 600,000 (or approximately $176,263 based on the NIS to USD Exchange Rate). In addition to an earlier option grant, in August 2021 our shareholders approved a grant to Mr. Seroussi of 142,000 options with an exercise price of NIS 71.89 each and vesting over a period of four years.</w:t>
      </w:r>
    </w:p>
    <w:p>
      <w:pPr>
        <w:spacing w:after="0" w:line="173"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color w:val="auto"/>
        </w:rPr>
        <w:t>In April 2024, our shareholders approved a grant of 14,233 restricted share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to Mr. Seroussi and 5,112 RSUs to each of our other non-employee directors. Such RSUs will automatically convert into an equal number of ordinary shares of the Company upon vesting. The RSUs granted to Mr. Seroussi will vest in four equal annual installments of 25% each. The RSUs granted to the other non-employee directors will vest in three equal annual installments of 33 1/3% each.</w:t>
      </w:r>
    </w:p>
    <w:p>
      <w:pPr>
        <w:spacing w:after="0" w:line="18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addition, each non-employee director (including Mr. Seroussi) benefit from coverage under the Company’s directors and officers liability insurance policies and from a letter of indemnification provided to such directors by the Company.</w:t>
      </w:r>
    </w:p>
    <w:p>
      <w:pPr>
        <w:spacing w:after="0" w:line="16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Mr. Yavetz, our Chief Executive Officer, currently receives no additional compensation as a result of his membership on our Board of Directors. For information concerning the salary expenses and social benefit costs of the Company’s five highest compensated executive officers, including Mr. Yavetz, for the year ended December 31, 2024, see Item 6.B. of the Company’s Annual Report. In addition, in April 2024 shareholders approved a grant of RSUs to Mr. Yavetz and an amendment to his terms of engagement, a summary of which is provided in the Company’s proxy statement filed with the SEC on March 1, 2024 and amended on March 28, 2024 and April 8, 2024.</w:t>
      </w:r>
    </w:p>
    <w:p>
      <w:pPr>
        <w:spacing w:after="0" w:line="18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If re-elected to the Board of Directors and Proposals 5 and 6 of this Proxy Statement are approved by the shareholders, Mr. Yavetz and Mr. Seroussi, our newly appointed Executive Chairman and Vice Chairman, respectively, will be entitled to the compensation described in such proposals, as applicable.</w:t>
      </w:r>
    </w:p>
    <w:p>
      <w:pPr>
        <w:sectPr>
          <w:pgSz w:w="11900" w:h="16838" w:orient="portrait"/>
          <w:cols w:equalWidth="0" w:num="1">
            <w:col w:w="11240"/>
          </w:cols>
          <w:pgMar w:left="320" w:top="117"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b w:val="1"/>
          <w:bCs w:val="1"/>
          <w:color w:val="auto"/>
        </w:rPr>
        <w:t>Background of the Directors</w:t>
      </w:r>
    </w:p>
    <w:p>
      <w:pPr>
        <w:spacing w:after="0" w:line="24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nominees to serve on the Board of Directors are below and the following information with respect to the nominees is supplied based upon the information furnished to the Company by the nominees as of the date of this Proxy Statement:</w:t>
      </w:r>
    </w:p>
    <w:p>
      <w:pPr>
        <w:spacing w:after="0" w:line="159" w:lineRule="exact"/>
        <w:rPr>
          <w:sz w:val="20"/>
          <w:szCs w:val="20"/>
          <w:color w:val="auto"/>
        </w:rPr>
      </w:pPr>
    </w:p>
    <w:tbl>
      <w:tblPr>
        <w:tblLayout w:type="fixed"/>
        <w:tblInd w:w="660" w:type="dxa"/>
        <w:tblCellMar>
          <w:top w:w="0" w:type="dxa"/>
          <w:left w:w="0" w:type="dxa"/>
          <w:bottom w:w="0" w:type="dxa"/>
          <w:right w:w="0" w:type="dxa"/>
        </w:tblCellMar>
      </w:tblPr>
      <w:tr>
        <w:trPr>
          <w:trHeight w:val="245"/>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Age</w:t>
            </w:r>
          </w:p>
        </w:tc>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3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Gilad Yavetz</w:t>
            </w:r>
          </w:p>
        </w:tc>
        <w:tc>
          <w:tcPr>
            <w:tcW w:w="1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54</w:t>
            </w:r>
          </w:p>
        </w:tc>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Director and Chief Executive Officer</w:t>
            </w:r>
          </w:p>
        </w:tc>
      </w:tr>
      <w:tr>
        <w:trPr>
          <w:trHeight w:val="229"/>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Yair Seroussi</w:t>
            </w:r>
          </w:p>
        </w:tc>
        <w:tc>
          <w:tcPr>
            <w:tcW w:w="1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69</w:t>
            </w:r>
          </w:p>
        </w:tc>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30"/>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Liat Benyamini</w:t>
            </w:r>
          </w:p>
        </w:tc>
        <w:tc>
          <w:tcPr>
            <w:tcW w:w="1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48</w:t>
            </w:r>
          </w:p>
        </w:tc>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Michal Tzuk</w:t>
            </w:r>
          </w:p>
        </w:tc>
        <w:tc>
          <w:tcPr>
            <w:tcW w:w="1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49</w:t>
            </w:r>
          </w:p>
        </w:tc>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Alla Felder</w:t>
            </w:r>
          </w:p>
        </w:tc>
        <w:tc>
          <w:tcPr>
            <w:tcW w:w="1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52</w:t>
            </w:r>
          </w:p>
        </w:tc>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Dr. Shai Weil</w:t>
            </w:r>
          </w:p>
        </w:tc>
        <w:tc>
          <w:tcPr>
            <w:tcW w:w="1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55</w:t>
            </w:r>
          </w:p>
        </w:tc>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Yitzhak Betzalel</w:t>
            </w:r>
          </w:p>
        </w:tc>
        <w:tc>
          <w:tcPr>
            <w:tcW w:w="1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59</w:t>
            </w:r>
          </w:p>
        </w:tc>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Zvi Furman</w:t>
            </w:r>
          </w:p>
        </w:tc>
        <w:tc>
          <w:tcPr>
            <w:tcW w:w="1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76</w:t>
            </w:r>
          </w:p>
        </w:tc>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Gilad Yavetz </w:t>
      </w:r>
      <w:r>
        <w:rPr>
          <w:rFonts w:ascii="Times New Roman" w:cs="Times New Roman" w:eastAsia="Times New Roman" w:hAnsi="Times New Roman"/>
          <w:sz w:val="18"/>
          <w:szCs w:val="18"/>
          <w:color w:val="auto"/>
        </w:rPr>
        <w:t>is Enlight’s co-founder and Chief Executive Officer since its inception in 2008. Mr. Yavetz was appointed full-time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Chairman of the Board of Directors, effective October 2025. Prior to the establishment of Enlight, Mr. Yavetz served as a VP Marketing and Sales of BVR Systems (1998), a leading high-tech company that develops and provides real-time simulation and training systems to leading armies worldwide, and which was acquired by Elbit Systems Ltd. in 2008. Mr. Yavetz holds an MBA from the Executive Program at Tel Aviv University and an LLB from the Hebrew University of Jerusalem.</w:t>
      </w:r>
    </w:p>
    <w:p>
      <w:pPr>
        <w:spacing w:after="0" w:line="181"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Yair Seroussi </w:t>
      </w:r>
      <w:r>
        <w:rPr>
          <w:rFonts w:ascii="Times New Roman" w:cs="Times New Roman" w:eastAsia="Times New Roman" w:hAnsi="Times New Roman"/>
          <w:sz w:val="18"/>
          <w:szCs w:val="18"/>
          <w:color w:val="auto"/>
        </w:rPr>
        <w:t>has served as the Chairman of the Board of Directors since May 2018, and was appointed Vice Chairman of the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October 2025. Mr. Seroussi serves as the chairman of ZIM Integrated Shipping Services Ltd. (NYSE: ZIM), a global shipping operator. He is currently on the board of directors of Mediterranean Towers Ltd. (TLV: MDTR), and Stratasys Ltd. (NASDAQ: SSYS). He is also chairman of Tovanot B’Hinuch (a non-profit organization), and was previously the chairman of Prytek, a technology group, as well as a board member of DSP Group, Inc. Mr. Seroussi brings immense experience to the board room, having served as chairman of Bank Hapoalim, one of Israel’s largest banks, and of the Association of Banks in Israel, and having led Morgan Stanley’s Israeli operations for over 15 years. In addition to his various professional roles, Mr. Seroussi sits on the Board of Governors at the Hebrew University, Weizmann Institute and the Shenkar College of Engineering, Design and Art, and he acts as chairman of the Eli Hurvitz Institute of Strategic Management at the Tel Aviv University. Mr. Seroussi holds a B.A. in Economics and Political Science from the Hebrew University in Jerusalem.</w:t>
      </w:r>
    </w:p>
    <w:p>
      <w:pPr>
        <w:spacing w:after="0" w:line="19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Liat Benyamini </w:t>
      </w:r>
      <w:r>
        <w:rPr>
          <w:rFonts w:ascii="Times New Roman" w:cs="Times New Roman" w:eastAsia="Times New Roman" w:hAnsi="Times New Roman"/>
          <w:sz w:val="18"/>
          <w:szCs w:val="18"/>
          <w:color w:val="auto"/>
        </w:rPr>
        <w:t>has served as a member of the Board of Directors since April 2021. Ms. Benyamini has served as a director in numerous private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public companies. Ms. Benyamini serves as a partner in Sky Private Equity, one of Israel’s largest mid-market private equity funds. Her current board roles include Elspec Engineering Ltd. (TLV: ELSPC). Ms. Benyamini is a Certified Public Accountant. She holds an M.A. in Contemporary Asian Studies and a B.A. degree in Accounting, Statistics and Operations Research, both from Tel Aviv University.</w:t>
      </w:r>
    </w:p>
    <w:p>
      <w:pPr>
        <w:spacing w:after="0" w:line="19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Michal Tzuk </w:t>
      </w:r>
      <w:r>
        <w:rPr>
          <w:rFonts w:ascii="Times New Roman" w:cs="Times New Roman" w:eastAsia="Times New Roman" w:hAnsi="Times New Roman"/>
          <w:sz w:val="18"/>
          <w:szCs w:val="18"/>
          <w:color w:val="auto"/>
        </w:rPr>
        <w:t>has served as a member of the Board of Directors since April 2021. Ms. Tzuk has served as the Chief Business Development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Danel (Adir Yeoshua) Ltd. (TLV: DANE), a company that operates in human resources, nursing, special needs and medicine, since June 2019. Prior to that she served as Senior Deputy Director General and Director of Employment Regulation at (1) the Israeli Ministry of Economy and Industry (f/k/a the Ministry of Industry, Trade and Labor and the Ministry of Economy) from February 2012 to July 2016 and (2) the Israeli Ministry of Labor, Social Affairs and Social Services from August 2016 to January 2018. Ms. Tzuk was previously the Economic Assistant to the Chief Executive Officer of the Tel Aviv Sourasky Medical Center (Ichilov) and held various roles in the budget division of the Israeli Ministry of Finance. Ms. Tzuk currently serves on the board of directors of M.L. Manor Medical Group - Company for Treatment and Surgeries in Israel Ltd. and is a member of the Wexner Foundation’s Israeli advisory committee and the public council and the finance committee of Sam Spiegel Jerusalem Film &amp; Television School. She previously served on the board of directors of Future Mobility Israel Ltd. and on various boards of directors and committees of other companies and organizations. Ms. Tzuk holds an LL.B in Law and Economics and an M.B.A both from the Hebrew University of Jerusalem. Ms. Tzuk also graduated from the Wexner Senior Leadership program at the Harvard Kennedy School (Center for Public Leadership, Executive Education, Harvard University).</w:t>
      </w:r>
    </w:p>
    <w:p>
      <w:pPr>
        <w:spacing w:after="0" w:line="20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Alla Felder </w:t>
      </w:r>
      <w:r>
        <w:rPr>
          <w:rFonts w:ascii="Times New Roman" w:cs="Times New Roman" w:eastAsia="Times New Roman" w:hAnsi="Times New Roman"/>
          <w:sz w:val="18"/>
          <w:szCs w:val="18"/>
          <w:color w:val="auto"/>
        </w:rPr>
        <w:t>has served as a member of the Board of Directors since July 2023. Ms. Felder has been serving as the Chief Financial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Weebit Nano Ltd. (ASX: WBT) since 2016. Ms. Felder serves on the boards, including the audit and compensation committees, of several publicly listed companies across several industries, including Ashtrom Properties Ltd. (TASE: ASHG), Israel Shipyards Ltd. (TASE: ISHI), Photomyne Ltd. (TASE: PHTM) and IdoMoo Ltd. (TASE: IDMO). Ms. Felder was a senior manager at PricewaterhouseCoopers and received a B.A. in Business Administration and Accounting from the College of Management Academic Studies Division in Rishon Lezion, Israel and an Executive Master’s degree in the Science of Finance from the City University of New York. Ms. Felder is a Certified Public Accountant in Israel.</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both"/>
        <w:ind w:firstLine="648"/>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Shai Weil </w:t>
      </w:r>
      <w:r>
        <w:rPr>
          <w:rFonts w:ascii="Times New Roman" w:cs="Times New Roman" w:eastAsia="Times New Roman" w:hAnsi="Times New Roman"/>
          <w:sz w:val="18"/>
          <w:szCs w:val="18"/>
          <w:color w:val="auto"/>
        </w:rPr>
        <w:t>has served as a member of the Board of Directors since November 2009. Dr. Weil is an executive and a partner in various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companies in the fields of industrial, technology, real estate, trade and services, including Milgam Ltd. (Group), Pango, AllCloud (Group), Minrav Group Ltd. (TLV: MNRV), Essence Partners, Har Tuv Group, Lumen Capital and the Israel Post Company. Dr. Weil serves as the chairman at Har Tuv Group, Lumen Capital, Essence Partners and Minrav Group Ltd. He is a member of the boards of Aluma (a non-profit organization) and JGIVE (a non-profit organization dedicated to cultivating a culture of philanthropy in Israel). Dr. Weil holds a B.A. in Economics and Business Administration from Bar-Ilan University in Ramat Gan, Israel, an M.S. in Management from Boston University in Massachusetts and a D.P.S. in International Business and Management from Pace University in New York.</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Yitzhak Betzalel </w:t>
      </w:r>
      <w:r>
        <w:rPr>
          <w:rFonts w:ascii="Times New Roman" w:cs="Times New Roman" w:eastAsia="Times New Roman" w:hAnsi="Times New Roman"/>
          <w:sz w:val="18"/>
          <w:szCs w:val="18"/>
          <w:color w:val="auto"/>
        </w:rPr>
        <w:t>has served as a member of the Board of Directors since August 2018. In 2014, Mr. Betzalel founded Boss Capital Ltd., an Israeli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boutique Investment Banking firm that focuses on infrastructure, energy and real estate transactions in Israel and Europe, where he currently serves as director and Chief Executive Officer. Mr. Betzalel currently serves on the board of directors of Odem Deposits Ltd. and previously served on the board of directors of Odem Finance Ltd. He has also served as a member of the investment committee since 2018 and credit committee since 2019 at Amitim Pension Funds. Mr. Betzalel’s prior positions include Chief Executive Officer of Migdal Underwriting and Business Initiatives Ltd., Chief Executive Officer of Odem Funding Ltd, chairman of LabOne Innovations, Deputy to the Chief Executive Officer of Clal Finance Underwriting Ltd., Chief Economist of Clal Israel Ltd., Chief Executive Officer of ByTech Communications Ltd. and Director of Business Development of Clal Tourism Ltd. Mr. Betzalel holds an M.A. in Economics and in Business Administration and a B.A. in Business Administration and Economics from the Hebrew University in Jerusalem.</w:t>
      </w:r>
    </w:p>
    <w:p>
      <w:pPr>
        <w:spacing w:after="0" w:line="19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Zvi Furman </w:t>
      </w:r>
      <w:r>
        <w:rPr>
          <w:rFonts w:ascii="Times New Roman" w:cs="Times New Roman" w:eastAsia="Times New Roman" w:hAnsi="Times New Roman"/>
          <w:sz w:val="18"/>
          <w:szCs w:val="18"/>
          <w:color w:val="auto"/>
        </w:rPr>
        <w:t>has served as member of the Board of Directors since September 2019. He currently serves as chairman of the credit committee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Meitav Dash Provident and Pension Funds Ltd and previously served on the board of directors of Mediterranean Towers Ltd. (TLV: MDTR). Mr. Furman has served on the board of directors of Koret Israel Economic Development Funds since 2011. He previously served as managing partner of KCPS Manof (2009) Ltd., as general manager of Bank Hapoalim in the United States and as general manager of Bank Otsar Hachayal. Mr. Furman holds a B.A. in Economics and Political Science and a M.A. in Business Administration, both from Tel Aviv University.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proposed that at the General Meeting, the following separate resolutions be adopted:</w:t>
      </w:r>
    </w:p>
    <w:p>
      <w:pPr>
        <w:spacing w:after="0" w:line="235" w:lineRule="exact"/>
        <w:rPr>
          <w:sz w:val="20"/>
          <w:szCs w:val="20"/>
          <w:color w:val="auto"/>
        </w:rPr>
      </w:pPr>
    </w:p>
    <w:p>
      <w:pPr>
        <w:jc w:val="both"/>
        <w:ind w:left="520" w:right="520"/>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“RESOLVED, to elect each of the following nominees to the Board of Directors of the Company, to hold office until close of the Company’s annual general meeting to be held in 2026, and until his or her successor has been duly elected or appointed, or until his or her office has been vacated:</w:t>
      </w:r>
    </w:p>
    <w:p>
      <w:pPr>
        <w:spacing w:after="0" w:line="190" w:lineRule="exact"/>
        <w:rPr>
          <w:sz w:val="20"/>
          <w:szCs w:val="20"/>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Mr. Gilad Yavetz</w:t>
      </w:r>
    </w:p>
    <w:p>
      <w:pPr>
        <w:spacing w:after="0" w:line="225" w:lineRule="exact"/>
        <w:rPr>
          <w:rFonts w:ascii="Times New Roman" w:cs="Times New Roman" w:eastAsia="Times New Roman" w:hAnsi="Times New Roman"/>
          <w:sz w:val="18"/>
          <w:szCs w:val="18"/>
          <w:b w:val="1"/>
          <w:bCs w:val="1"/>
          <w:i w:val="1"/>
          <w:iCs w:val="1"/>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Mr. Yair Seroussi</w:t>
      </w:r>
    </w:p>
    <w:p>
      <w:pPr>
        <w:spacing w:after="0" w:line="238" w:lineRule="exact"/>
        <w:rPr>
          <w:rFonts w:ascii="Times New Roman" w:cs="Times New Roman" w:eastAsia="Times New Roman" w:hAnsi="Times New Roman"/>
          <w:sz w:val="18"/>
          <w:szCs w:val="18"/>
          <w:b w:val="1"/>
          <w:bCs w:val="1"/>
          <w:i w:val="1"/>
          <w:iCs w:val="1"/>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Ms. Liat Benyamini</w:t>
      </w:r>
    </w:p>
    <w:p>
      <w:pPr>
        <w:spacing w:after="0" w:line="238" w:lineRule="exact"/>
        <w:rPr>
          <w:rFonts w:ascii="Times New Roman" w:cs="Times New Roman" w:eastAsia="Times New Roman" w:hAnsi="Times New Roman"/>
          <w:sz w:val="18"/>
          <w:szCs w:val="18"/>
          <w:b w:val="1"/>
          <w:bCs w:val="1"/>
          <w:i w:val="1"/>
          <w:iCs w:val="1"/>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Ms. Michal Tzuk</w:t>
      </w:r>
    </w:p>
    <w:p>
      <w:pPr>
        <w:spacing w:after="0" w:line="225" w:lineRule="exact"/>
        <w:rPr>
          <w:rFonts w:ascii="Times New Roman" w:cs="Times New Roman" w:eastAsia="Times New Roman" w:hAnsi="Times New Roman"/>
          <w:sz w:val="18"/>
          <w:szCs w:val="18"/>
          <w:b w:val="1"/>
          <w:bCs w:val="1"/>
          <w:i w:val="1"/>
          <w:iCs w:val="1"/>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Ms. Alla Felder</w:t>
      </w:r>
    </w:p>
    <w:p>
      <w:pPr>
        <w:spacing w:after="0" w:line="238" w:lineRule="exact"/>
        <w:rPr>
          <w:rFonts w:ascii="Times New Roman" w:cs="Times New Roman" w:eastAsia="Times New Roman" w:hAnsi="Times New Roman"/>
          <w:sz w:val="18"/>
          <w:szCs w:val="18"/>
          <w:b w:val="1"/>
          <w:bCs w:val="1"/>
          <w:i w:val="1"/>
          <w:iCs w:val="1"/>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Dr. Shai Weil</w:t>
      </w:r>
    </w:p>
    <w:p>
      <w:pPr>
        <w:spacing w:after="0" w:line="238" w:lineRule="exact"/>
        <w:rPr>
          <w:rFonts w:ascii="Times New Roman" w:cs="Times New Roman" w:eastAsia="Times New Roman" w:hAnsi="Times New Roman"/>
          <w:sz w:val="18"/>
          <w:szCs w:val="18"/>
          <w:b w:val="1"/>
          <w:bCs w:val="1"/>
          <w:i w:val="1"/>
          <w:iCs w:val="1"/>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Mr. Yitzhak Betzalel</w:t>
      </w:r>
    </w:p>
    <w:p>
      <w:pPr>
        <w:spacing w:after="0" w:line="225" w:lineRule="exact"/>
        <w:rPr>
          <w:rFonts w:ascii="Times New Roman" w:cs="Times New Roman" w:eastAsia="Times New Roman" w:hAnsi="Times New Roman"/>
          <w:sz w:val="18"/>
          <w:szCs w:val="18"/>
          <w:b w:val="1"/>
          <w:bCs w:val="1"/>
          <w:i w:val="1"/>
          <w:iCs w:val="1"/>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Mr. Zvi Furman”</w:t>
      </w:r>
    </w:p>
    <w:p>
      <w:pPr>
        <w:spacing w:after="0" w:line="243"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The affirmative vote of at least a majority of the voting power represented at the General Meeting, in person or by proxy and voting thereon, is required to adopt these resolutions.</w:t>
      </w:r>
    </w:p>
    <w:p>
      <w:pPr>
        <w:spacing w:after="0" w:line="15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UNANIMOUSLY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ELECTION OF EACH OF MR. GILAD YAVETZ, MR. YAIR SEROUSSI, MS. LIAT BENYAMINI, MS. MICHAL TZUK, MS. ALLA FELDER, DR. SHAI WEIL, MR. YITZHAK BETZALEL AND MR. ZVI FURMAN TO THE BOARD OF DIRECTORS.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AMENDING THE COMPENSATION POLICY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4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Pursuant to the Companies Law, the Company is required, and has adopted, a compensation policy regarding the terms of employment and office of its officers. Pursuant to the Companies Law, the term “officer” comprises, among others, a company’s directors, general manager and each manager who is directly subordinate to the general manager. In addition, the Companies Law requires a publicly traded company such as the Company to periodically review its compensation policy and to re-approve the compensation policy at least once every three years. For a company to approve or re-approve a compensation policy, the Companies Law requires approval by the board of directors following approval by the compensation committee. In addition, the compensation policy requires approval by such company’s shareholders with a special majority described elsewhere in this Proxy Statement. However, in the event that the compensation policy is not approved by the shareholders, the Companies Law permits the board of directors to approve it, provided that the compensation committee and the board of directors have determined, following further discussion of the matter and based on reasons to be specified, that the approval of the compensation policy is in the best interests of the company.</w:t>
      </w:r>
    </w:p>
    <w:p>
      <w:pPr>
        <w:spacing w:after="0" w:line="20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 xml:space="preserve">Our current Compensation Policy was approved by our shareholders in April 2024 for a period of up to three years. At the General Meeting, our shareholders are being asked to approve certain amendments to the Compensation Policy applicable to the Company’s directors and officers,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Amended Compensation Policy</w:t>
      </w:r>
      <w:r>
        <w:rPr>
          <w:rFonts w:ascii="Times New Roman" w:cs="Times New Roman" w:eastAsia="Times New Roman" w:hAnsi="Times New Roman"/>
          <w:sz w:val="18"/>
          <w:szCs w:val="18"/>
          <w:color w:val="auto"/>
        </w:rPr>
        <w:t>”), which is marked to show proposed changes from the current Compensation Policy.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Following review and approval by our compensation committee, our Board of Directors reviewed and approved the Amended Compensation Policy and recommended that shareholders do the same.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Amended Compensation Policy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is a summary of proposed changes to the Compensation Policy:</w:t>
      </w:r>
    </w:p>
    <w:p>
      <w:pPr>
        <w:spacing w:after="0" w:line="239" w:lineRule="exact"/>
        <w:rPr>
          <w:sz w:val="20"/>
          <w:szCs w:val="20"/>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 on the salaries paid to our executive officers, Chairman and Vice Chairman of the Board will be adjusted in January of each year to reflect increases in the Consumer Price Index (“</w:t>
      </w:r>
      <w:r>
        <w:rPr>
          <w:rFonts w:ascii="Times New Roman" w:cs="Times New Roman" w:eastAsia="Times New Roman" w:hAnsi="Times New Roman"/>
          <w:sz w:val="18"/>
          <w:szCs w:val="18"/>
          <w:b w:val="1"/>
          <w:bCs w:val="1"/>
          <w:color w:val="auto"/>
        </w:rPr>
        <w:t>CPI</w:t>
      </w:r>
      <w:r>
        <w:rPr>
          <w:rFonts w:ascii="Times New Roman" w:cs="Times New Roman" w:eastAsia="Times New Roman" w:hAnsi="Times New Roman"/>
          <w:sz w:val="18"/>
          <w:szCs w:val="18"/>
          <w:color w:val="auto"/>
        </w:rPr>
        <w:t>”) in the previous calendar year. The Board believes this change is necessary in light of high inflation levels in Israeli in recent years.</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added a reference to the Vice Chairman, a role that was created as part of the expansion and strengthening of our executive leadership team announced on July 30, 2025, and clarified that the current cap on the salary paid to the Chairman will also apply to the Vice Chairman, and will be based either on the costs to the employer or through an invoice that will be issued by the office holder, in the event that he or she is engaged as a service provider.</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modified the method for calculating the value of equity-based compensation to add that such calculation may also be based on the binomial option pricing model. Currently, the Black-Scholes model or any other model used to determine equity value for accounting purposes may be used.</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reference to the maximum dilution percentage of 10%, we have added a clarification stating that the number of shares used to determine dilution shall also include, in addition to shares resulting from the exercise of options, the shares that may be issued under our outstanding RSUs and performance-based RSUs (“</w:t>
      </w:r>
      <w:r>
        <w:rPr>
          <w:rFonts w:ascii="Times New Roman" w:cs="Times New Roman" w:eastAsia="Times New Roman" w:hAnsi="Times New Roman"/>
          <w:sz w:val="18"/>
          <w:szCs w:val="18"/>
          <w:b w:val="1"/>
          <w:bCs w:val="1"/>
          <w:color w:val="auto"/>
        </w:rPr>
        <w:t>PSUs</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Regarding reimbursement of relocation expenses, we have clarified that such reimbursement is permitted in the event that an office holder relocates either from Israel to another country or from another country to Israel.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also made other minor clean-up and technical changes to the language of the Compensation Policy, such as fixing cross references.</w:t>
      </w:r>
    </w:p>
    <w:p>
      <w:pPr>
        <w:spacing w:after="0" w:line="239"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 xml:space="preserve">This summary does not purport to be complete and is not intended to replace your review of the full Amended Compensation Policy. The summary is qualified in its entirely by reference to such Amended Compensation Policy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which is incorporated herein by reference.</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proposed that at the General Meeting, the following resolution be adopted:</w:t>
      </w:r>
    </w:p>
    <w:p>
      <w:pPr>
        <w:spacing w:after="0" w:line="235" w:lineRule="exact"/>
        <w:rPr>
          <w:sz w:val="20"/>
          <w:szCs w:val="20"/>
          <w:color w:val="auto"/>
        </w:rPr>
      </w:pPr>
    </w:p>
    <w:p>
      <w:pPr>
        <w:ind w:left="660" w:right="540"/>
        <w:spacing w:after="0" w:line="30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RESOLVED, to approve amendments to the Compensation Policy for executive officers and directors, substantially in the 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attached as </w:t>
      </w:r>
      <w:r>
        <w:rPr>
          <w:rFonts w:ascii="Times New Roman" w:cs="Times New Roman" w:eastAsia="Times New Roman" w:hAnsi="Times New Roman"/>
          <w:sz w:val="18"/>
          <w:szCs w:val="18"/>
          <w:b w:val="1"/>
          <w:bCs w:val="1"/>
          <w:i w:val="1"/>
          <w:iCs w:val="1"/>
          <w:u w:val="single" w:color="auto"/>
          <w:color w:val="auto"/>
        </w:rPr>
        <w:t>Exhibit A</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 affirmative vote of at least a majority of the voting power represented at the General Meeting, in person or by proxy and voting thereon, is required to adopt this resolution, provided that either: (i) such majority includes a majority of the Ordinary Shares voted by shareholders who are not Controlling Shareholders and do not have a Personal Interest in the approval of this resolution, disregarding abstentions; or (ii) the total number of Ordinary Shares voted against the approval of this resolution by shareholders referred to in sub-section (i) does not exceed two percent (2%) of the total voting rights in the Company.</w:t>
      </w:r>
    </w:p>
    <w:p>
      <w:pPr>
        <w:spacing w:after="0" w:line="182"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THE COMPANY’S COMPENSATION COMMITTEE AND THE BOARD OF DIRECTORS UNANIMOUSLY RECOMMEND A VOTE </w:t>
      </w: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color w:val="auto"/>
        </w:rPr>
        <w:t xml:space="preserve"> THE APPROVAL OF THIS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6459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36" w:lineRule="exact"/>
        <w:rPr>
          <w:sz w:val="20"/>
          <w:szCs w:val="20"/>
          <w:color w:val="auto"/>
        </w:rPr>
      </w:pPr>
    </w:p>
    <w:p>
      <w:pPr>
        <w:ind w:right="120" w:firstLine="8"/>
        <w:spacing w:after="0" w:line="199" w:lineRule="auto"/>
        <w:tabs>
          <w:tab w:leader="none" w:pos="96"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Exhibit A provides an English translation of the Company’s Amended Compensation Policy, which is provided for convenience only. In the event of any discrepancy or inconsistency between the English translation and the Hebrew original, the Hebrew version shall prevail and be binding.</w:t>
      </w:r>
    </w:p>
    <w:p>
      <w:pPr>
        <w:sectPr>
          <w:pgSz w:w="11900" w:h="16838" w:orient="portrait"/>
          <w:cols w:equalWidth="0" w:num="1">
            <w:col w:w="11240"/>
          </w:cols>
          <w:pgMar w:left="320" w:top="117" w:right="339" w:bottom="569" w:gutter="0" w:footer="0" w:header="0"/>
        </w:sect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569"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APPROVING COMPENSATION OF MS. ADI LEVIATAN, OUR NEWLY APPOINTED CHIEF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w:t>
      </w:r>
    </w:p>
    <w:p>
      <w:pPr>
        <w:spacing w:after="0" w:line="23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18"/>
          <w:szCs w:val="18"/>
          <w:color w:val="auto"/>
        </w:rPr>
        <w:t>On July 30, 2025, we announced the expansion and strengthening of our executive leadership team, effective October 1, 2025, which involves transitioning Gilad Yavetz, our Co-Founder and current CEO, to a full-time role as Executive Chairman of the Board, the appointment of Adi Leviatan as the Company’s new CEO and the appointment of Yair Seroussi, who has served as Chairman of the Board for the past seven years, to a new role as Vice Chairman of the Board.</w:t>
      </w:r>
    </w:p>
    <w:p>
      <w:pPr>
        <w:spacing w:after="0" w:line="1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Adi Leviatan is a seasoned Fortune 100 executive with expertise in strategy and business development in the global arena, including in the industrial, energy and technology sectors in the U.S., China, Israel, Europe and Africa. Prior to joining Enlight, Ms. Leviatan held various senior executive positions at 3M (NYSE: MMM) from 2018 to December 2024, most recently as President of 3M’s Abrasive Solutions Division, which is a global leader in engineered abrasive products and robotic system solutions to OEMs. Prior to 3M, Ms. Leviatan was a Partner at McKinsey &amp; Company, where she served for 15 years providing strategic and operational counsel to the top management of diverse global corporations and public institutions around the world. Ms. Leviatan graduated summa cum laude from the Hebrew University with a B.A. in Economics and East Asian Studies.</w:t>
      </w:r>
    </w:p>
    <w:p>
      <w:pPr>
        <w:spacing w:after="0" w:line="19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Pursuant to the Companies Law, the compensation of the chief executive officer, including equity-based compensation, must be approved by the compensation committee, board of directors and shareholders with a special majority described elsewhere in this Proxy Statement, in that order. Our compensation committee and Board of Directors have approved, and recommended that the shareholders approve, the compensation of Ms. Leviatan, as described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as of the date of the general meeting’s approval, Ms. Leviatan’s salary shall consist of:</w:t>
      </w:r>
    </w:p>
    <w:p>
      <w:pPr>
        <w:spacing w:after="0" w:line="239" w:lineRule="exact"/>
        <w:rPr>
          <w:sz w:val="20"/>
          <w:szCs w:val="20"/>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monthly base salary of NIS 118,000 (gross), which – subject to approval of the Amended Compensation Policy in Proposal 3 at this General Meeting</w:t>
      </w:r>
    </w:p>
    <w:p>
      <w:pPr>
        <w:spacing w:after="0" w:line="27" w:lineRule="exact"/>
        <w:rPr>
          <w:rFonts w:ascii="Times New Roman" w:cs="Times New Roman" w:eastAsia="Times New Roman" w:hAnsi="Times New Roman"/>
          <w:sz w:val="18"/>
          <w:szCs w:val="18"/>
          <w:b w:val="1"/>
          <w:bCs w:val="1"/>
          <w:color w:val="auto"/>
        </w:rPr>
      </w:pPr>
    </w:p>
    <w:p>
      <w:pPr>
        <w:spacing w:after="0" w:line="27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shall be adjusted in January of each year to reflect increases in the CPI for the preceding calendar year. This linkage will take effect starting with the salary for January 2027, based on the CPI increase in 2026.</w:t>
      </w:r>
    </w:p>
    <w:p>
      <w:pPr>
        <w:spacing w:after="0" w:line="194"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 social benefits and other perks as are customarily provided by the Company, including an eight-month advance notice period.</w:t>
      </w:r>
    </w:p>
    <w:p>
      <w:pPr>
        <w:spacing w:after="0" w:line="238" w:lineRule="exact"/>
        <w:rPr>
          <w:rFonts w:ascii="Times New Roman" w:cs="Times New Roman" w:eastAsia="Times New Roman" w:hAnsi="Times New Roman"/>
          <w:sz w:val="18"/>
          <w:szCs w:val="18"/>
          <w:b w:val="1"/>
          <w:bCs w:val="1"/>
          <w:color w:val="auto"/>
        </w:rPr>
      </w:pPr>
    </w:p>
    <w:p>
      <w:pPr>
        <w:ind w:right="20" w:firstLine="8"/>
        <w:spacing w:after="0" w:line="297" w:lineRule="auto"/>
        <w:tabs>
          <w:tab w:leader="none" w:pos="267"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overlap period from August to September 2025, a monthly base salary of NIS 118,000 (gross), with social benefits and other perks as are customarily provided by the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Bonus</w:t>
      </w:r>
    </w:p>
    <w:p>
      <w:pPr>
        <w:spacing w:after="0" w:line="243"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Effective as of 2026, Ms. Leviatan’s annual cash bonus shall consist of the equivalent to 10 monthly salaries (for 100% achievement of certain targets to be determined by the compensation committee and the Board), excluding a discretionary bonus for which Ms. Leviatan is also eligible.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Leviatan’s equity-based compensation shall consist of:</w:t>
      </w:r>
    </w:p>
    <w:p>
      <w:pPr>
        <w:spacing w:after="0" w:line="235" w:lineRule="exact"/>
        <w:rPr>
          <w:sz w:val="20"/>
          <w:szCs w:val="20"/>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Options</w:t>
      </w:r>
    </w:p>
    <w:p>
      <w:pPr>
        <w:spacing w:after="0" w:line="242"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of 143,553 stock options with a total value of NIS 5,114,764, reflecting an annual value of NIS 1,278,691 over the vesting period (calculated linearly, not based on accounting expense), and an exercise price of NIS 84.6 per share.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will be granted on October 1, 2025 (the “</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w:t>
      </w:r>
    </w:p>
    <w:p>
      <w:pPr>
        <w:spacing w:after="0" w:line="24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as long as Ms. Leviatan is an office holder in Enlight’s group, the options will vest in four equal annual tranches of 25% each. The first tranche will vest 12 months after the Grant Date, and the remaining three tranches will vest annually thereafter.</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ind w:left="660" w:right="20" w:hanging="328"/>
        <w:spacing w:after="0" w:line="282"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of the options will be governed by the Company’s equity compensation plan and the award agreement, and subject to adjustment and acceleration mechanisms stated therein.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issued upon exercise of the options will be listed for trading on TASE.</w:t>
      </w:r>
    </w:p>
    <w:p>
      <w:pPr>
        <w:spacing w:after="0" w:line="22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RSUs</w:t>
      </w:r>
    </w:p>
    <w:p>
      <w:pPr>
        <w:spacing w:after="0" w:line="256"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of 31,561 RSUs with a total value of NIS 2,557,382, reflecting an annual value of NIS 639,345 over the vesting period (calculated linearly, not based on accounting expense).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will be granted on the Grant Date.</w:t>
      </w:r>
    </w:p>
    <w:p>
      <w:pPr>
        <w:spacing w:after="0" w:line="23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as long as Ms. Leviatan is an office holder in Enlight’s group, the RSUs will vest in four equal annual tranches of 25% each. The first tranche will vest 12 months after the Grant Date, and the remaining three tranches will vest annually thereafter.</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RSUs will automatically convert into ordinary shares of the Company, in accordance with the Company’s equity compensation plan and the award agreement, and subject to the adjustments and acceleration mechanisms stated therein.</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resulting from vested RSUs will be listed for trading on the Tel Aviv Stock Exchange (“</w:t>
      </w:r>
      <w:r>
        <w:rPr>
          <w:rFonts w:ascii="Times New Roman" w:cs="Times New Roman" w:eastAsia="Times New Roman" w:hAnsi="Times New Roman"/>
          <w:sz w:val="18"/>
          <w:szCs w:val="18"/>
          <w:b w:val="1"/>
          <w:bCs w:val="1"/>
          <w:color w:val="auto"/>
        </w:rPr>
        <w:t>TASE</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PSUs</w:t>
      </w:r>
    </w:p>
    <w:p>
      <w:pPr>
        <w:spacing w:after="0" w:line="242"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of 31,561 PSUs (performance-based RSUs) with a total value of NIS 2,557,382, reflecting an annual value of NIS 639,345 over the vesting period (calculated linearly, not based on accounting expense).</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PSUs will be granted on the Grant Date, and the first tranche of the PSUs may vest based on the Performance Metrics (as defined below) for 2026, and not before the first anniversary of the Grant Date.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as long as Ms. Leviatan is an office holder in Enlight’s group, the PSUs will vest in four equal annual tranches of 25% each. The first tranche will vest 12 months after the Grant Date, and the remaining three tranches will vest annually thereafter, subject to achieving business targets that are based on the following metrics: (i) Total Income and Revenues, and (ii) Adjusted EBITDA (a Non-GAAP metric) (“</w:t>
      </w:r>
      <w:r>
        <w:rPr>
          <w:rFonts w:ascii="Times New Roman" w:cs="Times New Roman" w:eastAsia="Times New Roman" w:hAnsi="Times New Roman"/>
          <w:sz w:val="18"/>
          <w:szCs w:val="18"/>
          <w:b w:val="1"/>
          <w:bCs w:val="1"/>
          <w:color w:val="auto"/>
        </w:rPr>
        <w:t>Performance Metrics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year, the target threshold will be the midpoint of the Company’s forecast for the relevant metric, as published by the Company at the beginning of the calendar year (the “</w:t>
      </w:r>
      <w:r>
        <w:rPr>
          <w:rFonts w:ascii="Times New Roman" w:cs="Times New Roman" w:eastAsia="Times New Roman" w:hAnsi="Times New Roman"/>
          <w:sz w:val="18"/>
          <w:szCs w:val="18"/>
          <w:b w:val="1"/>
          <w:bCs w:val="1"/>
          <w:color w:val="auto"/>
        </w:rPr>
        <w:t>Target Threshold</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will be measured against the Company’s results for the calendar year preceding the vesting date, from January 1 to December 31, as published in its Annual Report on Form 20-F.</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of each annual tranche will be conditioned upon achievement of 90% of the Target Threshold (the “</w:t>
      </w:r>
      <w:r>
        <w:rPr>
          <w:rFonts w:ascii="Times New Roman" w:cs="Times New Roman" w:eastAsia="Times New Roman" w:hAnsi="Times New Roman"/>
          <w:sz w:val="18"/>
          <w:szCs w:val="18"/>
          <w:b w:val="1"/>
          <w:bCs w:val="1"/>
          <w:color w:val="auto"/>
        </w:rPr>
        <w:t>Minimal Threshold</w:t>
      </w:r>
      <w:r>
        <w:rPr>
          <w:rFonts w:ascii="Times New Roman" w:cs="Times New Roman" w:eastAsia="Times New Roman" w:hAnsi="Times New Roman"/>
          <w:sz w:val="18"/>
          <w:szCs w:val="18"/>
          <w:color w:val="auto"/>
        </w:rPr>
        <w:t>”), which will entitle vesting of 50% of the PSUs of the tranche, with a linear interpolation to apply for performance between the Minimal Threshold and the Target Threshold.</w:t>
      </w:r>
    </w:p>
    <w:p>
      <w:pPr>
        <w:spacing w:after="0" w:line="17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100% or more of the Target Threshold will result in vesting of 100% of the PSUs for that tranche.</w:t>
      </w:r>
    </w:p>
    <w:p>
      <w:pPr>
        <w:spacing w:after="0" w:line="23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Metrics are equally weighted (50% each). However, overall performance will not be based on averaging the two Performance Metrics, and non-achievement of one metric cannot be offset by overperformance of the other.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satisfying the above conditions, the vested PSUs will convert into ordinary shares of the Company in accordance with the equity compensation plan and the award agreement, subject to adjustment and acceleration mechanisms stated therein.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issued from vested PSUs will be listed for trading on TASE.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Exemption, and Insurance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Leviatan will receive indemnification, exemption, and insurance in accordance with Company practice.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Reimbursement of Relocation Expense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Ms. Leviatan will be entitled to a one-time reimbursement for relocation expenses from the U.S. to Israel, up to USD 100,000 net of taxes as may be applicable.</w:t>
      </w:r>
    </w:p>
    <w:p>
      <w:pPr>
        <w:sectPr>
          <w:pgSz w:w="11900" w:h="16838" w:orient="portrait"/>
          <w:cols w:equalWidth="0" w:num="1">
            <w:col w:w="11240"/>
          </w:cols>
          <w:pgMar w:left="320" w:top="121" w:right="33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Breakdown of Proposed Compensation to Ms. Leviatan</w:t>
      </w:r>
    </w:p>
    <w:p>
      <w:pPr>
        <w:spacing w:after="0" w:line="24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The following is a breakdown of the total compensation expected to be paid for each year to Ms. Leviatan pursuant to her terms of engagement including the proposed equity-based awards (in terms of cost to the Company, in NIS thousands), in accordance with the sixth addendum to the Israeli Securities Regulations (Periodic and Immediate Reports), 1980: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124460</wp:posOffset>
            </wp:positionV>
            <wp:extent cx="6574790" cy="1028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74790" cy="1028700"/>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318"/>
        </w:trPr>
        <w:tc>
          <w:tcPr>
            <w:tcW w:w="40" w:type="dxa"/>
            <w:vAlign w:val="bottom"/>
            <w:tcBorders>
              <w:top w:val="single" w:sz="8" w:color="auto"/>
              <w:bottom w:val="single" w:sz="8" w:color="auto"/>
              <w:right w:val="single" w:sz="8" w:color="auto"/>
            </w:tcBorders>
            <w:shd w:val="clear" w:color="auto" w:fill="000000"/>
          </w:tcPr>
          <w:p>
            <w:pPr>
              <w:spacing w:after="0"/>
              <w:rPr>
                <w:sz w:val="24"/>
                <w:szCs w:val="24"/>
                <w:color w:val="auto"/>
              </w:rPr>
            </w:pPr>
          </w:p>
        </w:tc>
        <w:tc>
          <w:tcPr>
            <w:tcW w:w="3420" w:type="dxa"/>
            <w:vAlign w:val="bottom"/>
            <w:tcBorders>
              <w:top w:val="single" w:sz="8" w:color="auto"/>
              <w:bottom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color w:val="auto"/>
              </w:rPr>
              <w:t>Details of Recipient of Compensation</w:t>
            </w:r>
          </w:p>
        </w:tc>
        <w:tc>
          <w:tcPr>
            <w:tcW w:w="66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4220" w:type="dxa"/>
            <w:vAlign w:val="bottom"/>
            <w:tcBorders>
              <w:top w:val="single" w:sz="8" w:color="auto"/>
              <w:bottom w:val="single" w:sz="8" w:color="auto"/>
            </w:tcBorders>
            <w:gridSpan w:val="3"/>
          </w:tcPr>
          <w:p>
            <w:pPr>
              <w:jc w:val="center"/>
              <w:ind w:left="33"/>
              <w:spacing w:after="0" w:line="310" w:lineRule="exact"/>
              <w:rPr>
                <w:sz w:val="20"/>
                <w:szCs w:val="20"/>
                <w:color w:val="auto"/>
              </w:rPr>
            </w:pPr>
            <w:r>
              <w:rPr>
                <w:rFonts w:ascii="Times New Roman" w:cs="Times New Roman" w:eastAsia="Times New Roman" w:hAnsi="Times New Roman"/>
                <w:sz w:val="18"/>
                <w:szCs w:val="18"/>
                <w:color w:val="auto"/>
                <w:w w:val="98"/>
              </w:rPr>
              <w:t>Compensation for Services</w:t>
            </w:r>
            <w:r>
              <w:rPr>
                <w:rFonts w:ascii="Times New Roman" w:cs="Times New Roman" w:eastAsia="Times New Roman" w:hAnsi="Times New Roman"/>
                <w:sz w:val="29"/>
                <w:szCs w:val="29"/>
                <w:color w:val="auto"/>
                <w:w w:val="98"/>
                <w:vertAlign w:val="superscript"/>
              </w:rPr>
              <w:t>1</w:t>
            </w:r>
          </w:p>
        </w:tc>
        <w:tc>
          <w:tcPr>
            <w:tcW w:w="6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w:t>
            </w: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Name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Position</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Scope of</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of</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Salary</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Bonus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Equity-based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Management Fees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Consulting Fees</w:t>
            </w:r>
          </w:p>
        </w:tc>
        <w:tc>
          <w:tcPr>
            <w:tcW w:w="6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Fees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Pr>
          <w:p>
            <w:pPr>
              <w:spacing w:after="0"/>
              <w:rPr>
                <w:sz w:val="19"/>
                <w:szCs w:val="19"/>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Position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Compensation</w:t>
            </w:r>
            <w:r>
              <w:rPr>
                <w:rFonts w:ascii="Times New Roman" w:cs="Times New Roman" w:eastAsia="Times New Roman" w:hAnsi="Times New Roman"/>
                <w:sz w:val="25"/>
                <w:szCs w:val="25"/>
                <w:color w:val="auto"/>
                <w:vertAlign w:val="superscript"/>
              </w:rPr>
              <w:t>3</w:t>
            </w:r>
          </w:p>
        </w:tc>
        <w:tc>
          <w:tcPr>
            <w:tcW w:w="1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92"/>
        </w:trPr>
        <w:tc>
          <w:tcPr>
            <w:tcW w:w="40" w:type="dxa"/>
            <w:vAlign w:val="bottom"/>
            <w:tcBorders>
              <w:right w:val="single" w:sz="8" w:color="auto"/>
            </w:tcBorders>
            <w:shd w:val="clear" w:color="auto" w:fill="000000"/>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line="284" w:lineRule="exact"/>
              <w:rPr>
                <w:sz w:val="20"/>
                <w:szCs w:val="20"/>
                <w:color w:val="auto"/>
              </w:rPr>
            </w:pPr>
            <w:r>
              <w:rPr>
                <w:rFonts w:ascii="Times New Roman" w:cs="Times New Roman" w:eastAsia="Times New Roman" w:hAnsi="Times New Roman"/>
                <w:sz w:val="18"/>
                <w:szCs w:val="18"/>
                <w:color w:val="auto"/>
                <w:w w:val="93"/>
              </w:rPr>
              <w:t>Owned</w:t>
            </w:r>
            <w:r>
              <w:rPr>
                <w:rFonts w:ascii="Times New Roman" w:cs="Times New Roman" w:eastAsia="Times New Roman" w:hAnsi="Times New Roman"/>
                <w:sz w:val="29"/>
                <w:szCs w:val="29"/>
                <w:color w:val="auto"/>
                <w:w w:val="93"/>
                <w:vertAlign w:val="superscript"/>
              </w:rPr>
              <w:t>2</w:t>
            </w: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Adi</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CEO</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1,841</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1,180</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2,557</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5,578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552450" cy="3492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2450" cy="34925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Leviatan</w:t>
      </w:r>
    </w:p>
    <w:p>
      <w:pPr>
        <w:spacing w:after="0" w:line="288" w:lineRule="exact"/>
        <w:rPr>
          <w:sz w:val="20"/>
          <w:szCs w:val="20"/>
          <w:color w:val="auto"/>
        </w:rPr>
      </w:pPr>
    </w:p>
    <w:p>
      <w:pPr>
        <w:ind w:firstLine="656"/>
        <w:spacing w:after="0" w:line="195" w:lineRule="auto"/>
        <w:tabs>
          <w:tab w:leader="none" w:pos="786"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accordance with Israeli law and practice, all amounts reported in the above table are in terms of cost to our Company, as recorded in our audited consolidated financial statements.</w:t>
      </w:r>
    </w:p>
    <w:p>
      <w:pPr>
        <w:spacing w:after="0" w:line="116" w:lineRule="exact"/>
        <w:rPr>
          <w:sz w:val="20"/>
          <w:szCs w:val="20"/>
          <w:color w:val="auto"/>
        </w:rPr>
      </w:pPr>
    </w:p>
    <w:p>
      <w:pPr>
        <w:ind w:left="780" w:hanging="124"/>
        <w:spacing w:after="0"/>
        <w:tabs>
          <w:tab w:leader="none" w:pos="780" w:val="left"/>
        </w:tabs>
        <w:numPr>
          <w:ilvl w:val="0"/>
          <w:numId w:val="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Excludes the proposed equity-based grants.</w:t>
      </w:r>
    </w:p>
    <w:p>
      <w:pPr>
        <w:spacing w:after="0" w:line="101" w:lineRule="exact"/>
        <w:rPr>
          <w:sz w:val="20"/>
          <w:szCs w:val="20"/>
          <w:color w:val="auto"/>
        </w:rPr>
      </w:pPr>
    </w:p>
    <w:p>
      <w:pPr>
        <w:ind w:left="780" w:hanging="124"/>
        <w:spacing w:after="0"/>
        <w:tabs>
          <w:tab w:leader="none" w:pos="78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Value of equity-based compensation is calculated based on a linear method of valuation and does not reflect actuarial cost.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Ratios and Comparative Data</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ratio between the cost of the proposed salary to be provided to Ms. Leviatan and the average and median cost of salary of the employees of the Company is approximately 4.29 and 4.72, respectively.</w:t>
      </w:r>
    </w:p>
    <w:p>
      <w:pPr>
        <w:spacing w:after="0" w:line="175"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ratio between the cost of the proposed total compensation package to be provided to Ms. Leviatan and the average and median cost of total compensation package of the employees of the Company is approximately 10.84 and 14.7, respectively.</w:t>
      </w:r>
    </w:p>
    <w:p>
      <w:pPr>
        <w:spacing w:after="0" w:line="16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In addition, according to a comparative benchmark study commissioned by the compensation committee and prepared by an external independent consultant, comparing executive compensation of the Company with peer group companies in Israel and the U.S as well as with other companies with similar characteristics, the total cost of the proposed compensation to Ms. Leviatan (excluding a discretionary bonus) would rank in the 9th percentile of the peer group companies included in the analysis.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Approval of Ms. Leviatan’s Proposed Compensation:</w:t>
      </w:r>
    </w:p>
    <w:p>
      <w:pPr>
        <w:spacing w:after="0" w:line="243" w:lineRule="exact"/>
        <w:rPr>
          <w:sz w:val="20"/>
          <w:szCs w:val="20"/>
          <w:color w:val="auto"/>
        </w:rPr>
      </w:pPr>
    </w:p>
    <w:p>
      <w:pPr>
        <w:jc w:val="both"/>
        <w:ind w:left="660" w:hanging="328"/>
        <w:spacing w:after="0" w:line="265"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Enlight stands at its strongest point to date, with an organizational, operational and leadership infrastructure primed for significant continued growth. In recent years, the Company has taken strategic steps to build managerial infrastructure and business growth engines that have generated, and are expected to continue to generate, robust growth and strong results. The Company’s Revenues &amp; Income and Adjusted EBITDA grew between 2018 and 2025 (expected end of year) at a CAGR of 39%.</w:t>
      </w:r>
      <w:r>
        <w:rPr>
          <w:rFonts w:ascii="Times New Roman" w:cs="Times New Roman" w:eastAsia="Times New Roman" w:hAnsi="Times New Roman"/>
          <w:sz w:val="29"/>
          <w:szCs w:val="29"/>
          <w:color w:val="auto"/>
          <w:vertAlign w:val="superscript"/>
        </w:rPr>
        <w:t>2</w:t>
      </w:r>
    </w:p>
    <w:p>
      <w:pPr>
        <w:spacing w:after="0" w:line="3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believes that the appointment of Adi Leviatan as CEO - bringing deep and global experience from a Fortune 100 industrial and technology company that is active in 60 countries, as well as from years of senior leadership at McKinsey &amp; Company, the world’s leading strategy consulting firm - marks the natural next step in Enlight’s global expansion.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terms of service and employment commensurate with Ms. Leviatan’s education, skills, expertise, professional experience, achievements, the level of responsibility required for the role of our Chief Executive Officer and the challenges Ms. Leviatan will face. Ms. Leviatan has a strong managerial and strategic track record, having held senior executive positions in leading companies in their respective industries, demonstrating success in driving fast and sustainable business growth and navigating dynamic business and regulatory environments.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6459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71" w:lineRule="exact"/>
        <w:rPr>
          <w:sz w:val="20"/>
          <w:szCs w:val="20"/>
          <w:color w:val="auto"/>
        </w:rPr>
      </w:pPr>
    </w:p>
    <w:p>
      <w:pPr>
        <w:ind w:right="100" w:firstLine="8"/>
        <w:spacing w:after="0" w:line="207" w:lineRule="auto"/>
        <w:tabs>
          <w:tab w:leader="none" w:pos="96" w:val="left"/>
        </w:tabs>
        <w:numPr>
          <w:ilvl w:val="0"/>
          <w:numId w:val="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EBITDA is a non-IFRS financial measure. The Company is unable to provide a reconciliation of EBITDA to Net Income on a forward-looking basis without unreasonable effort because items that impact this IFRS financial measure are not within the Company’s control and/or cannot be reasonably predicted.</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terms are aligned with the market terms for compensation of chief executive officers in companies operating in the Company’s industry and in companies with similar characteristics.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terms of service and employment are appropriate in light of the Company’s size, nature, complexity, financial condition and long-term resilience and stability.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between the proposed terms and the average and median salary of the Company’s employees is reasonable, taking into consideration, among other factors, the nature and size of the Company, its workforce composition and industry sector. The proposed terms are not expected to adversely impact employment relations within the Company.</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equity-based compensation constitutes an appropriate incentive and aligns the interests of Ms. Leviatan with those of the Company and its shareholders. The structure of the equity compensation – comprising options, RSUs and PSUs – and the proposed vesting conditions, ensure a substantial portion of the equity-based compensation is performance based and thus creates a linkage between compensation and long-term Company performance, thereby incentivizing Ms. Levitan to drive growth and shareholder value. Furthermore, the proposed value of the equity compensation does not create undue dependence or encourage excessive risk-taking.</w:t>
      </w:r>
    </w:p>
    <w:p>
      <w:pPr>
        <w:spacing w:after="0" w:line="19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terms of service and employment comply with the provisions of the Israeli Companies Law and the Company's compensation policy, are in the best interest of the Company and do not constitute a distribution under the meaning of the Israeli Companies Law.</w:t>
      </w:r>
    </w:p>
    <w:p>
      <w:pPr>
        <w:spacing w:after="0" w:line="16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As of August 4, 2025, the Company has a total of 120,007,417 Ordinary Shares outstanding. In addition, the Company has granted options and RSUs exercisable (assuming vesting of all such grants) into a total of 6,550,007 additional ordinary shares, or Current Equity Grants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has an aggregate of 4,718,380 ordinary shares reserved for future awards of equity-based compensation under its 2010 Employee Option Allocation Plan, or Pool for Future Equity Grants.</w:t>
      </w:r>
    </w:p>
    <w:p>
      <w:pPr>
        <w:spacing w:after="0" w:line="19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this Proposal 4 and Proposals 5 and 6 below, the Company now proposes to grant options, RSUs and PSUs exercisable (assuming vesting of all such grants) into a total of 698,296 additional ordinary shares, or Proposed Equity Grants.</w:t>
      </w:r>
    </w:p>
    <w:p>
      <w:pPr>
        <w:spacing w:after="0" w:line="18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Assuming Proposals 4, 5 and 6 are approved by shareholders and that the Company makes the equity grants included therein, the Current Equity Grants plus the Proposed Equity Grants (assuming vesting of all such grants) would represent 5.7% of the total share capital of the Company on a fully diluted basis. Assuming the Company were to make equity grants equal to the entire Pool for Future Equity Gants, the Current Equity Grants plus the Pool for Future Equity Grants (assuming the vesting of all such grants) would represent 8.6% of the total share capital of the Company on a fully diluted basis.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Proposal 4 is subject to and contingent upon approval of Proposal 3 at this General Meeting.</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proposed that at the General Meeting, the following resolution be adopted:</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“RESOLVED, to approve the compensation of Ms. Adi Leviatan, our newly appointed Chief Executive Officer.”</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affirmative vote of at least a majority of the voting power represented at the General Meeting, in person or by proxy and voting thereon, is required to adopt this resolution, provided that either: (i) such majority includes a majority of the Ordinary Shares voted by shareholders who are not Controlling Shareholders and do not have a Personal Interest in the approval of this resolution, disregarding abstentions; or (ii) the total number of Ordinary Shares voted against the approval of this resolution by shareholders referred to in sub-section (i) does not exceed two percent (2%) of the total voting rights in the Company.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approval of this resolution is subject to and contingent upon the approval of Proposal 3 regarding approval of the Amended Compensation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Policy.</w:t>
      </w:r>
    </w:p>
    <w:p>
      <w:pPr>
        <w:spacing w:after="0" w:line="23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COMPANY’S COMPENSATION COMMITTEE AND BOARD OF DIRECTORS UNANIMOUSLY RECOMMEND A VOTE </w:t>
      </w: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THE APPROVAL OF THIS RESOLUTION.</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PROPOSAL NO. 5</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APPROVING COMPENSATION OF MR. GILAD YAVETZ, OUR NEWLY APPOINTED FULL-TIME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CHAIRMAN OF THE BOARD OF DIRECTORS</w:t>
      </w:r>
    </w:p>
    <w:p>
      <w:pPr>
        <w:spacing w:after="0" w:line="234"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As part of the expansion and strengthening of our executive leadership team announced on July 30, 2025 and effective October 1, 2025 (as more fully described in Proposal 4, above), Gilad Yavetz, our Co-Founder and current CEO, will transition to a full-time role as Executive Chairman of the Board.</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compensation committee and Board of Directors have approved, and recommended that the shareholders approve, the compensation of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Yavetz, as described below.</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Salary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as of the date of the general meeting’s approval, Mr. Yavetz’s salary shall consist of:</w:t>
      </w:r>
    </w:p>
    <w:p>
      <w:pPr>
        <w:spacing w:after="0" w:line="252" w:lineRule="exact"/>
        <w:rPr>
          <w:sz w:val="20"/>
          <w:szCs w:val="20"/>
          <w:color w:val="auto"/>
        </w:rPr>
      </w:pPr>
    </w:p>
    <w:p>
      <w:pPr>
        <w:ind w:left="260" w:hanging="252"/>
        <w:spacing w:after="0"/>
        <w:tabs>
          <w:tab w:leader="none" w:pos="2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monthly base salary of NIS 118,000 (gross), which – subject to approval of the Amended Compensation Policy in Proposal 3 at this General Meeting</w:t>
      </w:r>
    </w:p>
    <w:p>
      <w:pPr>
        <w:spacing w:after="0" w:line="27" w:lineRule="exact"/>
        <w:rPr>
          <w:rFonts w:ascii="Times New Roman" w:cs="Times New Roman" w:eastAsia="Times New Roman" w:hAnsi="Times New Roman"/>
          <w:sz w:val="18"/>
          <w:szCs w:val="18"/>
          <w:b w:val="1"/>
          <w:bCs w:val="1"/>
          <w:color w:val="auto"/>
        </w:rPr>
      </w:pPr>
    </w:p>
    <w:p>
      <w:pPr>
        <w:spacing w:after="0" w:line="27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shall be adjusted in January of each year to reflect increases in the CPI for the preceding calendar year. This linkage will take effect starting with the salary for January 2027, based on the CPI increase in 2026.</w:t>
      </w:r>
    </w:p>
    <w:p>
      <w:pPr>
        <w:spacing w:after="0" w:line="180"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 social benefits and other perks as are customarily provided by the Company.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Yavetz’s equity-based compensation shall consist of:</w:t>
      </w:r>
    </w:p>
    <w:p>
      <w:pPr>
        <w:spacing w:after="0" w:line="235" w:lineRule="exact"/>
        <w:rPr>
          <w:sz w:val="20"/>
          <w:szCs w:val="20"/>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Options</w:t>
      </w:r>
    </w:p>
    <w:p>
      <w:pPr>
        <w:spacing w:after="0" w:line="242"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of 345,927 stock options with a total value of NIS 12,325,357, reflecting an annual value of NIS 3,081,339 over the vesting period (calculated linearly, not based on accounting expense), and an exercise price of NIS 84.6 per share.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will be granted the Grant Date.</w:t>
      </w:r>
    </w:p>
    <w:p>
      <w:pPr>
        <w:spacing w:after="0" w:line="23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as long as Mr. Yavetz is an office holder in Enlight’s group, the options will vest in four equal annual tranches of 25% each. The first tranche will vest 12 months after the Grant Date, and the remaining three tranches will vest annually thereafter.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of the options will be governed by the Company’s equity compensation plan and the award agreement, subject to adjustment and acceleration mechanisms stated therein.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issued upon exercise of the options will be listed for trading on TASE.</w:t>
      </w:r>
    </w:p>
    <w:p>
      <w:pPr>
        <w:spacing w:after="0" w:line="234"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RSUs</w:t>
      </w:r>
    </w:p>
    <w:p>
      <w:pPr>
        <w:spacing w:after="0" w:line="242"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of 6,726 RSUs with a total value of NIS544,980 , reflecting an annual value of NIS 136,245 over the vesting period (calculated linearly, not based on accounting expense). This grant is in addition to the RSU grant to Mr. Yavetz in April 2024.</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will be granted on the Grant Date.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as long as Mr. Yavetz is an office holder in Enlight’s group, the RSUs will vest in four equal annual tranches of 25% each. The first tranche will vest 12 months after the Grant Date, and the remaining three tranches will vest annually thereafter.</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RSUs will automatically convert into ordinary shares of the Company, in accordance with the Company’s equity compensation plan and the award agreement, subject to the adjustments and acceleration mechanisms stated therein.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resulting from vested RSUs will be listed for trading on TASE.</w:t>
      </w:r>
    </w:p>
    <w:p>
      <w:pPr>
        <w:spacing w:after="0" w:line="22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PSUs</w:t>
      </w:r>
    </w:p>
    <w:p>
      <w:pPr>
        <w:spacing w:after="0" w:line="256" w:lineRule="exact"/>
        <w:rPr>
          <w:rFonts w:ascii="Times New Roman" w:cs="Times New Roman" w:eastAsia="Times New Roman" w:hAnsi="Times New Roman"/>
          <w:sz w:val="18"/>
          <w:szCs w:val="18"/>
          <w:b w:val="1"/>
          <w:bCs w:val="1"/>
          <w:color w:val="auto"/>
        </w:rPr>
      </w:pPr>
    </w:p>
    <w:p>
      <w:pPr>
        <w:ind w:left="660" w:right="20" w:hanging="328"/>
        <w:spacing w:after="0" w:line="282"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of 76,055 PSUs (performance-based RSUs) with a total value of NIS 6,162,678, reflecting an annual value of NIS 1,540,670 over the vesting period (calculated linearly, not based on accounting expense).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PSUs will be granted on the Grant Date.</w:t>
      </w:r>
    </w:p>
    <w:p>
      <w:pPr>
        <w:spacing w:after="0" w:line="23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as long as Mr. Yavetz is an office holder in Enlight’s group, the PSUs will vest in four equal annual tranches of 25% each. The first tranche will vest 12 months after the Grant Date, and the remaining three tranches will vest annually thereafter, subject to achieving business targets that are based on the following metrics: (i) Total Income and Revenues, and (ii) Adjusted EBITDA (a Non-GAAP metric) (“</w:t>
      </w:r>
      <w:r>
        <w:rPr>
          <w:rFonts w:ascii="Times New Roman" w:cs="Times New Roman" w:eastAsia="Times New Roman" w:hAnsi="Times New Roman"/>
          <w:sz w:val="18"/>
          <w:szCs w:val="18"/>
          <w:b w:val="1"/>
          <w:bCs w:val="1"/>
          <w:color w:val="auto"/>
        </w:rPr>
        <w:t>Performance Metrics</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893"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893" w:gutter="0" w:footer="0" w:header="0"/>
          <w:type w:val="continuous"/>
        </w:sectPr>
      </w:pPr>
    </w:p>
    <w:bookmarkStart w:id="24" w:name="page25"/>
    <w:bookmarkEnd w:id="24"/>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year, the target threshold will be the midpoint of the Company’s forecast for the relevant metric, as published by the Company at the beginning of the calendar year (the “</w:t>
      </w:r>
      <w:r>
        <w:rPr>
          <w:rFonts w:ascii="Times New Roman" w:cs="Times New Roman" w:eastAsia="Times New Roman" w:hAnsi="Times New Roman"/>
          <w:sz w:val="18"/>
          <w:szCs w:val="18"/>
          <w:b w:val="1"/>
          <w:bCs w:val="1"/>
          <w:color w:val="auto"/>
        </w:rPr>
        <w:t>Target Threshold</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will be measured against the Company’s results for the calendar year preceding the vesting date, from January 1 to December 31, as published in its Annual Report on Form 20-F.</w:t>
      </w:r>
    </w:p>
    <w:p>
      <w:pPr>
        <w:spacing w:after="0" w:line="157"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of each annual tranche will be conditioned upon achievement of 90% of the Target Threshold (the “</w:t>
      </w:r>
      <w:r>
        <w:rPr>
          <w:rFonts w:ascii="Times New Roman" w:cs="Times New Roman" w:eastAsia="Times New Roman" w:hAnsi="Times New Roman"/>
          <w:sz w:val="18"/>
          <w:szCs w:val="18"/>
          <w:b w:val="1"/>
          <w:bCs w:val="1"/>
          <w:color w:val="auto"/>
        </w:rPr>
        <w:t>Minimal Threshold</w:t>
      </w:r>
      <w:r>
        <w:rPr>
          <w:rFonts w:ascii="Times New Roman" w:cs="Times New Roman" w:eastAsia="Times New Roman" w:hAnsi="Times New Roman"/>
          <w:sz w:val="18"/>
          <w:szCs w:val="18"/>
          <w:color w:val="auto"/>
        </w:rPr>
        <w:t>”), which will entitle vesting of 50% of the PSUs of the tranche, with a linear interpolation to apply for performance between the Minimal Threshold and the Target Threshold.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100% or more of the Target Threshold will result in vesting of 100% of the PSUs for that tranche.</w:t>
      </w:r>
    </w:p>
    <w:p>
      <w:pPr>
        <w:spacing w:after="0" w:line="23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Metrics are equally weighted (50% each). However, overall performance will not be based on averaging the two Performance Metrics, and non-achievement of one metric cannot be offset by overperformance of the other.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satisfying the above conditions, the vested PSUs will convert into ordinary shares of the Company in accordance with the equity compensation plan and the award agreement, subject to adjustment and acceleration mechanisms stated therein.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issued from vested PSUs will be listed for trading on TASE.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Approval of Mr. Yavetz’s Proposed Compensation:</w:t>
      </w:r>
    </w:p>
    <w:p>
      <w:pPr>
        <w:spacing w:after="0" w:line="243" w:lineRule="exact"/>
        <w:rPr>
          <w:sz w:val="20"/>
          <w:szCs w:val="20"/>
          <w:color w:val="auto"/>
        </w:rPr>
      </w:pPr>
    </w:p>
    <w:p>
      <w:pPr>
        <w:jc w:val="both"/>
        <w:ind w:left="660" w:hanging="328"/>
        <w:spacing w:after="0" w:line="265"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Enlight stands at its strongest point to date, with an organizational, operational and leadership infrastructure primed for significant continued growth. In recent years, the Company has taken strategic steps to build managerial infrastructure and business growth engines that have generated, and are expected to continue to generate, robust growth and strong results. The Company’s Revenues &amp; Income and Adjusted EBITDA grew between 2018 and 2025 (expected end of year) at a CAGR of 39%.</w:t>
      </w:r>
      <w:r>
        <w:rPr>
          <w:rFonts w:ascii="Times New Roman" w:cs="Times New Roman" w:eastAsia="Times New Roman" w:hAnsi="Times New Roman"/>
          <w:sz w:val="29"/>
          <w:szCs w:val="29"/>
          <w:color w:val="auto"/>
          <w:vertAlign w:val="superscript"/>
        </w:rPr>
        <w:t>3</w:t>
      </w:r>
    </w:p>
    <w:p>
      <w:pPr>
        <w:spacing w:after="0" w:line="39" w:lineRule="exact"/>
        <w:rPr>
          <w:rFonts w:ascii="Times New Roman" w:cs="Times New Roman" w:eastAsia="Times New Roman" w:hAnsi="Times New Roman"/>
          <w:sz w:val="18"/>
          <w:szCs w:val="18"/>
          <w:color w:val="auto"/>
        </w:rPr>
      </w:pPr>
    </w:p>
    <w:p>
      <w:pPr>
        <w:jc w:val="both"/>
        <w:ind w:left="660" w:hanging="328"/>
        <w:spacing w:after="0" w:line="247" w:lineRule="auto"/>
        <w:tabs>
          <w:tab w:leader="none" w:pos="660" w:val="left"/>
        </w:tabs>
        <w:numPr>
          <w:ilvl w:val="0"/>
          <w:numId w:val="31"/>
        </w:numPr>
        <w:rPr>
          <w:rFonts w:ascii="Calibri" w:cs="Calibri" w:eastAsia="Calibri" w:hAnsi="Calibri"/>
          <w:sz w:val="20"/>
          <w:szCs w:val="20"/>
          <w:color w:val="auto"/>
        </w:rPr>
      </w:pPr>
      <w:r>
        <w:rPr>
          <w:rFonts w:ascii="Times New Roman" w:cs="Times New Roman" w:eastAsia="Times New Roman" w:hAnsi="Times New Roman"/>
          <w:sz w:val="18"/>
          <w:szCs w:val="18"/>
          <w:color w:val="auto"/>
        </w:rPr>
        <w:t>Mr. Yavetz co-founded the Company and has successfully led it since inception in 2008, positioning the Company as a leader in its field in Israel and as a prominent player in the international market. Under Mr. Yavetz’s leaderships, the Company established s significant global presence through a combination of organic growth in Europe, building capabilities across the value chain, from greenfield to power producer (IPP), and through strategic M&amp;A in the United States. Furthermore, Mr. Yavetz recognized early the potential of major drivers of growth for the Company (such as energy storage, agro-solar trend and the potential in cropfield) and drove the Company to seize such opportunities. Mr. Yavetz’s leadership has enabled Enlight’s substantial growth and prepared the way for the Company’s current business plan.</w:t>
      </w:r>
    </w:p>
    <w:p>
      <w:pPr>
        <w:spacing w:after="0" w:line="195" w:lineRule="exact"/>
        <w:rPr>
          <w:rFonts w:ascii="Calibri" w:cs="Calibri" w:eastAsia="Calibri" w:hAnsi="Calibri"/>
          <w:sz w:val="20"/>
          <w:szCs w:val="20"/>
          <w:color w:val="auto"/>
        </w:rPr>
      </w:pPr>
    </w:p>
    <w:p>
      <w:pPr>
        <w:jc w:val="both"/>
        <w:ind w:left="660" w:right="2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believes that the continued contribution of Mr. Yavetz in a full-time capacity as active Chairman of the Board is essential to the Company’s best interests, generating synergies with Ms. Leviatan, particularly with strategic direction, engagement and commitment to the Company’s continued growth, innovation and preservation of the Company’s unique DNA.</w:t>
      </w:r>
    </w:p>
    <w:p>
      <w:pPr>
        <w:spacing w:after="0" w:line="18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terms of service and employment are consistent with Mr. Yavetz’s education, skills, energy-sector expertise, unique professional experience, strategic vision, execution achievements and the level of responsibility and challenges associated with his role.</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terms are aligned with market standards for compensation of executive chairpersons of the board in the Company’s industry and in companies with similar characteristics.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terms are appropriate in light of the Company’s size, scope of operations, geographic footprint, current and long-term business complexity, including in the context of a dynamic regulatory environment, and the Company’s distinctive characteristics as an entrepreneurial company and an independent global power producer (IPP) with a unique identity.</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equity-based compensation constitutes an appropriate incentive and aligns the interests of Mr. Yavetz with those of the Company and its shareholders. The mix of equity instruments (options, RSUs and PSUs) and the proposed vesting conditions ensure a substantial portion of the equity-based compensation is performance based and thus creates a linkage between compensation and long-term Company performance. Furthermore, the proposed value of the equity-based compensation does not create undue dependence or encourage excessive risk-taking.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16459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71" w:lineRule="exact"/>
        <w:rPr>
          <w:sz w:val="20"/>
          <w:szCs w:val="20"/>
          <w:color w:val="auto"/>
        </w:rPr>
      </w:pPr>
    </w:p>
    <w:p>
      <w:pPr>
        <w:ind w:right="100" w:firstLine="8"/>
        <w:spacing w:after="0" w:line="199" w:lineRule="auto"/>
        <w:tabs>
          <w:tab w:leader="none" w:pos="96"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EBITDA is a non-IFRS financial measure. The Company is unable to provide a reconciliation of EBITDA to Net Income on a forward-looking basis without unreasonable effort because items that impact this IFRS financial measure are not within the Company’s control and/or cannot be reasonably predicted.</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660" w:right="2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terms comply with the provisions of the Israeli Companies Law and the Company’s compensation policy, are in the best interest of the Company and do not constitute a distribution under the meaning of the Israeli Companies Law.</w:t>
      </w:r>
    </w:p>
    <w:p>
      <w:pPr>
        <w:spacing w:after="0" w:line="175"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Following is a breakdown of the compensation expected to be paid for each year, effective October 1, 2025, to Mr. Yavetz (in terms of cost to the Company, in NIS thousands), including the proposed equity-based awards, in accordance with the sixth addendum to the Israeli Securities Regulations (Periodic and Immediate Reports), 1980: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tcBorders>
              <w:top w:val="single" w:sz="8" w:color="auto"/>
              <w:right w:val="single" w:sz="8" w:color="auto"/>
            </w:tcBorders>
            <w:shd w:val="clear" w:color="auto" w:fill="000000"/>
          </w:tcPr>
          <w:p>
            <w:pPr>
              <w:spacing w:after="0"/>
              <w:rPr>
                <w:sz w:val="23"/>
                <w:szCs w:val="23"/>
                <w:color w:val="auto"/>
              </w:rPr>
            </w:pPr>
          </w:p>
        </w:tc>
        <w:tc>
          <w:tcPr>
            <w:tcW w:w="3500" w:type="dxa"/>
            <w:vAlign w:val="bottom"/>
            <w:tcBorders>
              <w:top w:val="single" w:sz="8" w:color="auto"/>
              <w:right w:val="single" w:sz="8" w:color="auto"/>
            </w:tcBorders>
            <w:gridSpan w:val="4"/>
          </w:tcPr>
          <w:p>
            <w:pPr>
              <w:ind w:left="380"/>
              <w:spacing w:after="0"/>
              <w:rPr>
                <w:sz w:val="20"/>
                <w:szCs w:val="20"/>
                <w:color w:val="auto"/>
              </w:rPr>
            </w:pPr>
            <w:r>
              <w:rPr>
                <w:rFonts w:ascii="Times New Roman" w:cs="Times New Roman" w:eastAsia="Times New Roman" w:hAnsi="Times New Roman"/>
                <w:sz w:val="18"/>
                <w:szCs w:val="18"/>
                <w:color w:val="auto"/>
              </w:rPr>
              <w:t>Details of Recipient of Compensation</w:t>
            </w:r>
          </w:p>
        </w:tc>
        <w:tc>
          <w:tcPr>
            <w:tcW w:w="82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2940" w:type="dxa"/>
            <w:vAlign w:val="bottom"/>
            <w:tcBorders>
              <w:top w:val="single" w:sz="8" w:color="auto"/>
            </w:tcBorders>
            <w:gridSpan w:val="3"/>
          </w:tcPr>
          <w:p>
            <w:pPr>
              <w:ind w:left="980"/>
              <w:spacing w:after="0"/>
              <w:rPr>
                <w:sz w:val="20"/>
                <w:szCs w:val="20"/>
                <w:color w:val="auto"/>
              </w:rPr>
            </w:pPr>
            <w:r>
              <w:rPr>
                <w:rFonts w:ascii="Times New Roman" w:cs="Times New Roman" w:eastAsia="Times New Roman" w:hAnsi="Times New Roman"/>
                <w:sz w:val="18"/>
                <w:szCs w:val="18"/>
                <w:color w:val="auto"/>
                <w:w w:val="99"/>
              </w:rPr>
              <w:t>Compensation for Services</w:t>
            </w:r>
          </w:p>
        </w:tc>
        <w:tc>
          <w:tcPr>
            <w:tcW w:w="136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640" w:type="dxa"/>
            <w:vAlign w:val="bottom"/>
            <w:tcBorders>
              <w:top w:val="single" w:sz="8" w:color="auto"/>
              <w:right w:val="single" w:sz="8" w:color="auto"/>
            </w:tcBorders>
          </w:tcPr>
          <w:p>
            <w:pPr>
              <w:spacing w:after="0"/>
              <w:rPr>
                <w:sz w:val="23"/>
                <w:szCs w:val="23"/>
                <w:color w:val="auto"/>
              </w:rPr>
            </w:pPr>
          </w:p>
        </w:tc>
        <w:tc>
          <w:tcPr>
            <w:tcW w:w="68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w:t>
            </w: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Name</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Position</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Scope of</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 of</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Salary</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Bonus</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Equity-based</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Management</w:t>
            </w:r>
          </w:p>
        </w:tc>
        <w:tc>
          <w:tcPr>
            <w:tcW w:w="120" w:type="dxa"/>
            <w:vAlign w:val="bottom"/>
          </w:tcPr>
          <w:p>
            <w:pPr>
              <w:spacing w:after="0"/>
              <w:rPr>
                <w:sz w:val="20"/>
                <w:szCs w:val="20"/>
                <w:color w:val="auto"/>
              </w:rPr>
            </w:pPr>
          </w:p>
        </w:tc>
        <w:tc>
          <w:tcPr>
            <w:tcW w:w="136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Consulting Fees</w:t>
            </w: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Fees</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tcBorders>
              <w:right w:val="single" w:sz="8" w:color="auto"/>
            </w:tcBorders>
          </w:tcPr>
          <w:p>
            <w:pPr>
              <w:spacing w:after="0"/>
              <w:rPr>
                <w:sz w:val="20"/>
                <w:szCs w:val="20"/>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Position</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8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Compensation</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Fees</w:t>
            </w:r>
          </w:p>
        </w:tc>
        <w:tc>
          <w:tcPr>
            <w:tcW w:w="12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r>
      <w:tr>
        <w:trPr>
          <w:trHeight w:val="278"/>
        </w:trPr>
        <w:tc>
          <w:tcPr>
            <w:tcW w:w="40" w:type="dxa"/>
            <w:vAlign w:val="bottom"/>
            <w:tcBorders>
              <w:right w:val="single" w:sz="8" w:color="auto"/>
            </w:tcBorders>
            <w:shd w:val="clear" w:color="auto" w:fill="000000"/>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jc w:val="center"/>
              <w:spacing w:after="0" w:line="271" w:lineRule="exact"/>
              <w:rPr>
                <w:sz w:val="20"/>
                <w:szCs w:val="20"/>
                <w:color w:val="auto"/>
              </w:rPr>
            </w:pPr>
            <w:r>
              <w:rPr>
                <w:rFonts w:ascii="Times New Roman" w:cs="Times New Roman" w:eastAsia="Times New Roman" w:hAnsi="Times New Roman"/>
                <w:sz w:val="18"/>
                <w:szCs w:val="18"/>
                <w:color w:val="auto"/>
                <w:w w:val="97"/>
              </w:rPr>
              <w:t>Owned</w:t>
            </w:r>
            <w:r>
              <w:rPr>
                <w:rFonts w:ascii="Times New Roman" w:cs="Times New Roman" w:eastAsia="Times New Roman" w:hAnsi="Times New Roman"/>
                <w:sz w:val="29"/>
                <w:szCs w:val="29"/>
                <w:color w:val="auto"/>
                <w:w w:val="97"/>
                <w:vertAlign w:val="superscript"/>
              </w:rPr>
              <w:t>1</w:t>
            </w:r>
          </w:p>
        </w:tc>
        <w:tc>
          <w:tcPr>
            <w:tcW w:w="8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r>
      <w:tr>
        <w:trPr>
          <w:trHeight w:val="238"/>
        </w:trPr>
        <w:tc>
          <w:tcPr>
            <w:tcW w:w="40" w:type="dxa"/>
            <w:vAlign w:val="bottom"/>
            <w:tcBorders>
              <w:right w:val="single" w:sz="8" w:color="auto"/>
            </w:tcBorders>
          </w:tcPr>
          <w:p>
            <w:pPr>
              <w:spacing w:after="0"/>
              <w:rPr>
                <w:sz w:val="20"/>
                <w:szCs w:val="20"/>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Gilad</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Executive</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0.68%</w:t>
            </w:r>
          </w:p>
        </w:tc>
        <w:tc>
          <w:tcPr>
            <w:tcW w:w="82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1,841</w:t>
            </w:r>
          </w:p>
        </w:tc>
        <w:tc>
          <w:tcPr>
            <w:tcW w:w="7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6,163</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360" w:type="dxa"/>
            <w:vAlign w:val="bottom"/>
            <w:tcBorders>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8,004</w:t>
            </w:r>
          </w:p>
        </w:tc>
      </w:tr>
      <w:tr>
        <w:trPr>
          <w:trHeight w:val="229"/>
        </w:trPr>
        <w:tc>
          <w:tcPr>
            <w:tcW w:w="40" w:type="dxa"/>
            <w:vAlign w:val="bottom"/>
            <w:tcBorders>
              <w:right w:val="single" w:sz="8" w:color="auto"/>
            </w:tcBorders>
          </w:tcPr>
          <w:p>
            <w:pPr>
              <w:spacing w:after="0"/>
              <w:rPr>
                <w:sz w:val="19"/>
                <w:szCs w:val="19"/>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Yavetz</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Chairman of</w:t>
            </w:r>
          </w:p>
        </w:tc>
        <w:tc>
          <w:tcPr>
            <w:tcW w:w="86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Board of</w:t>
            </w: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Directors</w:t>
            </w:r>
          </w:p>
        </w:tc>
        <w:tc>
          <w:tcPr>
            <w:tcW w:w="86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r>
      <w:tr>
        <w:trPr>
          <w:trHeight w:val="47"/>
        </w:trPr>
        <w:tc>
          <w:tcPr>
            <w:tcW w:w="40" w:type="dxa"/>
            <w:vAlign w:val="bottom"/>
            <w:tcBorders>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r>
    </w:tbl>
    <w:p>
      <w:pPr>
        <w:spacing w:after="0" w:line="101" w:lineRule="exact"/>
        <w:rPr>
          <w:sz w:val="20"/>
          <w:szCs w:val="20"/>
          <w:color w:val="auto"/>
        </w:rPr>
      </w:pPr>
    </w:p>
    <w:p>
      <w:pPr>
        <w:ind w:left="760" w:hanging="114"/>
        <w:spacing w:after="0"/>
        <w:tabs>
          <w:tab w:leader="none" w:pos="760" w:val="left"/>
        </w:tabs>
        <w:numPr>
          <w:ilvl w:val="0"/>
          <w:numId w:val="3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Excludes the proposed equity-based grants.</w:t>
      </w:r>
    </w:p>
    <w:p>
      <w:pPr>
        <w:spacing w:after="0" w:line="21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As of August 4, 2025, the Company has a total of 120,007,417 Ordinary Shares outstanding. In addition, the Company has granted options and RSUs exercisable (assuming vesting of all such grants) into a total of 6,550,007 additional ordinary shares, or Current Equity Grants, and has an aggregate of 4,718,380 ordinary shares reserved for future awards of equity-based compensation under its 2010 Employee Option Allocation Plan, or Pool for Future Equity Grants.</w:t>
      </w:r>
    </w:p>
    <w:p>
      <w:pPr>
        <w:spacing w:after="0" w:line="19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this Proposal 5 and Proposals 4 above and 6 below, the Company now proposes to grant options, RSUs and PSUs exercisable (assuming vesting of all such grants) into a total of 698,296 additional ordinary shares, or Proposed Equity Grants.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Assuming Proposals 4, 5 and 6 are approved by shareholders and that the Company makes the equity grants included therein, the Current Equity Grants plus the Proposed Equity Grants (assuming vesting of all such grants) would represent 5.7% of the total share capital of the Company on a fully diluted basis. Assuming the Company were to make equity grants equal to the entire Pool for Future Equity Gants, the Current Equity Grants plus the Pool for Future Equity Grants (assuming the vesting of all such grants) would represent 8.6% of the total share capital of the Company on a fully diluted basis.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proposed that at the General Meeting, the following resolution be adopted:</w:t>
      </w:r>
    </w:p>
    <w:p>
      <w:pPr>
        <w:spacing w:after="0" w:line="235" w:lineRule="exact"/>
        <w:rPr>
          <w:sz w:val="20"/>
          <w:szCs w:val="20"/>
          <w:color w:val="auto"/>
        </w:rPr>
      </w:pPr>
    </w:p>
    <w:p>
      <w:pPr>
        <w:jc w:val="both"/>
        <w:ind w:right="20" w:firstLine="648"/>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“RESOLVED, to approve the compensation of Mr. Gilad Yavetz, our newly appointed full-time Executive Chairman of the Board of Directors.”</w:t>
      </w:r>
    </w:p>
    <w:p>
      <w:pPr>
        <w:spacing w:after="0" w:line="158"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The affirmative vote of at least a majority of the voting power represented at the General Meeting, in person or by proxy and voting thereon, is required to adopt this resolution.</w:t>
      </w:r>
    </w:p>
    <w:p>
      <w:pPr>
        <w:spacing w:after="0" w:line="16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approval of this resolution is subject to and contingent upon the approval of Proposal 2 regarding Mr. Yavetz’s re-election to the Board and Proposal 3 regarding approval of the Amended Compensation Policy.</w:t>
      </w:r>
    </w:p>
    <w:p>
      <w:pPr>
        <w:spacing w:after="0" w:line="159"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THE COMPANY’S COMPENSATION COMMITTEE AND BOARD OF DIRECTORS UNANIMOUSLY RECOMMEND A VOTE </w:t>
      </w: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THE APPROVAL OF THIS RESOLUTION.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PROPOSAL NO. 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APPROVING COMPENSATION OF MR. YAIR SEROUSSI, OUR NEWLY APPOINTED VICE CHAIRMAN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BOARD OF DIRECTORS</w:t>
      </w:r>
    </w:p>
    <w:p>
      <w:pPr>
        <w:spacing w:after="0" w:line="234"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As part of the expansion and strengthening of our executive leadership team announced on July 30, 2025 and effective October 1, 2025 (as more fully described in Proposal 4, above), Yair Seroussi, who has served as part time Chairman of the Board for the past seven years, will transition to a new role as Vice Chairman of the Board.</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compensation committee and Board of Directors have approved, and recommended that the shareholders approve, the compensation of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Seroussi, as described below.</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Salary</w:t>
      </w: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Effective as of the date of the general meeting’s approval, Mr. Seroussi will be entitled to a monthly salary of NIS 50,000 paid against an invoice (reflecting a gross monthly payment equivalent to NIS 38,462), which – subject to approval of the Amended Compensation Policy in Proposal 3 at this General Meeting – shall be adjusted in January of each year to reflect increases in the CPI for the preceding calendar year. This linkage will take effect starting with the salary for January 2027, based on the CPI increase in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Seroussi will dedicate the equivalent of 40% of the time required by a full-time position to his role as Vice Chairman of our Board of Directors.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Seroussi’s equity-based compensation shall consist of:</w:t>
      </w:r>
    </w:p>
    <w:p>
      <w:pPr>
        <w:spacing w:after="0" w:line="235" w:lineRule="exact"/>
        <w:rPr>
          <w:sz w:val="20"/>
          <w:szCs w:val="20"/>
          <w:color w:val="auto"/>
        </w:rPr>
      </w:pPr>
    </w:p>
    <w:p>
      <w:pPr>
        <w:ind w:left="260" w:hanging="252"/>
        <w:spacing w:after="0"/>
        <w:tabs>
          <w:tab w:leader="none" w:pos="2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Options</w:t>
      </w:r>
    </w:p>
    <w:p>
      <w:pPr>
        <w:spacing w:after="0" w:line="256"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of 51,574 stock options with a total value of NIS 1,837,569, reflecting an annual value of NIS 459,392 over the vesting period (calculated linearly, not based on accounting expense), and an exercise price of NIS 84.6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will be granted on the Grant Date.</w:t>
      </w:r>
    </w:p>
    <w:p>
      <w:pPr>
        <w:spacing w:after="0" w:line="23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as long as Mr. Seroussi is an office holder in Enlight’s group, the options will vest in four equal annual tranches of 25% each. The first tranche will vest 12 months after the Grant Date, and the remaining three tranches will vest annually thereafter.</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of the options will be governed by the Company’s equity compensation plan and the award agreement, subject to adjustment and acceleration mechanisms stated therein.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issued upon exercise of the options will be listed for trading on TASE.</w:t>
      </w:r>
    </w:p>
    <w:p>
      <w:pPr>
        <w:spacing w:after="0" w:line="234"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PSUs</w:t>
      </w:r>
    </w:p>
    <w:p>
      <w:pPr>
        <w:spacing w:after="0" w:line="242"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of 11,339 PSUs (performance-based RSUs) with a total value of NIS 918,784, reflecting an annual value of NIS 229,696 over the vesting period (calculated linearly, not based on accounting expense).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PSUs will be granted on the Grant Date.</w:t>
      </w:r>
    </w:p>
    <w:p>
      <w:pPr>
        <w:spacing w:after="0" w:line="23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as long as Mr. Seroussi is an office holder in Enlight’s group, the PSUs will vest in four equal annual tranches of 25% each. The first tranche will vest 12 months after the Grant Date, and the remaining three tranches will vest annually thereafter, subject to achieving business targets that are based on the following metrics: (i) Total Income and Revenues, and (ii) Adjusted EBITDA (a Non-GAAP metric) (“</w:t>
      </w:r>
      <w:r>
        <w:rPr>
          <w:rFonts w:ascii="Times New Roman" w:cs="Times New Roman" w:eastAsia="Times New Roman" w:hAnsi="Times New Roman"/>
          <w:sz w:val="18"/>
          <w:szCs w:val="18"/>
          <w:b w:val="1"/>
          <w:bCs w:val="1"/>
          <w:color w:val="auto"/>
        </w:rPr>
        <w:t>Performance Metrics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year, the target threshold will be the midpoint of the Company’s forecast for the relevant metric, as published by the Company at the beginning of the calendar year (the “</w:t>
      </w:r>
      <w:r>
        <w:rPr>
          <w:rFonts w:ascii="Times New Roman" w:cs="Times New Roman" w:eastAsia="Times New Roman" w:hAnsi="Times New Roman"/>
          <w:sz w:val="18"/>
          <w:szCs w:val="18"/>
          <w:b w:val="1"/>
          <w:bCs w:val="1"/>
          <w:color w:val="auto"/>
        </w:rPr>
        <w:t>Target Threshold</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will be measured against the Company’s results for the calendar year preceding the vesting date, from January 1 to December 31, as published in its Annual Report on Form 20-F.</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of each annual tranche will be conditioned upon achievement of 90% of the Target Threshold (the “</w:t>
      </w:r>
      <w:r>
        <w:rPr>
          <w:rFonts w:ascii="Times New Roman" w:cs="Times New Roman" w:eastAsia="Times New Roman" w:hAnsi="Times New Roman"/>
          <w:sz w:val="18"/>
          <w:szCs w:val="18"/>
          <w:b w:val="1"/>
          <w:bCs w:val="1"/>
          <w:color w:val="auto"/>
        </w:rPr>
        <w:t>Minimal Threshold</w:t>
      </w:r>
      <w:r>
        <w:rPr>
          <w:rFonts w:ascii="Times New Roman" w:cs="Times New Roman" w:eastAsia="Times New Roman" w:hAnsi="Times New Roman"/>
          <w:sz w:val="18"/>
          <w:szCs w:val="18"/>
          <w:color w:val="auto"/>
        </w:rPr>
        <w:t>”), which will entitle vesting of 50% of the PSUs of the tranche, with a linear interpolation to apply for performance between the Minimal Threshold and the Target Threshold.</w:t>
      </w:r>
    </w:p>
    <w:p>
      <w:pPr>
        <w:spacing w:after="0" w:line="17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100% or more of the Target Threshold will result in vesting of 100% of the PSUs for that tranche.</w:t>
      </w:r>
    </w:p>
    <w:p>
      <w:pPr>
        <w:spacing w:after="0" w:line="23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Metrics are equally weighted (50% each). However, overall performance will not be based on averaging the two Performance Metrics, and non-achievement of one metric cannot be offset by overperformance of the other.</w:t>
      </w:r>
    </w:p>
    <w:p>
      <w:pPr>
        <w:sectPr>
          <w:pgSz w:w="11900" w:h="16838" w:orient="portrait"/>
          <w:cols w:equalWidth="0" w:num="1">
            <w:col w:w="11240"/>
          </w:cols>
          <w:pgMar w:left="320" w:top="117" w:right="339" w:bottom="1136"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136" w:gutter="0" w:footer="0" w:header="0"/>
          <w:type w:val="continuous"/>
        </w:sectPr>
      </w:pPr>
    </w:p>
    <w:bookmarkStart w:id="27" w:name="page28"/>
    <w:bookmarkEnd w:id="27"/>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satisfying the above conditions, the vested PSUs will convert into ordinary shares of the Company in accordance with the equity compensation plan and the award agreement, subject to adjustment and acceleration mechanisms stated therein.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issued from vested PSUs will be listed for trading on TASE.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Approval of Mr. Seroussi’s Proposed Compensation:</w:t>
      </w:r>
    </w:p>
    <w:p>
      <w:pPr>
        <w:spacing w:after="0" w:line="256" w:lineRule="exact"/>
        <w:rPr>
          <w:sz w:val="20"/>
          <w:szCs w:val="20"/>
          <w:color w:val="auto"/>
        </w:rPr>
      </w:pPr>
    </w:p>
    <w:p>
      <w:pPr>
        <w:jc w:val="both"/>
        <w:ind w:left="660" w:hanging="328"/>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Seroussi will dedicate 40% of his overall working time to the Company. With his extensive experience with the Company and deep business knowledge, particularly in finance and capital markets, the Board believes that Mr. Seroussi will continue to strengthen the Board of Directors in his capacity as Vice Chairman. Mr. Seroussi will continue to take an active part in the boards of directors of subsidiary companies, and the Board believes that he will contribute to the Company’s continued growth with his expertise in strategic planning and risk management.</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believes that it is in the best interests of the Company to ensure the continued service of Mr. Seroussi as Vice Chairmen of the Board, given his valuable long-term contribution to the Company and the boards of directors of the Company’s subsidiaries.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terms of service and employment are consistent with Mr. Seroussi’s education, qualifications, expertise in the field of finance, strategic perspective, unique professional experience, accomplishments, and the level of responsibility and challenges inherent in his role.</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terms of service and employment are aligned with prevailing compensation practices for Vice Chairman of the Board in the Company’s sector and in companies with similar characteristics.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terms are appropriate in light of the Company’s size, scope of operations, geographic footprint, current and long-term operational complexity, particularly in a dynamic regulatory environment, and its distinctive characteristics as an entrepreneurial company and independent power producer (IPP) with a unique identity.</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equity-based compensation constitutes an appropriate incentive and aligns Mr. Seroussi’s interests with those of the Company and its shareholders. The structure of the equity compensation (including options and PSUs), along with the proposed vesting conditions, ensures a substantial portion of the equity-based compensation is performance based and thus creates a connection between compensation and the Company’s long-term performance. Furthermore, the proposed value of the equity-based compensation does not create undue dependence or encourage excessive risk-taking.</w:t>
      </w:r>
    </w:p>
    <w:p>
      <w:pPr>
        <w:spacing w:after="0" w:line="19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terms of service and employment comply with the provisions of the Israeli Companies Law and the Company’s compensation policy, are in the best interests of the Company, and do not constitute a distribution as defined under the Israeli Companies Law.</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both"/>
        <w:ind w:right="20" w:firstLine="648"/>
        <w:spacing w:after="0" w:line="274" w:lineRule="auto"/>
        <w:rPr>
          <w:sz w:val="20"/>
          <w:szCs w:val="20"/>
          <w:color w:val="auto"/>
        </w:rPr>
      </w:pPr>
      <w:r>
        <w:rPr>
          <w:rFonts w:ascii="Times New Roman" w:cs="Times New Roman" w:eastAsia="Times New Roman" w:hAnsi="Times New Roman"/>
          <w:sz w:val="18"/>
          <w:szCs w:val="18"/>
          <w:color w:val="auto"/>
        </w:rPr>
        <w:t>Following is a breakdown of the compensation expected to be paid for each year, effective October 1, 2025, to Mr. Seroussi (in terms of cost to the Company, in NIS thousands), including the proposed equity-based awards, in accordance with the sixth addendum to the Israeli Securities Regulations (Periodic and Immediate Reports), 1980: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tcBorders>
              <w:top w:val="single" w:sz="8" w:color="auto"/>
              <w:right w:val="single" w:sz="8" w:color="auto"/>
            </w:tcBorders>
            <w:shd w:val="clear" w:color="auto" w:fill="000000"/>
          </w:tcPr>
          <w:p>
            <w:pPr>
              <w:spacing w:after="0"/>
              <w:rPr>
                <w:sz w:val="23"/>
                <w:szCs w:val="23"/>
                <w:color w:val="auto"/>
              </w:rPr>
            </w:pPr>
          </w:p>
        </w:tc>
        <w:tc>
          <w:tcPr>
            <w:tcW w:w="3460" w:type="dxa"/>
            <w:vAlign w:val="bottom"/>
            <w:tcBorders>
              <w:top w:val="single" w:sz="8" w:color="auto"/>
              <w:right w:val="single" w:sz="8" w:color="auto"/>
            </w:tcBorders>
            <w:gridSpan w:val="4"/>
          </w:tcPr>
          <w:p>
            <w:pPr>
              <w:ind w:left="360"/>
              <w:spacing w:after="0"/>
              <w:rPr>
                <w:sz w:val="20"/>
                <w:szCs w:val="20"/>
                <w:color w:val="auto"/>
              </w:rPr>
            </w:pPr>
            <w:r>
              <w:rPr>
                <w:rFonts w:ascii="Times New Roman" w:cs="Times New Roman" w:eastAsia="Times New Roman" w:hAnsi="Times New Roman"/>
                <w:sz w:val="18"/>
                <w:szCs w:val="18"/>
                <w:color w:val="auto"/>
              </w:rPr>
              <w:t>Details of Recipient of Compensation</w:t>
            </w:r>
          </w:p>
        </w:tc>
        <w:tc>
          <w:tcPr>
            <w:tcW w:w="66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29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Compensation for Services</w:t>
            </w:r>
          </w:p>
        </w:tc>
        <w:tc>
          <w:tcPr>
            <w:tcW w:w="680" w:type="dxa"/>
            <w:vAlign w:val="bottom"/>
            <w:tcBorders>
              <w:top w:val="single" w:sz="8" w:color="auto"/>
            </w:tcBorders>
          </w:tcPr>
          <w:p>
            <w:pPr>
              <w:spacing w:after="0"/>
              <w:rPr>
                <w:sz w:val="23"/>
                <w:szCs w:val="23"/>
                <w:color w:val="auto"/>
              </w:rPr>
            </w:pPr>
          </w:p>
        </w:tc>
        <w:tc>
          <w:tcPr>
            <w:tcW w:w="880" w:type="dxa"/>
            <w:vAlign w:val="bottom"/>
            <w:tcBorders>
              <w:top w:val="single" w:sz="8" w:color="auto"/>
              <w:right w:val="single" w:sz="8" w:color="auto"/>
            </w:tcBorders>
          </w:tcPr>
          <w:p>
            <w:pPr>
              <w:spacing w:after="0"/>
              <w:rPr>
                <w:sz w:val="23"/>
                <w:szCs w:val="23"/>
                <w:color w:val="auto"/>
              </w:rPr>
            </w:pPr>
          </w:p>
        </w:tc>
        <w:tc>
          <w:tcPr>
            <w:tcW w:w="70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Total</w:t>
            </w: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r>
      <w:tr>
        <w:trPr>
          <w:trHeight w:val="225"/>
        </w:trPr>
        <w:tc>
          <w:tcPr>
            <w:tcW w:w="40" w:type="dxa"/>
            <w:vAlign w:val="bottom"/>
            <w:tcBorders>
              <w:right w:val="single" w:sz="8" w:color="auto"/>
            </w:tcBorders>
            <w:shd w:val="clear" w:color="auto" w:fill="000000"/>
          </w:tcPr>
          <w:p>
            <w:pPr>
              <w:spacing w:after="0"/>
              <w:rPr>
                <w:sz w:val="19"/>
                <w:szCs w:val="19"/>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Name</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Position</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Scope of</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 of</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Salary</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Bonus</w:t>
            </w:r>
          </w:p>
        </w:tc>
        <w:tc>
          <w:tcPr>
            <w:tcW w:w="1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Equity-based</w:t>
            </w:r>
          </w:p>
        </w:tc>
        <w:tc>
          <w:tcPr>
            <w:tcW w:w="18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Management Fees</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Consulting Fees</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Fees</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tcBorders>
              <w:right w:val="single" w:sz="8" w:color="auto"/>
            </w:tcBorders>
          </w:tcPr>
          <w:p>
            <w:pPr>
              <w:spacing w:after="0"/>
              <w:rPr>
                <w:sz w:val="19"/>
                <w:szCs w:val="19"/>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Position</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66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Compensation</w:t>
            </w:r>
          </w:p>
        </w:tc>
        <w:tc>
          <w:tcPr>
            <w:tcW w:w="18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r>
      <w:tr>
        <w:trPr>
          <w:trHeight w:val="292"/>
        </w:trPr>
        <w:tc>
          <w:tcPr>
            <w:tcW w:w="40" w:type="dxa"/>
            <w:vAlign w:val="bottom"/>
            <w:tcBorders>
              <w:right w:val="single" w:sz="8" w:color="auto"/>
            </w:tcBorders>
            <w:shd w:val="clear" w:color="auto" w:fill="000000"/>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jc w:val="center"/>
              <w:spacing w:after="0" w:line="284" w:lineRule="exact"/>
              <w:rPr>
                <w:sz w:val="20"/>
                <w:szCs w:val="20"/>
                <w:color w:val="auto"/>
              </w:rPr>
            </w:pPr>
            <w:r>
              <w:rPr>
                <w:rFonts w:ascii="Times New Roman" w:cs="Times New Roman" w:eastAsia="Times New Roman" w:hAnsi="Times New Roman"/>
                <w:sz w:val="18"/>
                <w:szCs w:val="18"/>
                <w:color w:val="auto"/>
                <w:w w:val="93"/>
              </w:rPr>
              <w:t>Owned</w:t>
            </w:r>
            <w:r>
              <w:rPr>
                <w:rFonts w:ascii="Times New Roman" w:cs="Times New Roman" w:eastAsia="Times New Roman" w:hAnsi="Times New Roman"/>
                <w:sz w:val="29"/>
                <w:szCs w:val="29"/>
                <w:color w:val="auto"/>
                <w:w w:val="93"/>
                <w:vertAlign w:val="superscript"/>
              </w:rPr>
              <w:t>1</w:t>
            </w:r>
          </w:p>
        </w:tc>
        <w:tc>
          <w:tcPr>
            <w:tcW w:w="6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r>
      <w:tr>
        <w:trPr>
          <w:trHeight w:val="225"/>
        </w:trPr>
        <w:tc>
          <w:tcPr>
            <w:tcW w:w="4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Yair</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Vice</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0.002%</w:t>
            </w:r>
          </w:p>
        </w:tc>
        <w:tc>
          <w:tcPr>
            <w:tcW w:w="66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600</w:t>
            </w:r>
          </w:p>
        </w:tc>
        <w:tc>
          <w:tcPr>
            <w:tcW w:w="66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919</w:t>
            </w:r>
          </w:p>
        </w:tc>
        <w:tc>
          <w:tcPr>
            <w:tcW w:w="18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1,519</w:t>
            </w:r>
          </w:p>
        </w:tc>
      </w:tr>
      <w:tr>
        <w:trPr>
          <w:trHeight w:val="229"/>
        </w:trPr>
        <w:tc>
          <w:tcPr>
            <w:tcW w:w="4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Seroussi</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Chairman</w:t>
            </w:r>
          </w:p>
        </w:tc>
        <w:tc>
          <w:tcPr>
            <w:tcW w:w="82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r>
      <w:tr>
        <w:trPr>
          <w:trHeight w:val="230"/>
        </w:trPr>
        <w:tc>
          <w:tcPr>
            <w:tcW w:w="4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of the</w:t>
            </w:r>
          </w:p>
        </w:tc>
        <w:tc>
          <w:tcPr>
            <w:tcW w:w="82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Board of</w:t>
            </w:r>
          </w:p>
        </w:tc>
        <w:tc>
          <w:tcPr>
            <w:tcW w:w="8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Directors</w:t>
            </w:r>
          </w:p>
        </w:tc>
        <w:tc>
          <w:tcPr>
            <w:tcW w:w="82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r>
      <w:tr>
        <w:trPr>
          <w:trHeight w:val="48"/>
        </w:trPr>
        <w:tc>
          <w:tcPr>
            <w:tcW w:w="40" w:type="dxa"/>
            <w:vAlign w:val="bottom"/>
            <w:tcBorders>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r>
    </w:tbl>
    <w:p>
      <w:pPr>
        <w:spacing w:after="0" w:line="87" w:lineRule="exact"/>
        <w:rPr>
          <w:sz w:val="20"/>
          <w:szCs w:val="20"/>
          <w:color w:val="auto"/>
        </w:rPr>
      </w:pPr>
    </w:p>
    <w:p>
      <w:pPr>
        <w:ind w:left="760" w:hanging="104"/>
        <w:spacing w:after="0"/>
        <w:tabs>
          <w:tab w:leader="none" w:pos="760"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Excludes the proposed equity-based grants.</w:t>
      </w:r>
    </w:p>
    <w:p>
      <w:pPr>
        <w:spacing w:after="0" w:line="22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As of August 4, 2025, the Company has a total of 120,007,417 Ordinary Shares outstanding. In addition, the Company has granted options and RSUs exercisable (assuming vesting of all such grants) into a total of 6,550,007 additional ordinary shares, or Current Equity Grants, and has an aggregate of 4,718,380 ordinary shares reserved for future awards of equity-based compensation under its 2010 Employee Option Allocation Plan, or Pool for Future Equity Grants.</w:t>
      </w:r>
    </w:p>
    <w:p>
      <w:pPr>
        <w:spacing w:after="0" w:line="186"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Pursuant to this Proposal 6 and Proposals 4 and 5 above, the Company now proposes to grant options, RSUs and PSUs exercisable (assuming vesting of all such grants) into a total of 698,296 additional ordinary shares, or Proposed Equity Grants.</w:t>
      </w:r>
    </w:p>
    <w:p>
      <w:pPr>
        <w:spacing w:after="0" w:line="16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Assuming Proposals 4, 5 and 6 are approved by shareholders and that the Company makes the equity grants included therein, the Current Equity Grants plus the Proposed Equity Grants (assuming vesting of all such grants) would represent 5.7% of the total share capital of the Company on a fully diluted basis. Assuming the Company were to make equity grants equal to the entire Pool for Future Equity Gants, the Current Equity Grants plus the Pool for Future Equity Grants (assuming the vesting of all such grants) would represent 8.6% of the total share capital of the Company on a fully diluted basis.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proposed that at the General Meeting, the following resolution be adopted:</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“RESOLVED, to approve the compensation of Mr. Yair Seroussi, our newly appointed Vice Chairman of the Board of Directors.”</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affirmative vote of at least a majority of the voting power represented at the General Meeting, in person or by proxy and voting thereon, is required to adopt this resolution.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approval of this resolution is subject to and contingent upon the approval of Proposal 2 regarding Mr. Seroussi’s re-election to the Board and Proposal 3 regarding approval of the Amended Compensation Policy.</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COMPANY’S COMPENSATION COMMITTEE AND BOARD OF DIRECTORS UNANIMOUSLY RECOMMEND A VOTE </w:t>
      </w: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THE APPROVAL OF THIS RESOLUTION.</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43" w:lineRule="exact"/>
        <w:rPr>
          <w:sz w:val="20"/>
          <w:szCs w:val="20"/>
          <w:color w:val="auto"/>
        </w:rPr>
      </w:pPr>
    </w:p>
    <w:p>
      <w:pPr>
        <w:jc w:val="both"/>
        <w:ind w:firstLine="638"/>
        <w:spacing w:after="0" w:line="281" w:lineRule="auto"/>
        <w:rPr>
          <w:sz w:val="20"/>
          <w:szCs w:val="20"/>
          <w:color w:val="auto"/>
        </w:rPr>
      </w:pPr>
      <w:r>
        <w:rPr>
          <w:rFonts w:ascii="Times New Roman" w:cs="Times New Roman" w:eastAsia="Times New Roman" w:hAnsi="Times New Roman"/>
          <w:sz w:val="18"/>
          <w:szCs w:val="18"/>
          <w:color w:val="auto"/>
        </w:rPr>
        <w:t>Other than as set forth above, as of the mailing of this Proxy Statement, the Company knows of no business to be transacted at the General Meeting; however, if any other matters are properly presented at the General Meeting, it is intended that the persons named as proxies will vote upon such matters, pursuant to their discretionary authority, according to their best judgment and in the interest of the Company.</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 PROPOSALS FOR 2026 ANNUAL GENERAL MEETING OF SHAREHOLDERS</w:t>
      </w:r>
    </w:p>
    <w:p>
      <w:pPr>
        <w:spacing w:after="0" w:line="243"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Under the Companies Law and the Company’s Articles, shareholders who severally or jointly hold at least 1% of the Company’s outstanding voting rights are entitled to request that the Board of Directors include a proposal in a future shareholders meeting, provided that such proposal is appropriate for consideration by shareholders at such meeting. To be considered for inclusion in the Company’s proxy statement for our 2026 annual general meeting of shareholders pursuant to the Companies Law, shareholder proposals must be in writing and must be properly submitted to the Company’s offices, c/o Ms. Lisa Haimovitz, at 13 Amal St., Afek Industrial Park, Rosh Ha’ayin 4809249, Israel, and must otherwise comply with the requirements of the Companies Law. The written proposal must be received by the Company not later than the seventh calendar day following the day on which the Company calls and provides notice of the 2026 annual general meeting of shareholders.</w:t>
      </w:r>
    </w:p>
    <w:p>
      <w:pPr>
        <w:spacing w:after="0" w:line="203" w:lineRule="exact"/>
        <w:rPr>
          <w:sz w:val="20"/>
          <w:szCs w:val="20"/>
          <w:color w:val="auto"/>
        </w:rPr>
      </w:pPr>
    </w:p>
    <w:p>
      <w:pPr>
        <w:jc w:val="both"/>
        <w:ind w:firstLine="638"/>
        <w:spacing w:after="0" w:line="274" w:lineRule="auto"/>
        <w:rPr>
          <w:sz w:val="20"/>
          <w:szCs w:val="20"/>
          <w:color w:val="auto"/>
        </w:rPr>
      </w:pPr>
      <w:r>
        <w:rPr>
          <w:rFonts w:ascii="Times New Roman" w:cs="Times New Roman" w:eastAsia="Times New Roman" w:hAnsi="Times New Roman"/>
          <w:sz w:val="18"/>
          <w:szCs w:val="18"/>
          <w:color w:val="auto"/>
        </w:rPr>
        <w:t>The Company currently expects that the agenda for the annual general meeting of shareholders to be held in 2026 will include, among others, (1) the election (or re-election) of directors; (2) the approval of the appointment (or re-appointment) and compensation of the Company’s auditors; and (3) presentation for discussion of the financial statements of the Company for the year ended December 31, 2025.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243" w:lineRule="exact"/>
        <w:rPr>
          <w:sz w:val="20"/>
          <w:szCs w:val="20"/>
          <w:color w:val="auto"/>
        </w:rPr>
      </w:pPr>
    </w:p>
    <w:p>
      <w:pPr>
        <w:jc w:val="both"/>
        <w:ind w:firstLine="638"/>
        <w:spacing w:after="0" w:line="297" w:lineRule="auto"/>
        <w:rPr>
          <w:sz w:val="20"/>
          <w:szCs w:val="20"/>
          <w:color w:val="auto"/>
        </w:rPr>
      </w:pPr>
      <w:r>
        <w:rPr>
          <w:rFonts w:ascii="Times New Roman" w:cs="Times New Roman" w:eastAsia="Times New Roman" w:hAnsi="Times New Roman"/>
          <w:sz w:val="18"/>
          <w:szCs w:val="18"/>
          <w:color w:val="auto"/>
        </w:rPr>
        <w:t>This Proxy Statement presents Adjusted EBITDA, a financial metric, which is provided as a complement to the results provided in accordance with the International Financial Reporting Standards as issued by the International Accounting Standards Board (“</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We define Adjusted EBITDA as net income (loss) plus depreciation and amortization, share based compensation, finance expenses, taxes on income and share in losses of equity accounted investees and minus finance income and non-recurring portions of other income, net. For the purposes of calculating Adjusted EBITDA, compensation for inadequate performance of goods and services procured by the Company are included in other income, net. Compensation for inadequate performance of goods and services reflects the profits the Company would have generated under regular operating conditions and is therefore included in Adjusted EBITDA. With respect to gains (losses) from asset disposals, as part of our strategy to accelerate growth and reduce the need for equity financing, the Company sells parts or the entirety of selected renewable energy project assets from time to time, and therefore includes realized gains or losses from these asset disposals in Adjusted EBITDA. In the case of partial assets disposals, Adjusted EBITDA includes only the actual consideration less the book value of the assets sold. Our management believes Adjusted EBITDA is indicative of operational performance and ongoing profitability and uses Adjusted EBITDA to evaluate the operating performance and for planning and forecasting purposes.</w:t>
      </w:r>
    </w:p>
    <w:p>
      <w:pPr>
        <w:spacing w:after="0" w:line="190"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Non-IFRS financial measures have limitations as analytical tools and should not be considered in isolation or as substitutes for financial information presented under IFRS. There are a number of limitations related to the use of non-IFRS financial measures versus comparable financial measures determined under IFRS. For example, other companies in our industry may calculate the non-IFRS financial measures that we use differently or may use other measures to evaluate their performance. All of these limitations could reduce the usefulness of our non-IFRS financial measures as analytical tools. Investors are encouraged to review the related IFRS financial measure, Net Income and to not rely on any single financial measure to evaluate our business.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3" w:lineRule="exact"/>
        <w:rPr>
          <w:sz w:val="20"/>
          <w:szCs w:val="20"/>
          <w:color w:val="auto"/>
        </w:rPr>
      </w:pPr>
    </w:p>
    <w:p>
      <w:pPr>
        <w:jc w:val="both"/>
        <w:ind w:firstLine="638"/>
        <w:spacing w:after="0" w:line="263" w:lineRule="auto"/>
        <w:rPr>
          <w:sz w:val="20"/>
          <w:szCs w:val="20"/>
          <w:color w:val="auto"/>
        </w:rPr>
      </w:pPr>
      <w:r>
        <w:rPr>
          <w:rFonts w:ascii="Times New Roman" w:cs="Times New Roman" w:eastAsia="Times New Roman" w:hAnsi="Times New Roman"/>
          <w:sz w:val="18"/>
          <w:szCs w:val="18"/>
          <w:color w:val="auto"/>
        </w:rPr>
        <w:t>This Proxy Statement contains forward-looking statements within the meaning of the U.S. Private Securities Litigation Reform Act of 1995. We intend such forward-looking statements to be covered by the safe harbor provisions for forward-looking statements as contained in Section 27A of the Securities Act of 1933, as amended, and Section 21E of the Securities Exchange Act of 1934, as amended. All statements contained in this Proxy Statement other than statements of historical fact, including, without limitation, statements regarding the Company’s business strategy and plans, capabilities of the Company’s project portfolio and achievement of operational objectives, market opportunity, utility demand and potential growth, discussions with commercial counterparties and financing sources, pricing trends for materials, progress of Company projects, including anticipated timing of related approvals and project completion and anticipated production delays, expectations relating to our projects, plans or projections, the Company’s predicted or anticipated future financial results, expected impact from various regulatory developments, expectations relating to our projects including regarding wind production, electricity prices and windfall taxes, the potential impact of the current conflicts in Israel on our operations and financial condition and Company actions designed to mitigate such impact, and Revenue and Adjusted EBITDA guidance, the expected timing of completion of our ongoing projects, and the Company’s anticipated cash requirements and financing plans, are forward-looking statements. The words “may,” “might,” “will,” “could,” “would,” “should,” “expect,” “plan,” “anticipate,” “intend,” “target,” “seek,” “believe,” “estimate,” “predict,” “potential,” “continue,” “contemplate,” “possible,” “forecasts,” “aims” or the negative of these terms and similar expressions are intended to identify forward-looking statements, though not all forward-looking statements use these words or expressions.</w:t>
      </w:r>
    </w:p>
    <w:p>
      <w:pPr>
        <w:spacing w:after="0" w:line="200" w:lineRule="exact"/>
        <w:rPr>
          <w:sz w:val="20"/>
          <w:szCs w:val="20"/>
          <w:color w:val="auto"/>
        </w:rPr>
      </w:pPr>
    </w:p>
    <w:p>
      <w:pPr>
        <w:jc w:val="both"/>
        <w:ind w:firstLine="638"/>
        <w:spacing w:after="0" w:line="262" w:lineRule="auto"/>
        <w:rPr>
          <w:sz w:val="20"/>
          <w:szCs w:val="20"/>
          <w:color w:val="auto"/>
        </w:rPr>
      </w:pPr>
      <w:r>
        <w:rPr>
          <w:rFonts w:ascii="Times New Roman" w:cs="Times New Roman" w:eastAsia="Times New Roman" w:hAnsi="Times New Roman"/>
          <w:sz w:val="18"/>
          <w:szCs w:val="18"/>
          <w:color w:val="auto"/>
        </w:rPr>
        <w:t>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ability to site suitable land for, and otherwise source, renewable energy projects and to successfully develop and convert them into operational projects; availability of, and access to, interconnection facilities and transmission systems; our ability to obtain and maintain governmental and other regulatory approvals and permits, including environmental approvals and permits; construction delays, operational delays and supply chain disruptions leading to increased cost of materials required for the construction of our projects, as well as cost overruns and delays related to disputes with contractors; disruptions in trade caused by political, social or economic instability in regions where our components and materials are made; our suppliers’ ability and willingness to perform both existing and future obligations; competition from traditional and renewable energy companies in developing renewable energy projects; potential slowed demand for renewable energy projects and our ability to enter into new offtake contracts on acceptable terms and prices as current offtake contracts expire; offtakers’ ability to terminate contracts or seek other remedies resulting from failure of our projects to meet development, operational or performance benchmarks; exposure to market prices in some of our offtake contracts; various technical and operational challenges leading to unplanned outages, reduced output, interconnection or termination issues; the dependence of our production and total revenues and income on suitable meteorological and environmental conditions, and our ability to accurately predict such conditions; our ability to enforce warranties provided by our counterparties in the event that our projects do not perform as expected; government curtailment, energy price caps and other government actions that restrict or reduce the profitability of renewable energy production; electricity price volatility, unusual weather conditions (including the effects of climate change, could adversely affect wind and solar conditions), catastrophic weather-related or other damage to facilities, unscheduled generation outages, maintenance or repairs, unanticipated changes to availability due to higher demand, shortages, transportation problems or other developments, environmental incidents, or electric transmission system constraints and the possibility that we may not have adequate insurance to cover losses as a result of such hazards; our dependence on certain operational projects for a substantial portion of our cash flows; our ability to continue to grow our portfolio of projects through successful acquisitions; changes and advances in technology that impair or eliminate the competitive advantage of our projects or upsets the expectations underlying investments in our technologies; our ability to effectively anticipate and manage cost inflation, interest rate risk, currency exchange fluctuations and other macroeconomic conditions that impact our business; our ability to retain and attract key personnel; our ability to manage legal and regulatory compliance and litigation risk across our global corporate structure; our ability to protect our business from, and manage the impact of, cyber-attacks, disruptions and security incidents, as well as acts of terrorism or war; changes to existing renewable energy industry policies and regulations that present technical, regulatory and economic barriers to renewable energy projects; the reduction, elimination or expiration of government incentives for, or regulations mandating the use of, renewable energy; our ability to effectively manage the global expansion of the scale of our business operations; our ability to perform to expectations in our new line of business involving the construction of photovoltaic systems for municipalities in Israel and the sale of electricity directly to corporate customers under power purchase agreements in Israel; our ability to effectively manage our supply chain and comply with applicable regulations with respect to international trade relations, tariffs, sanctions, export controls and anti-bribery and anti-corruption laws; our ability to effectively comply with Environmental Health and Safety and other laws and regulations and receive and maintain all necessary licenses, permits and authorizations; our performance of various obligations under the terms of our indebtedness (and the indebtedness of our subsidiaries that we guarantee) and our ability to continue to secure project financing on attractive terms for our projects; limitations on our management rights and operational flexibility due to our use of tax equity arrangements; potential claims and disagreements with partners, investors and other counterparties that could reduce our right to cash flows generated by our projects; our ability to comply with increasingly complex tax laws of various jurisdictions in which we currently operate as well as the tax laws in jurisdictions in which we intend to operate in the future; the unknown effect of the dual listing of our Ordinary Shares on the price of our Ordinary Shares; various risks related to our incorporation and location in Israel, including Israel’s war with Iran and the ongoing war with Hamas, where our headquarters and some of our wind energy and solar energy projects are located; the costs and requirements of being a public company, including the diversion of management’s attention with respect to such requirements; certain provisions in our Articles of Association and certain applicable regulations that may delay or prevent a change of control; and other risk factors set forth in the section titled “Risk factors” in our Annual Report on Form 20-F for the fiscal year ended December 31, 2024, filed with the SEC, as may be updated in our other documents filed with or furnished to the SEC.</w:t>
      </w:r>
    </w:p>
    <w:p>
      <w:pPr>
        <w:spacing w:after="0" w:line="199" w:lineRule="exact"/>
        <w:rPr>
          <w:sz w:val="20"/>
          <w:szCs w:val="20"/>
          <w:color w:val="auto"/>
        </w:rPr>
      </w:pPr>
    </w:p>
    <w:p>
      <w:pPr>
        <w:jc w:val="both"/>
        <w:ind w:firstLine="638"/>
        <w:spacing w:after="0" w:line="269" w:lineRule="auto"/>
        <w:rPr>
          <w:sz w:val="20"/>
          <w:szCs w:val="20"/>
          <w:color w:val="auto"/>
        </w:rPr>
      </w:pPr>
      <w:r>
        <w:rPr>
          <w:rFonts w:ascii="Times New Roman" w:cs="Times New Roman" w:eastAsia="Times New Roman" w:hAnsi="Times New Roman"/>
          <w:sz w:val="18"/>
          <w:szCs w:val="18"/>
          <w:color w:val="auto"/>
        </w:rPr>
        <w:t>These statements reflect management’s current expectations regarding future events and operating performance and speak only as of the date of this Proxy Statement.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may be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sectPr>
          <w:pgSz w:w="11900" w:h="16838" w:orient="portrait"/>
          <w:cols w:equalWidth="0" w:num="1">
            <w:col w:w="11240"/>
          </w:cols>
          <w:pgMar w:left="320" w:top="117" w:right="339" w:bottom="906"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906" w:gutter="0" w:footer="0" w:header="0"/>
          <w:type w:val="continuous"/>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43" w:lineRule="exact"/>
        <w:rPr>
          <w:sz w:val="20"/>
          <w:szCs w:val="20"/>
          <w:color w:val="auto"/>
        </w:rPr>
      </w:pPr>
    </w:p>
    <w:p>
      <w:pPr>
        <w:jc w:val="both"/>
        <w:ind w:firstLine="638"/>
        <w:spacing w:after="0" w:line="281" w:lineRule="auto"/>
        <w:rPr>
          <w:sz w:val="20"/>
          <w:szCs w:val="20"/>
          <w:color w:val="auto"/>
        </w:rPr>
      </w:pPr>
      <w:r>
        <w:rPr>
          <w:rFonts w:ascii="Times New Roman" w:cs="Times New Roman" w:eastAsia="Times New Roman" w:hAnsi="Times New Roman"/>
          <w:sz w:val="18"/>
          <w:szCs w:val="18"/>
          <w:color w:val="auto"/>
        </w:rPr>
        <w:t xml:space="preserve">The Company’s Annual Report on Form 20-F for the year ended December 31, 2024, as filed with the SEC on March 28, 2025, is available for viewing and downloading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as well as under the Investor Relations section of the Company’s website at </w:t>
      </w:r>
      <w:r>
        <w:rPr>
          <w:rFonts w:ascii="Times New Roman" w:cs="Times New Roman" w:eastAsia="Times New Roman" w:hAnsi="Times New Roman"/>
          <w:sz w:val="18"/>
          <w:szCs w:val="18"/>
          <w:u w:val="single" w:color="auto"/>
          <w:color w:val="auto"/>
        </w:rPr>
        <w:t>https://enlightenergy.co.il</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firstLine="638"/>
        <w:spacing w:after="0" w:line="271" w:lineRule="auto"/>
        <w:rPr>
          <w:sz w:val="20"/>
          <w:szCs w:val="20"/>
          <w:color w:val="auto"/>
        </w:rPr>
      </w:pPr>
      <w:r>
        <w:rPr>
          <w:rFonts w:ascii="Times New Roman" w:cs="Times New Roman" w:eastAsia="Times New Roman" w:hAnsi="Times New Roman"/>
          <w:sz w:val="18"/>
          <w:szCs w:val="18"/>
          <w:color w:val="auto"/>
        </w:rPr>
        <w:t xml:space="preserve">The Company is subject to the information reporting requirements of the Exchange Act applicable to foreign private issuers. The Company fulfills these requirements by filing reports with the SEC. The Company’s filings with the SEC are available to the public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As a foreign private issuer, the Company is exempt from the rules under the Exchange Act related to the furnishing and content of proxy statements. The circulation of this Proxy Statement should not be taken as an admission that the Company is subject to those proxy rules.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Order of the Board of Directors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Yair Seroussi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Chairman of the Board of Directors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Dated: August 7, 2025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Company’s Amended Compensation Policy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165735</wp:posOffset>
            </wp:positionV>
            <wp:extent cx="1045845" cy="3429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4584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strike w:val="1"/>
        </w:rPr>
        <w:t>4 December 2023</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Enlight Renewable Energy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 Holder Compensation Policy</w:t>
      </w:r>
      <w:r>
        <w:rPr>
          <w:rFonts w:ascii="Times New Roman" w:cs="Times New Roman" w:eastAsia="Times New Roman" w:hAnsi="Times New Roman"/>
          <w:sz w:val="29"/>
          <w:szCs w:val="29"/>
          <w:b w:val="1"/>
          <w:bCs w:val="1"/>
          <w:u w:val="single" w:color="auto"/>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337185</wp:posOffset>
            </wp:positionV>
            <wp:extent cx="10712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right="560" w:firstLine="8"/>
        <w:spacing w:after="0" w:line="201" w:lineRule="auto"/>
        <w:tabs>
          <w:tab w:leader="none" w:pos="120" w:val="left"/>
        </w:tabs>
        <w:numPr>
          <w:ilvl w:val="0"/>
          <w:numId w:val="39"/>
        </w:numPr>
        <w:rPr>
          <w:rFonts w:ascii="Times New Roman" w:cs="Times New Roman" w:eastAsia="Times New Roman" w:hAnsi="Times New Roman"/>
          <w:sz w:val="30"/>
          <w:szCs w:val="30"/>
          <w:u w:val="single" w:color="auto"/>
          <w:color w:val="auto"/>
          <w:vertAlign w:val="superscript"/>
        </w:rPr>
      </w:pPr>
      <w:r>
        <w:rPr>
          <w:rFonts w:ascii="Times New Roman" w:cs="Times New Roman" w:eastAsia="Times New Roman" w:hAnsi="Times New Roman"/>
          <w:sz w:val="18"/>
          <w:szCs w:val="18"/>
          <w:u w:val="single" w:color="auto"/>
          <w:color w:val="auto"/>
        </w:rPr>
        <w:t>This English translation of the Company’s compensation policy is provided for convenience only. In the event of any discrepancy or inconsistency between this English translation and the Hebrew original, the Hebrew version shall prevail and be binding.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Enlight Renewable Energy Ltd. (hereinafter - the “</w:t>
      </w:r>
      <w:r>
        <w:rPr>
          <w:rFonts w:ascii="Times New Roman" w:cs="Times New Roman" w:eastAsia="Times New Roman" w:hAnsi="Times New Roman"/>
          <w:sz w:val="18"/>
          <w:szCs w:val="18"/>
          <w:color w:val="auto"/>
        </w:rPr>
        <w:t>Company</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 Holder Compensation Policy</w:t>
      </w:r>
    </w:p>
    <w:p>
      <w:pPr>
        <w:spacing w:after="0" w:line="230" w:lineRule="exact"/>
        <w:rPr>
          <w:sz w:val="20"/>
          <w:szCs w:val="20"/>
          <w:color w:val="auto"/>
        </w:rPr>
      </w:pPr>
    </w:p>
    <w:p>
      <w:pPr>
        <w:ind w:left="460" w:hanging="452"/>
        <w:spacing w:after="0"/>
        <w:tabs>
          <w:tab w:leader="none" w:pos="4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Overview</w:t>
      </w:r>
    </w:p>
    <w:p>
      <w:pPr>
        <w:spacing w:after="0" w:line="31" w:lineRule="exact"/>
        <w:rPr>
          <w:rFonts w:ascii="Times New Roman" w:cs="Times New Roman" w:eastAsia="Times New Roman" w:hAnsi="Times New Roman"/>
          <w:sz w:val="18"/>
          <w:szCs w:val="18"/>
          <w:b w:val="1"/>
          <w:bCs w:val="1"/>
          <w:color w:val="auto"/>
        </w:rPr>
      </w:pPr>
    </w:p>
    <w:p>
      <w:pPr>
        <w:ind w:left="1300" w:hanging="837"/>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1.1.A compensation policy (hereinafter - the “</w:t>
      </w:r>
      <w:r>
        <w:rPr>
          <w:rFonts w:ascii="Times New Roman" w:cs="Times New Roman" w:eastAsia="Times New Roman" w:hAnsi="Times New Roman"/>
          <w:sz w:val="18"/>
          <w:szCs w:val="18"/>
          <w:b w:val="1"/>
          <w:bCs w:val="1"/>
          <w:color w:val="auto"/>
        </w:rPr>
        <w:t>Compensation Policy</w:t>
      </w:r>
      <w:r>
        <w:rPr>
          <w:rFonts w:ascii="Times New Roman" w:cs="Times New Roman" w:eastAsia="Times New Roman" w:hAnsi="Times New Roman"/>
          <w:sz w:val="18"/>
          <w:szCs w:val="18"/>
          <w:color w:val="auto"/>
        </w:rPr>
        <w:t>”), as defined in the Companies Law, 1999 (hereinafter - the “</w:t>
      </w:r>
      <w:r>
        <w:rPr>
          <w:rFonts w:ascii="Times New Roman" w:cs="Times New Roman" w:eastAsia="Times New Roman" w:hAnsi="Times New Roman"/>
          <w:sz w:val="18"/>
          <w:szCs w:val="18"/>
          <w:b w:val="1"/>
          <w:bCs w:val="1"/>
          <w:color w:val="auto"/>
        </w:rPr>
        <w:t>Companies Law</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is a policy regarding the terms of office and employment (as such terms are defined in the Companies Law from time to time) of the Company’s office holders.</w:t>
      </w:r>
    </w:p>
    <w:p>
      <w:pPr>
        <w:spacing w:after="0" w:line="185" w:lineRule="exact"/>
        <w:rPr>
          <w:rFonts w:ascii="Times New Roman" w:cs="Times New Roman" w:eastAsia="Times New Roman" w:hAnsi="Times New Roman"/>
          <w:sz w:val="18"/>
          <w:szCs w:val="18"/>
          <w:b w:val="1"/>
          <w:bCs w:val="1"/>
          <w:color w:val="auto"/>
        </w:rPr>
      </w:pPr>
    </w:p>
    <w:p>
      <w:pPr>
        <w:ind w:left="1300" w:hanging="837"/>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1.2.Among other things, the Compensation Policy is based on the provisions of Amendment 20 to the Law, relating to compensation policies for public company office holders.</w:t>
      </w:r>
    </w:p>
    <w:p>
      <w:pPr>
        <w:spacing w:after="0" w:line="161" w:lineRule="exact"/>
        <w:rPr>
          <w:rFonts w:ascii="Times New Roman" w:cs="Times New Roman" w:eastAsia="Times New Roman" w:hAnsi="Times New Roman"/>
          <w:sz w:val="18"/>
          <w:szCs w:val="18"/>
          <w:b w:val="1"/>
          <w:bCs w:val="1"/>
          <w:color w:val="auto"/>
        </w:rPr>
      </w:pPr>
    </w:p>
    <w:p>
      <w:pPr>
        <w:ind w:left="1300" w:hanging="837"/>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1.3.The Compensation Policy takes under consideration the Company’s characteristics, including being a global company whose shares are listed for trading on the Tel Aviv Stock Exchange and on Nasdaq, its business strategy, objectives, area of activity, and the Company’s interest in recruiting and retaining highly qualified office holders.</w:t>
      </w:r>
    </w:p>
    <w:p>
      <w:pPr>
        <w:spacing w:after="0" w:line="175" w:lineRule="exact"/>
        <w:rPr>
          <w:rFonts w:ascii="Times New Roman" w:cs="Times New Roman" w:eastAsia="Times New Roman" w:hAnsi="Times New Roman"/>
          <w:sz w:val="18"/>
          <w:szCs w:val="18"/>
          <w:b w:val="1"/>
          <w:bCs w:val="1"/>
          <w:color w:val="auto"/>
        </w:rPr>
      </w:pPr>
    </w:p>
    <w:p>
      <w:pPr>
        <w:ind w:left="1300" w:hanging="837"/>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1.4.The Company’s Compensation Committee discussed the updated Compensation Policy, while consulting external advisors, and has approved the updated Compensation Policy. The Company’s Board of Directors approved the Compensation Policy, having considered and deliberated the Compensation Committee’s recommendation. The Compensation Policy is subject to the approval of the Company’s shareholders at a general meeting, as set forth in Section 267A of the Companies Law.</w:t>
      </w:r>
    </w:p>
    <w:p>
      <w:pPr>
        <w:spacing w:after="0" w:line="179" w:lineRule="exact"/>
        <w:rPr>
          <w:rFonts w:ascii="Times New Roman" w:cs="Times New Roman" w:eastAsia="Times New Roman" w:hAnsi="Times New Roman"/>
          <w:sz w:val="18"/>
          <w:szCs w:val="18"/>
          <w:b w:val="1"/>
          <w:bCs w:val="1"/>
          <w:color w:val="auto"/>
        </w:rPr>
      </w:pPr>
    </w:p>
    <w:p>
      <w:pPr>
        <w:ind w:left="1300" w:hanging="837"/>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1.5.The Compensation Policy sets forth a ceiling on the terms of office and employment of the Company office holders who are not directors. The policy is declarative and does not establish any liability of the Company toward its office holders. The Company is not obligated to grant the office holders any or all of the components included in the policy, in whole or in part, and the policy does not entitle the office holders to any rights, whether directly or indirectly. The Company will only be bound by the employment agreements entered into between it and its office holders.</w:t>
      </w:r>
    </w:p>
    <w:p>
      <w:pPr>
        <w:spacing w:after="0" w:line="179"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Objectives of the Compensation Policy</w:t>
      </w:r>
    </w:p>
    <w:p>
      <w:pPr>
        <w:spacing w:after="0" w:line="31" w:lineRule="exact"/>
        <w:rPr>
          <w:rFonts w:ascii="Times New Roman" w:cs="Times New Roman" w:eastAsia="Times New Roman" w:hAnsi="Times New Roman"/>
          <w:sz w:val="18"/>
          <w:szCs w:val="18"/>
          <w:b w:val="1"/>
          <w:bCs w:val="1"/>
          <w:color w:val="auto"/>
        </w:rPr>
      </w:pPr>
    </w:p>
    <w:p>
      <w:pPr>
        <w:ind w:left="1300" w:hanging="837"/>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2.1.The Company acknowledges the vital importance of the human element in all Company ranks, and particularly its executive rank. Hence, the Company considers it very important to establish a suitable and appropriate compensation policy for Company office holders, including by creating the right incentives to promote the Company’s short-term and long-term goals, its work plans, and its policy, taking into consideration, among other things, the office holders’ areas of responsibility and the risks that affect the Company’s activity.</w:t>
      </w:r>
    </w:p>
    <w:p>
      <w:pPr>
        <w:spacing w:after="0" w:line="188"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17"/>
          <w:szCs w:val="17"/>
          <w:color w:val="auto"/>
        </w:rPr>
        <w:t>The Company has adopted the Compensation Policy pursuant to the following objectives:</w:t>
      </w:r>
    </w:p>
    <w:p>
      <w:pPr>
        <w:spacing w:after="0" w:line="225" w:lineRule="exact"/>
        <w:rPr>
          <w:sz w:val="20"/>
          <w:szCs w:val="20"/>
          <w:color w:val="auto"/>
        </w:rPr>
      </w:pPr>
    </w:p>
    <w:p>
      <w:pPr>
        <w:ind w:left="1940" w:hanging="633"/>
        <w:spacing w:after="0" w:line="261" w:lineRule="auto"/>
        <w:tabs>
          <w:tab w:leader="none" w:pos="1920" w:val="left"/>
        </w:tabs>
        <w:rPr>
          <w:sz w:val="20"/>
          <w:szCs w:val="20"/>
          <w:color w:val="auto"/>
        </w:rPr>
      </w:pPr>
      <w:r>
        <w:rPr>
          <w:rFonts w:ascii="Times New Roman" w:cs="Times New Roman" w:eastAsia="Times New Roman" w:hAnsi="Times New Roman"/>
          <w:sz w:val="18"/>
          <w:szCs w:val="18"/>
          <w:color w:val="auto"/>
        </w:rPr>
        <w:t>2.2.1.</w:t>
        <w:tab/>
        <w:t>Achieving the Company’s goals and work plans in the long-term, and make sure that the Company office holders’ interests, are, subject to any applicable law, identical to and reflect those of the Company shareholders, to the extent possible.</w:t>
      </w:r>
    </w:p>
    <w:p>
      <w:pPr>
        <w:ind w:left="1940" w:hanging="633"/>
        <w:spacing w:after="0" w:line="250" w:lineRule="auto"/>
        <w:tabs>
          <w:tab w:leader="none" w:pos="1920" w:val="left"/>
        </w:tabs>
        <w:rPr>
          <w:sz w:val="20"/>
          <w:szCs w:val="20"/>
          <w:color w:val="auto"/>
        </w:rPr>
      </w:pPr>
      <w:r>
        <w:rPr>
          <w:rFonts w:ascii="Times New Roman" w:cs="Times New Roman" w:eastAsia="Times New Roman" w:hAnsi="Times New Roman"/>
          <w:sz w:val="18"/>
          <w:szCs w:val="18"/>
          <w:color w:val="auto"/>
        </w:rPr>
        <w:t>2.2.2.</w:t>
        <w:tab/>
        <w:t xml:space="preserve">Increasing the Company office holders’ sense of identification with the Company and its activity by implementing a program intended to ensure that the Company’s success entails,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each office holder’s individual success.</w:t>
      </w:r>
    </w:p>
    <w:p>
      <w:pPr>
        <w:spacing w:after="0" w:line="1"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7"/>
          <w:szCs w:val="17"/>
          <w:color w:val="auto"/>
        </w:rPr>
        <w:t>Raising the Company office holders’ satisfaction and motivation to promote the Company’s affairs and its sustainable growth.</w:t>
      </w:r>
    </w:p>
    <w:p>
      <w:pPr>
        <w:spacing w:after="0" w:line="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2.2.4.</w:t>
        <w:tab/>
        <w:t>Recruiting and retaining high-quality Company office holders for the long-term.</w:t>
      </w:r>
    </w:p>
    <w:p>
      <w:pPr>
        <w:spacing w:after="0" w:line="216" w:lineRule="exact"/>
        <w:rPr>
          <w:sz w:val="20"/>
          <w:szCs w:val="20"/>
          <w:color w:val="auto"/>
        </w:rPr>
      </w:pPr>
    </w:p>
    <w:p>
      <w:pPr>
        <w:ind w:left="460" w:hanging="452"/>
        <w:spacing w:after="0"/>
        <w:tabs>
          <w:tab w:leader="none" w:pos="4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The Considerations and Guidelines in Setting the Compensation Policy</w:t>
      </w:r>
    </w:p>
    <w:p>
      <w:pPr>
        <w:spacing w:after="0" w:line="243" w:lineRule="exact"/>
        <w:rPr>
          <w:sz w:val="20"/>
          <w:szCs w:val="20"/>
          <w:color w:val="auto"/>
        </w:rPr>
      </w:pPr>
    </w:p>
    <w:p>
      <w:pPr>
        <w:ind w:left="1300" w:right="400" w:hanging="836"/>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In setting the Compensation Policy, the Company considered the considerations set forth in Section 267B(A) of the Companies Law, including:</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Promoting the Company’s long-term goals, work plans, and policy.</w:t>
      </w:r>
    </w:p>
    <w:p>
      <w:pPr>
        <w:spacing w:after="0" w:line="27" w:lineRule="exact"/>
        <w:rPr>
          <w:sz w:val="20"/>
          <w:szCs w:val="20"/>
          <w:color w:val="auto"/>
        </w:rPr>
      </w:pPr>
    </w:p>
    <w:p>
      <w:pPr>
        <w:ind w:left="1940" w:right="40" w:hanging="633"/>
        <w:spacing w:after="0" w:line="250" w:lineRule="auto"/>
        <w:tabs>
          <w:tab w:leader="none" w:pos="1920" w:val="left"/>
        </w:tabs>
        <w:rPr>
          <w:sz w:val="20"/>
          <w:szCs w:val="20"/>
          <w:color w:val="auto"/>
        </w:rPr>
      </w:pPr>
      <w:r>
        <w:rPr>
          <w:rFonts w:ascii="Times New Roman" w:cs="Times New Roman" w:eastAsia="Times New Roman" w:hAnsi="Times New Roman"/>
          <w:sz w:val="18"/>
          <w:szCs w:val="18"/>
          <w:color w:val="auto"/>
        </w:rPr>
        <w:t>3.1.2.</w:t>
        <w:tab/>
        <w:t>Creating suitable incentives for the Company’s office holders, taking into consideration, among other things, the Company’s risk management policy;</w:t>
      </w:r>
    </w:p>
    <w:p>
      <w:pPr>
        <w:spacing w:after="0" w:line="1"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7"/>
          <w:szCs w:val="17"/>
          <w:color w:val="auto"/>
        </w:rPr>
        <w:t>The office holders’ high level of responsibility and the complexity of the office holders’ duties.</w:t>
      </w:r>
    </w:p>
    <w:p>
      <w:pPr>
        <w:spacing w:after="0" w:line="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7"/>
          <w:szCs w:val="17"/>
          <w:color w:val="auto"/>
        </w:rPr>
        <w:t>The Company’s size, profitability, and the nature of its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4" w:name="page35"/>
    <w:bookmarkEnd w:id="34"/>
    <w:p>
      <w:pPr>
        <w:jc w:val="both"/>
        <w:ind w:left="1940" w:hanging="633"/>
        <w:spacing w:after="0" w:line="266" w:lineRule="auto"/>
        <w:tabs>
          <w:tab w:leader="none" w:pos="1920" w:val="left"/>
        </w:tabs>
        <w:rPr>
          <w:sz w:val="20"/>
          <w:szCs w:val="20"/>
          <w:color w:val="auto"/>
        </w:rPr>
      </w:pPr>
      <w:r>
        <w:rPr>
          <w:rFonts w:ascii="Times New Roman" w:cs="Times New Roman" w:eastAsia="Times New Roman" w:hAnsi="Times New Roman"/>
          <w:sz w:val="18"/>
          <w:szCs w:val="18"/>
          <w:color w:val="auto"/>
        </w:rPr>
        <w:t>3.1.5.</w:t>
        <w:tab/>
        <w:t>Regarding terms of office and employment that include variable components – the office holder’s contribution to achieving the Company’s goals, maximizing its profits, ensuring ethical and fair conduct, and compliance with its rules of corporate governance, over the long-term, and the office holder’s role in the Company.</w:t>
      </w:r>
    </w:p>
    <w:p>
      <w:pPr>
        <w:spacing w:after="0" w:line="176" w:lineRule="exact"/>
        <w:rPr>
          <w:sz w:val="20"/>
          <w:szCs w:val="20"/>
          <w:color w:val="auto"/>
        </w:rPr>
      </w:pPr>
    </w:p>
    <w:p>
      <w:pPr>
        <w:jc w:val="both"/>
        <w:ind w:left="1300" w:hanging="836"/>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Additionally, when determining the terms of the office holders’ compensation, the Compensation Committee and Board of Directors may set relevant criteria in addition to the guidelines and considerations set forth and required under the Companies Law, and may consider data in addition to the data set forth below in light of the Company’s best interest, condition, and plans.</w:t>
      </w:r>
    </w:p>
    <w:p>
      <w:pPr>
        <w:spacing w:after="0" w:line="172" w:lineRule="exact"/>
        <w:rPr>
          <w:sz w:val="20"/>
          <w:szCs w:val="20"/>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Main Principles of the Compensation Policy</w:t>
      </w:r>
    </w:p>
    <w:p>
      <w:pPr>
        <w:spacing w:after="0" w:line="229"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w:t>
      </w:r>
      <w:r>
        <w:rPr>
          <w:rFonts w:ascii="Times New Roman" w:cs="Times New Roman" w:eastAsia="Times New Roman" w:hAnsi="Times New Roman"/>
          <w:sz w:val="17"/>
          <w:szCs w:val="17"/>
          <w:u w:val="single" w:color="auto"/>
          <w:color w:val="auto"/>
        </w:rPr>
        <w:t>Compensation components</w:t>
      </w:r>
    </w:p>
    <w:p>
      <w:pPr>
        <w:spacing w:after="0" w:line="225"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aggregate compensation for Company office holders includes the following components:</w:t>
      </w:r>
    </w:p>
    <w:p>
      <w:pPr>
        <w:spacing w:after="0" w:line="23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7"/>
          <w:szCs w:val="17"/>
          <w:color w:val="auto"/>
        </w:rPr>
        <w:t>Base wage or salary – for details, see Section 6 below.</w:t>
      </w:r>
    </w:p>
    <w:p>
      <w:pPr>
        <w:spacing w:after="0" w:line="27"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7"/>
          <w:szCs w:val="17"/>
          <w:color w:val="auto"/>
        </w:rPr>
        <w:t>Fringe social benefits and other benefits – for details, see Section 10 below.</w:t>
      </w:r>
    </w:p>
    <w:p>
      <w:pPr>
        <w:spacing w:after="0" w:line="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7"/>
          <w:szCs w:val="17"/>
          <w:u w:val="single" w:color="auto"/>
          <w:color w:val="auto"/>
        </w:rPr>
        <w:t>Variable compensation</w:t>
      </w:r>
      <w:r>
        <w:rPr>
          <w:rFonts w:ascii="Times New Roman" w:cs="Times New Roman" w:eastAsia="Times New Roman" w:hAnsi="Times New Roman"/>
          <w:sz w:val="17"/>
          <w:szCs w:val="17"/>
          <w:color w:val="auto"/>
        </w:rPr>
        <w:t>:</w:t>
      </w:r>
    </w:p>
    <w:p>
      <w:pPr>
        <w:spacing w:after="0" w:line="9" w:lineRule="exact"/>
        <w:rPr>
          <w:sz w:val="20"/>
          <w:szCs w:val="20"/>
          <w:color w:val="auto"/>
        </w:rPr>
      </w:pPr>
    </w:p>
    <w:p>
      <w:pPr>
        <w:ind w:left="2280" w:hanging="315"/>
        <w:spacing w:after="0"/>
        <w:tabs>
          <w:tab w:leader="none" w:pos="2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bonus – for details, see Section 7 below.</w:t>
      </w:r>
    </w:p>
    <w:p>
      <w:pPr>
        <w:spacing w:after="0" w:line="9" w:lineRule="exact"/>
        <w:rPr>
          <w:rFonts w:ascii="Times New Roman" w:cs="Times New Roman" w:eastAsia="Times New Roman" w:hAnsi="Times New Roman"/>
          <w:sz w:val="18"/>
          <w:szCs w:val="18"/>
          <w:color w:val="auto"/>
        </w:rPr>
      </w:pPr>
    </w:p>
    <w:p>
      <w:pPr>
        <w:ind w:left="2280" w:hanging="315"/>
        <w:spacing w:after="0"/>
        <w:tabs>
          <w:tab w:leader="none" w:pos="2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retention bonus – for details, see Section 8 below.</w:t>
      </w:r>
    </w:p>
    <w:p>
      <w:pPr>
        <w:spacing w:after="0" w:line="9" w:lineRule="exact"/>
        <w:rPr>
          <w:rFonts w:ascii="Times New Roman" w:cs="Times New Roman" w:eastAsia="Times New Roman" w:hAnsi="Times New Roman"/>
          <w:sz w:val="18"/>
          <w:szCs w:val="18"/>
          <w:color w:val="auto"/>
        </w:rPr>
      </w:pPr>
    </w:p>
    <w:p>
      <w:pPr>
        <w:ind w:left="2280" w:hanging="315"/>
        <w:spacing w:after="0"/>
        <w:tabs>
          <w:tab w:leader="none" w:pos="2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merger bonus – for details, see Section 9 below.</w:t>
      </w:r>
    </w:p>
    <w:p>
      <w:pPr>
        <w:spacing w:after="0" w:line="9" w:lineRule="exact"/>
        <w:rPr>
          <w:rFonts w:ascii="Times New Roman" w:cs="Times New Roman" w:eastAsia="Times New Roman" w:hAnsi="Times New Roman"/>
          <w:sz w:val="18"/>
          <w:szCs w:val="18"/>
          <w:color w:val="auto"/>
        </w:rPr>
      </w:pPr>
    </w:p>
    <w:p>
      <w:pPr>
        <w:ind w:left="2280" w:hanging="315"/>
        <w:spacing w:after="0"/>
        <w:tabs>
          <w:tab w:leader="none" w:pos="2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compensation – for details, see Section 9 below.</w:t>
      </w:r>
    </w:p>
    <w:p>
      <w:pPr>
        <w:spacing w:after="0" w:line="9" w:lineRule="exact"/>
        <w:rPr>
          <w:rFonts w:ascii="Times New Roman" w:cs="Times New Roman" w:eastAsia="Times New Roman" w:hAnsi="Times New Roman"/>
          <w:sz w:val="18"/>
          <w:szCs w:val="18"/>
          <w:color w:val="auto"/>
        </w:rPr>
      </w:pPr>
    </w:p>
    <w:p>
      <w:pPr>
        <w:ind w:left="2280" w:hanging="315"/>
        <w:spacing w:after="0" w:line="260" w:lineRule="auto"/>
        <w:tabs>
          <w:tab w:leader="none" w:pos="2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 of service terms – severance exceeding the ceiling set forth in the Law, an adjustment period, advance notice or any other benefit granted to office holders in connection with the end of their roles with the Company.</w:t>
      </w:r>
    </w:p>
    <w:p>
      <w:pPr>
        <w:spacing w:after="0" w:line="181" w:lineRule="exact"/>
        <w:rPr>
          <w:sz w:val="20"/>
          <w:szCs w:val="20"/>
          <w:color w:val="auto"/>
        </w:rPr>
      </w:pPr>
    </w:p>
    <w:p>
      <w:pPr>
        <w:ind w:left="460"/>
        <w:spacing w:after="0"/>
        <w:tabs>
          <w:tab w:leader="none" w:pos="128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auto"/>
        </w:rPr>
        <w:t>Definitions:</w:t>
      </w:r>
    </w:p>
    <w:p>
      <w:pPr>
        <w:spacing w:after="0" w:line="27"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4.2.1.</w:t>
      </w:r>
      <w:r>
        <w:rPr>
          <w:sz w:val="20"/>
          <w:szCs w:val="20"/>
          <w:color w:val="auto"/>
        </w:rPr>
        <w:tab/>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Base Wage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Salary</w:t>
      </w:r>
      <w:r>
        <w:rPr>
          <w:rFonts w:ascii="Times New Roman" w:cs="Times New Roman" w:eastAsia="Times New Roman" w:hAnsi="Times New Roman"/>
          <w:sz w:val="17"/>
          <w:szCs w:val="17"/>
          <w:color w:val="auto"/>
        </w:rPr>
        <w:t>”: the gross monthly wage.</w:t>
      </w:r>
    </w:p>
    <w:p>
      <w:pPr>
        <w:spacing w:after="0" w:line="9" w:lineRule="exact"/>
        <w:rPr>
          <w:sz w:val="20"/>
          <w:szCs w:val="20"/>
          <w:color w:val="auto"/>
        </w:rPr>
      </w:pPr>
    </w:p>
    <w:p>
      <w:pPr>
        <w:ind w:left="1940" w:hanging="633"/>
        <w:spacing w:after="0" w:line="250" w:lineRule="auto"/>
        <w:tabs>
          <w:tab w:leader="none" w:pos="1920" w:val="left"/>
        </w:tabs>
        <w:rPr>
          <w:sz w:val="20"/>
          <w:szCs w:val="20"/>
          <w:color w:val="auto"/>
        </w:rPr>
      </w:pPr>
      <w:r>
        <w:rPr>
          <w:rFonts w:ascii="Times New Roman" w:cs="Times New Roman" w:eastAsia="Times New Roman" w:hAnsi="Times New Roman"/>
          <w:sz w:val="18"/>
          <w:szCs w:val="18"/>
          <w:color w:val="auto"/>
        </w:rPr>
        <w:t>4.2.2.</w:t>
        <w:tab/>
        <w:t>The “</w:t>
      </w:r>
      <w:r>
        <w:rPr>
          <w:rFonts w:ascii="Times New Roman" w:cs="Times New Roman" w:eastAsia="Times New Roman" w:hAnsi="Times New Roman"/>
          <w:sz w:val="18"/>
          <w:szCs w:val="18"/>
          <w:b w:val="1"/>
          <w:bCs w:val="1"/>
          <w:color w:val="auto"/>
        </w:rPr>
        <w:t>Fixed Compensation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Wage Cost</w:t>
      </w:r>
      <w:r>
        <w:rPr>
          <w:rFonts w:ascii="Times New Roman" w:cs="Times New Roman" w:eastAsia="Times New Roman" w:hAnsi="Times New Roman"/>
          <w:sz w:val="18"/>
          <w:szCs w:val="18"/>
          <w:color w:val="auto"/>
        </w:rPr>
        <w:t>”: the Base Wage, plus social benefits and other benefits, in terms of cost to the Company.</w:t>
      </w:r>
    </w:p>
    <w:p>
      <w:pPr>
        <w:spacing w:after="0" w:line="1"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4.2.3.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Variable Compensation</w:t>
      </w:r>
      <w:r>
        <w:rPr>
          <w:rFonts w:ascii="Times New Roman" w:cs="Times New Roman" w:eastAsia="Times New Roman" w:hAnsi="Times New Roman"/>
          <w:sz w:val="17"/>
          <w:szCs w:val="17"/>
          <w:color w:val="auto"/>
        </w:rPr>
        <w:t>”: the variable compensation in cash and the variable equity compensation.</w:t>
      </w:r>
    </w:p>
    <w:p>
      <w:pPr>
        <w:spacing w:after="0" w:line="9" w:lineRule="exact"/>
        <w:rPr>
          <w:sz w:val="20"/>
          <w:szCs w:val="20"/>
          <w:color w:val="auto"/>
        </w:rPr>
      </w:pPr>
    </w:p>
    <w:p>
      <w:pPr>
        <w:ind w:left="1940" w:hanging="633"/>
        <w:spacing w:after="0" w:line="250" w:lineRule="auto"/>
        <w:tabs>
          <w:tab w:leader="none" w:pos="1920" w:val="left"/>
        </w:tabs>
        <w:rPr>
          <w:sz w:val="20"/>
          <w:szCs w:val="20"/>
          <w:color w:val="auto"/>
        </w:rPr>
      </w:pPr>
      <w:r>
        <w:rPr>
          <w:rFonts w:ascii="Times New Roman" w:cs="Times New Roman" w:eastAsia="Times New Roman" w:hAnsi="Times New Roman"/>
          <w:sz w:val="18"/>
          <w:szCs w:val="18"/>
          <w:color w:val="auto"/>
        </w:rPr>
        <w:t>4.2.4.</w:t>
        <w:tab/>
        <w:t>The “</w:t>
      </w:r>
      <w:r>
        <w:rPr>
          <w:rFonts w:ascii="Times New Roman" w:cs="Times New Roman" w:eastAsia="Times New Roman" w:hAnsi="Times New Roman"/>
          <w:sz w:val="18"/>
          <w:szCs w:val="18"/>
          <w:b w:val="1"/>
          <w:bCs w:val="1"/>
          <w:color w:val="auto"/>
        </w:rPr>
        <w:t>Compensation Package</w:t>
      </w:r>
      <w:r>
        <w:rPr>
          <w:rFonts w:ascii="Times New Roman" w:cs="Times New Roman" w:eastAsia="Times New Roman" w:hAnsi="Times New Roman"/>
          <w:sz w:val="18"/>
          <w:szCs w:val="18"/>
          <w:color w:val="auto"/>
        </w:rPr>
        <w:t>”: the total cost of the compensation in terms of employment cost, which includes Fixed Compensation and Variable Compensation.</w:t>
      </w:r>
    </w:p>
    <w:p>
      <w:pPr>
        <w:spacing w:after="0" w:line="1" w:lineRule="exact"/>
        <w:rPr>
          <w:sz w:val="20"/>
          <w:szCs w:val="20"/>
          <w:color w:val="auto"/>
        </w:rPr>
      </w:pPr>
    </w:p>
    <w:p>
      <w:pPr>
        <w:jc w:val="center"/>
        <w:ind w:left="1620"/>
        <w:spacing w:after="0" w:line="260" w:lineRule="auto"/>
        <w:rPr>
          <w:sz w:val="20"/>
          <w:szCs w:val="20"/>
          <w:color w:val="auto"/>
        </w:rPr>
      </w:pPr>
      <w:r>
        <w:rPr>
          <w:rFonts w:ascii="Times New Roman" w:cs="Times New Roman" w:eastAsia="Times New Roman" w:hAnsi="Times New Roman"/>
          <w:sz w:val="18"/>
          <w:szCs w:val="18"/>
          <w:color w:val="auto"/>
        </w:rPr>
        <w:t>4.2.5.   “</w:t>
      </w:r>
      <w:r>
        <w:rPr>
          <w:rFonts w:ascii="Times New Roman" w:cs="Times New Roman" w:eastAsia="Times New Roman" w:hAnsi="Times New Roman"/>
          <w:sz w:val="18"/>
          <w:szCs w:val="18"/>
          <w:b w:val="1"/>
          <w:bCs w:val="1"/>
          <w:color w:val="auto"/>
        </w:rPr>
        <w:t>Office holder</w:t>
      </w:r>
      <w:r>
        <w:rPr>
          <w:rFonts w:ascii="Times New Roman" w:cs="Times New Roman" w:eastAsia="Times New Roman" w:hAnsi="Times New Roman"/>
          <w:sz w:val="18"/>
          <w:szCs w:val="18"/>
          <w:color w:val="auto"/>
        </w:rPr>
        <w:t>” - as defined by the Companies Law (i.e., CEO, main business manager, deputy CEO, VP, CFO, and any other office holder in the Company irrespective of their title, as well as a director or manager who reports directly to the CEO).</w:t>
      </w:r>
    </w:p>
    <w:p>
      <w:pPr>
        <w:spacing w:after="0" w:line="177" w:lineRule="exact"/>
        <w:rPr>
          <w:sz w:val="20"/>
          <w:szCs w:val="20"/>
          <w:color w:val="auto"/>
        </w:rPr>
      </w:pPr>
    </w:p>
    <w:p>
      <w:pPr>
        <w:ind w:left="460" w:hanging="452"/>
        <w:spacing w:after="0"/>
        <w:tabs>
          <w:tab w:leader="none" w:pos="4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Manner of Determining Compensation</w:t>
      </w:r>
    </w:p>
    <w:p>
      <w:pPr>
        <w:spacing w:after="0" w:line="31" w:lineRule="exact"/>
        <w:rPr>
          <w:rFonts w:ascii="Times New Roman" w:cs="Times New Roman" w:eastAsia="Times New Roman" w:hAnsi="Times New Roman"/>
          <w:sz w:val="18"/>
          <w:szCs w:val="18"/>
          <w:b w:val="1"/>
          <w:bCs w:val="1"/>
          <w:color w:val="auto"/>
        </w:rPr>
      </w:pPr>
    </w:p>
    <w:p>
      <w:pPr>
        <w:ind w:left="460" w:right="700"/>
        <w:spacing w:after="0" w:line="27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 reviewing and approving an office holder’s terms of office and employment, the Compensation Committee and Board of Directors will consider the following (in whole or in part, based on relevance):</w:t>
      </w:r>
    </w:p>
    <w:p>
      <w:pPr>
        <w:spacing w:after="0" w:line="180" w:lineRule="exact"/>
        <w:rPr>
          <w:rFonts w:ascii="Times New Roman" w:cs="Times New Roman" w:eastAsia="Times New Roman" w:hAnsi="Times New Roman"/>
          <w:sz w:val="18"/>
          <w:szCs w:val="18"/>
          <w:b w:val="1"/>
          <w:bCs w:val="1"/>
          <w:color w:val="auto"/>
        </w:rPr>
      </w:pPr>
    </w:p>
    <w:p>
      <w:pPr>
        <w:ind w:left="1300" w:hanging="837"/>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5.1.All compensation components, including the monthly salary, related benefits, retirement bonuses (as the term is defined in the Law from time to time), and any benefit, payment, or payment commitment or commitments to grant such a benefit, as applicable, granted for such employment or appointment.</w:t>
      </w:r>
    </w:p>
    <w:p>
      <w:pPr>
        <w:spacing w:after="0" w:line="175" w:lineRule="exact"/>
        <w:rPr>
          <w:rFonts w:ascii="Times New Roman" w:cs="Times New Roman" w:eastAsia="Times New Roman" w:hAnsi="Times New Roman"/>
          <w:sz w:val="18"/>
          <w:szCs w:val="18"/>
          <w:b w:val="1"/>
          <w:bCs w:val="1"/>
          <w:color w:val="auto"/>
        </w:rPr>
      </w:pPr>
    </w:p>
    <w:p>
      <w:pPr>
        <w:ind w:left="1300" w:hanging="837"/>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5.2.The economic value of the entire compensation package and all its components, while taking into consideration the Company’s business results, and, if the compensation package is tied to certain objectives, examining such objectives.</w:t>
      </w:r>
    </w:p>
    <w:p>
      <w:pPr>
        <w:spacing w:after="0" w:line="162" w:lineRule="exact"/>
        <w:rPr>
          <w:sz w:val="20"/>
          <w:szCs w:val="20"/>
          <w:color w:val="auto"/>
        </w:rPr>
      </w:pPr>
    </w:p>
    <w:p>
      <w:pPr>
        <w:ind w:left="1300" w:hanging="836"/>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To the extent possible, the compensation components will be challenging, but will not encourage taking risks exceeding the Company’s desired risk levels.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5" w:name="page36"/>
    <w:bookmarkEnd w:id="35"/>
    <w:p>
      <w:pPr>
        <w:jc w:val="both"/>
        <w:ind w:left="1300" w:hanging="836"/>
        <w:spacing w:after="0" w:line="256" w:lineRule="auto"/>
        <w:tabs>
          <w:tab w:leader="none" w:pos="128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 xml:space="preserve">To ensure congruence between the overall compensation components set forth in the policy, Company organs will be presented with, and will discuss the approval of, all compensation components of each Company office holder. Additionally, the wage ranges and the other terms of office and employment for Company office holders will be determined,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according to the comparable data for office holders in companies that are similar to the Company, to the extent possible, as set forth below (hereinafter, the “</w:t>
      </w:r>
      <w:r>
        <w:rPr>
          <w:rFonts w:ascii="Times New Roman" w:cs="Times New Roman" w:eastAsia="Times New Roman" w:hAnsi="Times New Roman"/>
          <w:sz w:val="18"/>
          <w:szCs w:val="18"/>
          <w:b w:val="1"/>
          <w:bCs w:val="1"/>
          <w:color w:val="auto"/>
        </w:rPr>
        <w:t>Peer Company Data</w:t>
      </w:r>
      <w:r>
        <w:rPr>
          <w:rFonts w:ascii="Times New Roman" w:cs="Times New Roman" w:eastAsia="Times New Roman" w:hAnsi="Times New Roman"/>
          <w:sz w:val="18"/>
          <w:szCs w:val="18"/>
          <w:color w:val="auto"/>
        </w:rPr>
        <w:t>”). The Peer Company Data will relate to the components of the office and employment terms, to the extent possible and to the extent the information is available.</w:t>
      </w:r>
    </w:p>
    <w:p>
      <w:pPr>
        <w:spacing w:after="0" w:line="187" w:lineRule="exact"/>
        <w:rPr>
          <w:sz w:val="20"/>
          <w:szCs w:val="20"/>
          <w:color w:val="auto"/>
        </w:rPr>
      </w:pPr>
    </w:p>
    <w:p>
      <w:pPr>
        <w:jc w:val="both"/>
        <w:ind w:left="1300" w:hanging="836"/>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color w:val="auto"/>
        </w:rPr>
        <w:t>The Peer Company Data will be prepared by the Company or by an external consultant, which decision will be in the Compensation Committee’s discretion, based on a methodology that the Company considers appropriate and reasonable. Additionally, the Peer Company Data will be prepared separately for the base salary and for the aggregate compensation, to the extent relevant and if such information is available.</w:t>
      </w:r>
    </w:p>
    <w:p>
      <w:pPr>
        <w:spacing w:after="0" w:line="180" w:lineRule="exact"/>
        <w:rPr>
          <w:sz w:val="20"/>
          <w:szCs w:val="20"/>
          <w:color w:val="auto"/>
        </w:rPr>
      </w:pPr>
    </w:p>
    <w:p>
      <w:pPr>
        <w:jc w:val="both"/>
        <w:ind w:left="1300" w:hanging="836"/>
        <w:spacing w:after="0" w:line="256" w:lineRule="auto"/>
        <w:tabs>
          <w:tab w:leader="none" w:pos="128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color w:val="auto"/>
        </w:rPr>
        <w:t>To the extent possible and such information exists, the comparison will be carried out with respect to compensation granted to office holders holding a similar position in at least 3 publicly traded companies and/or private companies that have the following characteristics (in whole or in part, or additional criteria as the Compensation Committee finds suitable): (a) their equity is similar to the Company’s equity; (b) their operating profit is comparable to the Company’s operating profit; (c) their total assets are similar to the Company’s total assets; (d) they have a similar turnover; (e) their market value is similar to the Company’s market value; (f) they are in the same area of activity as the Company; (g) they operate internationally or their shares are traded on a stock exchange outside of Israel.</w:t>
      </w:r>
    </w:p>
    <w:p>
      <w:pPr>
        <w:spacing w:after="0" w:line="187" w:lineRule="exact"/>
        <w:rPr>
          <w:sz w:val="20"/>
          <w:szCs w:val="20"/>
          <w:color w:val="auto"/>
        </w:rPr>
      </w:pPr>
    </w:p>
    <w:p>
      <w:pPr>
        <w:jc w:val="both"/>
        <w:ind w:left="1300" w:hanging="836"/>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color w:val="auto"/>
        </w:rPr>
        <w:t>The office holder’s education, skills, expertise, professional experience, work and contribution to achieving the Company’s business goals and meeting its work plans (in such office holder’s current or previous position).</w:t>
      </w:r>
    </w:p>
    <w:p>
      <w:pPr>
        <w:spacing w:after="0" w:line="162" w:lineRule="exact"/>
        <w:rPr>
          <w:sz w:val="20"/>
          <w:szCs w:val="20"/>
          <w:color w:val="auto"/>
        </w:rPr>
      </w:pPr>
    </w:p>
    <w:p>
      <w:pPr>
        <w:jc w:val="both"/>
        <w:ind w:left="1300" w:right="20" w:hanging="836"/>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color w:val="auto"/>
        </w:rPr>
        <w:t>Insofar as the office holder resides outside of Israel – the differences in the salary terms and policies between the country of the office holder’s residence and Israel.</w:t>
      </w:r>
    </w:p>
    <w:p>
      <w:pPr>
        <w:spacing w:after="0" w:line="175" w:lineRule="exact"/>
        <w:rPr>
          <w:sz w:val="20"/>
          <w:szCs w:val="20"/>
          <w:color w:val="auto"/>
        </w:rPr>
      </w:pPr>
    </w:p>
    <w:p>
      <w:pPr>
        <w:jc w:val="both"/>
        <w:ind w:left="1300" w:hanging="836"/>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8"/>
          <w:szCs w:val="18"/>
          <w:color w:val="auto"/>
        </w:rPr>
        <w:t>The office holder’s role, areas of responsibility, and previous wage agreements. Additionally, as relevant, the comparable data regarding the Company’s previous or present office holders in the same position or in similar positions will be taken into consideration, with respect to all components of the office and employment terms. Also, and to the extent relevant, any substantial changes that occurred in the office holder’s authorities and areas of responsibility during the year will be considered.</w:t>
      </w:r>
    </w:p>
    <w:p>
      <w:pPr>
        <w:spacing w:after="0" w:line="170" w:lineRule="exact"/>
        <w:rPr>
          <w:sz w:val="20"/>
          <w:szCs w:val="20"/>
          <w:color w:val="auto"/>
        </w:rPr>
      </w:pPr>
    </w:p>
    <w:p>
      <w:pPr>
        <w:jc w:val="both"/>
        <w:ind w:left="1300" w:hanging="836"/>
        <w:spacing w:after="0" w:line="217" w:lineRule="auto"/>
        <w:tabs>
          <w:tab w:leader="none" w:pos="1280" w:val="left"/>
        </w:tabs>
        <w:rPr>
          <w:sz w:val="20"/>
          <w:szCs w:val="20"/>
          <w:color w:val="auto"/>
        </w:rPr>
      </w:pPr>
      <w:r>
        <w:rPr>
          <w:rFonts w:ascii="Times New Roman" w:cs="Times New Roman" w:eastAsia="Times New Roman" w:hAnsi="Times New Roman"/>
          <w:sz w:val="18"/>
          <w:szCs w:val="18"/>
          <w:color w:val="auto"/>
        </w:rPr>
        <w:t>5.10.</w:t>
      </w:r>
      <w:r>
        <w:rPr>
          <w:sz w:val="20"/>
          <w:szCs w:val="20"/>
          <w:color w:val="auto"/>
        </w:rPr>
        <w:tab/>
      </w:r>
      <w:r>
        <w:rPr>
          <w:rFonts w:ascii="Times New Roman" w:cs="Times New Roman" w:eastAsia="Times New Roman" w:hAnsi="Times New Roman"/>
          <w:sz w:val="18"/>
          <w:szCs w:val="18"/>
          <w:color w:val="auto"/>
        </w:rPr>
        <w:t>The ratio of the office holders’ terms of office and employment, and the wages</w:t>
      </w:r>
      <w:r>
        <w:rPr>
          <w:rFonts w:ascii="Times New Roman" w:cs="Times New Roman" w:eastAsia="Times New Roman" w:hAnsi="Times New Roman"/>
          <w:sz w:val="29"/>
          <w:szCs w:val="29"/>
          <w:color w:val="FF0000"/>
          <w:vertAlign w:val="superscript"/>
        </w:rPr>
        <w:t>1</w:t>
      </w:r>
      <w:r>
        <w:rPr>
          <w:rFonts w:ascii="Times New Roman" w:cs="Times New Roman" w:eastAsia="Times New Roman" w:hAnsi="Times New Roman"/>
          <w:sz w:val="29"/>
          <w:szCs w:val="29"/>
          <w:color w:val="0000FF"/>
          <w:vertAlign w:val="superscript"/>
        </w:rPr>
        <w:t>2</w:t>
      </w:r>
      <w:r>
        <w:rPr>
          <w:rFonts w:ascii="Times New Roman" w:cs="Times New Roman" w:eastAsia="Times New Roman" w:hAnsi="Times New Roman"/>
          <w:sz w:val="18"/>
          <w:szCs w:val="18"/>
          <w:color w:val="auto"/>
        </w:rPr>
        <w:t xml:space="preserve"> paid to all other Company employees and contractors employed by the Company (as these terms are defined in the Law from time to time), and in particular, the ratio to these employees’ mean and median wages, and the effect of the gaps in such wage data on labor relations within the Company.</w:t>
      </w:r>
    </w:p>
    <w:p>
      <w:pPr>
        <w:spacing w:after="0" w:line="198" w:lineRule="exact"/>
        <w:rPr>
          <w:sz w:val="20"/>
          <w:szCs w:val="20"/>
          <w:color w:val="auto"/>
        </w:rPr>
      </w:pPr>
    </w:p>
    <w:p>
      <w:pPr>
        <w:jc w:val="both"/>
        <w:ind w:left="1300" w:hanging="836"/>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5.11.</w:t>
      </w:r>
      <w:r>
        <w:rPr>
          <w:sz w:val="20"/>
          <w:szCs w:val="20"/>
          <w:color w:val="auto"/>
        </w:rPr>
        <w:tab/>
      </w:r>
      <w:r>
        <w:rPr>
          <w:rFonts w:ascii="Times New Roman" w:cs="Times New Roman" w:eastAsia="Times New Roman" w:hAnsi="Times New Roman"/>
          <w:sz w:val="18"/>
          <w:szCs w:val="18"/>
          <w:color w:val="auto"/>
        </w:rPr>
        <w:t>The Compensation Committee and the Board of Directors will review the above ratio and note if they believe the ratio is appropriate and suitable considering, among other things, the Company’s nature, size, staff composition and area of activity, and if these ratios might adversely affect labor relations within the Company.</w:t>
      </w:r>
    </w:p>
    <w:p>
      <w:pPr>
        <w:spacing w:after="0" w:line="176" w:lineRule="exact"/>
        <w:rPr>
          <w:sz w:val="20"/>
          <w:szCs w:val="20"/>
          <w:color w:val="auto"/>
        </w:rPr>
      </w:pPr>
    </w:p>
    <w:p>
      <w:pPr>
        <w:jc w:val="both"/>
        <w:ind w:left="1300" w:hanging="836"/>
        <w:spacing w:after="0" w:line="289" w:lineRule="auto"/>
        <w:tabs>
          <w:tab w:leader="none" w:pos="1280" w:val="left"/>
        </w:tabs>
        <w:rPr>
          <w:sz w:val="20"/>
          <w:szCs w:val="20"/>
          <w:color w:val="auto"/>
        </w:rPr>
      </w:pPr>
      <w:r>
        <w:rPr>
          <w:rFonts w:ascii="Times New Roman" w:cs="Times New Roman" w:eastAsia="Times New Roman" w:hAnsi="Times New Roman"/>
          <w:sz w:val="18"/>
          <w:szCs w:val="18"/>
          <w:color w:val="auto"/>
        </w:rPr>
        <w:t>5.12.</w:t>
      </w:r>
      <w:r>
        <w:rPr>
          <w:sz w:val="20"/>
          <w:szCs w:val="20"/>
          <w:color w:val="auto"/>
        </w:rPr>
        <w:tab/>
      </w:r>
      <w:r>
        <w:rPr>
          <w:rFonts w:ascii="Times New Roman" w:cs="Times New Roman" w:eastAsia="Times New Roman" w:hAnsi="Times New Roman"/>
          <w:sz w:val="17"/>
          <w:szCs w:val="17"/>
          <w:color w:val="auto"/>
        </w:rPr>
        <w:t>The ratio between the Wage Cost of the various office holders in the Company and the mean and median Wage Cost of all other Company employees, and the ratio between the Compensation Package (Wage Cost, regular annual cash bonus and equity based compensation) of each Company office holder and the mean and median Compensation Package of all other Company employees shall not exceed:</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2940" w:type="dxa"/>
            <w:vAlign w:val="bottom"/>
            <w:tcBorders>
              <w:top w:val="single" w:sz="8" w:color="auto"/>
              <w:left w:val="single" w:sz="8" w:color="auto"/>
              <w:right w:val="single" w:sz="8" w:color="auto"/>
            </w:tcBorders>
          </w:tcPr>
          <w:p>
            <w:pPr>
              <w:spacing w:after="0"/>
              <w:rPr>
                <w:sz w:val="22"/>
                <w:szCs w:val="22"/>
                <w:color w:val="auto"/>
              </w:rPr>
            </w:pPr>
          </w:p>
        </w:tc>
        <w:tc>
          <w:tcPr>
            <w:tcW w:w="2080" w:type="dxa"/>
            <w:vAlign w:val="bottom"/>
            <w:tcBorders>
              <w:top w:val="single" w:sz="8" w:color="auto"/>
              <w:right w:val="single" w:sz="8" w:color="auto"/>
            </w:tcBorders>
          </w:tcPr>
          <w:p>
            <w:pPr>
              <w:spacing w:after="0"/>
              <w:rPr>
                <w:sz w:val="22"/>
                <w:szCs w:val="22"/>
                <w:color w:val="auto"/>
              </w:rPr>
            </w:pPr>
          </w:p>
        </w:tc>
        <w:tc>
          <w:tcPr>
            <w:tcW w:w="2080" w:type="dxa"/>
            <w:vAlign w:val="bottom"/>
            <w:tcBorders>
              <w:top w:val="single" w:sz="8" w:color="auto"/>
              <w:right w:val="single" w:sz="8" w:color="auto"/>
            </w:tcBorders>
          </w:tcPr>
          <w:p>
            <w:pPr>
              <w:spacing w:after="0"/>
              <w:rPr>
                <w:sz w:val="22"/>
                <w:szCs w:val="22"/>
                <w:color w:val="auto"/>
              </w:rPr>
            </w:pPr>
          </w:p>
        </w:tc>
        <w:tc>
          <w:tcPr>
            <w:tcW w:w="2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The ratio of the</w:t>
            </w:r>
          </w:p>
        </w:tc>
        <w:tc>
          <w:tcPr>
            <w:tcW w:w="2040" w:type="dxa"/>
            <w:vAlign w:val="bottom"/>
            <w:tcBorders>
              <w:top w:val="single" w:sz="8" w:color="auto"/>
              <w:right w:val="single" w:sz="8" w:color="auto"/>
            </w:tcBorders>
          </w:tcPr>
          <w:p>
            <w:pPr>
              <w:spacing w:after="0"/>
              <w:rPr>
                <w:sz w:val="22"/>
                <w:szCs w:val="22"/>
                <w:color w:val="auto"/>
              </w:rPr>
            </w:pPr>
          </w:p>
        </w:tc>
      </w:tr>
      <w:tr>
        <w:trPr>
          <w:trHeight w:val="230"/>
        </w:trPr>
        <w:tc>
          <w:tcPr>
            <w:tcW w:w="294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ratio of the</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The ratio of</w:t>
            </w:r>
          </w:p>
        </w:tc>
        <w:tc>
          <w:tcPr>
            <w:tcW w:w="20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Package to the</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30"/>
        </w:trPr>
        <w:tc>
          <w:tcPr>
            <w:tcW w:w="294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The ratio of</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office holders to the</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Package to the</w:t>
            </w:r>
          </w:p>
        </w:tc>
      </w:tr>
      <w:tr>
        <w:trPr>
          <w:trHeight w:val="230"/>
        </w:trPr>
        <w:tc>
          <w:tcPr>
            <w:tcW w:w="2940" w:type="dxa"/>
            <w:vAlign w:val="bottom"/>
            <w:tcBorders>
              <w:left w:val="single" w:sz="8" w:color="auto"/>
              <w:right w:val="single" w:sz="8" w:color="auto"/>
            </w:tcBorders>
          </w:tcPr>
          <w:p>
            <w:pPr>
              <w:spacing w:after="0"/>
              <w:rPr>
                <w:sz w:val="19"/>
                <w:szCs w:val="19"/>
                <w:color w:val="auto"/>
              </w:rPr>
            </w:pP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Wage Cost to</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the Wage Cost to</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median</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mean</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median</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52"/>
        </w:trPr>
        <w:tc>
          <w:tcPr>
            <w:tcW w:w="2940" w:type="dxa"/>
            <w:vAlign w:val="bottom"/>
            <w:tcBorders>
              <w:left w:val="single" w:sz="8" w:color="auto"/>
              <w:right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Job title</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salary cost</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salary cost</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Package</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Package</w:t>
            </w:r>
          </w:p>
        </w:tc>
      </w:tr>
      <w:tr>
        <w:trPr>
          <w:trHeight w:val="40"/>
        </w:trPr>
        <w:tc>
          <w:tcPr>
            <w:tcW w:w="2940" w:type="dxa"/>
            <w:vAlign w:val="bottom"/>
            <w:tcBorders>
              <w:left w:val="single" w:sz="8" w:color="auto"/>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r>
      <w:tr>
        <w:trPr>
          <w:trHeight w:val="306"/>
        </w:trPr>
        <w:tc>
          <w:tcPr>
            <w:tcW w:w="294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Company’s CEO</w:t>
            </w:r>
          </w:p>
        </w:tc>
        <w:tc>
          <w:tcPr>
            <w:tcW w:w="2080" w:type="dxa"/>
            <w:vAlign w:val="bottom"/>
            <w:tcBorders>
              <w:bottom w:val="single" w:sz="8" w:color="CCEEFF"/>
              <w:right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1:10</w:t>
            </w:r>
          </w:p>
        </w:tc>
        <w:tc>
          <w:tcPr>
            <w:tcW w:w="2080" w:type="dxa"/>
            <w:vAlign w:val="bottom"/>
            <w:tcBorders>
              <w:bottom w:val="single" w:sz="8" w:color="CCEEFF"/>
              <w:right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1:12</w:t>
            </w:r>
          </w:p>
        </w:tc>
        <w:tc>
          <w:tcPr>
            <w:tcW w:w="2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w:t>
            </w:r>
          </w:p>
        </w:tc>
        <w:tc>
          <w:tcPr>
            <w:tcW w:w="20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1:30</w:t>
            </w:r>
          </w:p>
        </w:tc>
      </w:tr>
      <w:tr>
        <w:trPr>
          <w:trHeight w:val="253"/>
        </w:trPr>
        <w:tc>
          <w:tcPr>
            <w:tcW w:w="29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Officer holder</w:t>
            </w:r>
          </w:p>
        </w:tc>
        <w:tc>
          <w:tcPr>
            <w:tcW w:w="2080" w:type="dxa"/>
            <w:vAlign w:val="bottom"/>
            <w:tcBorders>
              <w:top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1:5</w:t>
            </w:r>
          </w:p>
        </w:tc>
        <w:tc>
          <w:tcPr>
            <w:tcW w:w="2080" w:type="dxa"/>
            <w:vAlign w:val="bottom"/>
            <w:tcBorders>
              <w:top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1:6</w:t>
            </w:r>
          </w:p>
        </w:tc>
        <w:tc>
          <w:tcPr>
            <w:tcW w:w="2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1:10</w:t>
            </w:r>
          </w:p>
        </w:tc>
        <w:tc>
          <w:tcPr>
            <w:tcW w:w="2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1:15</w:t>
            </w:r>
          </w:p>
        </w:tc>
      </w:tr>
      <w:tr>
        <w:trPr>
          <w:trHeight w:val="51"/>
        </w:trPr>
        <w:tc>
          <w:tcPr>
            <w:tcW w:w="2940" w:type="dxa"/>
            <w:vAlign w:val="bottom"/>
            <w:tcBorders>
              <w:left w:val="single" w:sz="8" w:color="auto"/>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r>
    </w:tbl>
    <w:p>
      <w:pPr>
        <w:spacing w:after="0" w:line="208" w:lineRule="exact"/>
        <w:rPr>
          <w:sz w:val="20"/>
          <w:szCs w:val="20"/>
          <w:color w:val="auto"/>
        </w:rPr>
      </w:pPr>
    </w:p>
    <w:p>
      <w:pPr>
        <w:ind w:left="780" w:right="1240"/>
        <w:spacing w:after="0" w:line="297" w:lineRule="auto"/>
        <w:rPr>
          <w:sz w:val="20"/>
          <w:szCs w:val="20"/>
          <w:color w:val="auto"/>
        </w:rPr>
      </w:pPr>
      <w:r>
        <w:rPr>
          <w:rFonts w:ascii="Times New Roman" w:cs="Times New Roman" w:eastAsia="Times New Roman" w:hAnsi="Times New Roman"/>
          <w:sz w:val="18"/>
          <w:szCs w:val="18"/>
          <w:color w:val="auto"/>
        </w:rPr>
        <w:t>The annual cost of the equity based compensation shall be calculated by dividing the total costs by the number of years (and not according to the annual expense recorded on our books).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10712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32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29"/>
          <w:szCs w:val="29"/>
          <w:color w:val="auto"/>
          <w:strike w:val="1"/>
          <w:vertAlign w:val="superscript"/>
        </w:rPr>
        <w:t>1</w:t>
      </w:r>
      <w:r>
        <w:rPr>
          <w:rFonts w:ascii="Times New Roman" w:cs="Times New Roman" w:eastAsia="Times New Roman" w:hAnsi="Times New Roman"/>
          <w:sz w:val="29"/>
          <w:szCs w:val="29"/>
          <w:u w:val="single" w:color="auto"/>
          <w:color w:val="auto"/>
          <w:vertAlign w:val="superscript"/>
        </w:rPr>
        <w:t>2</w:t>
      </w:r>
      <w:r>
        <w:rPr>
          <w:rFonts w:ascii="Times New Roman" w:cs="Times New Roman" w:eastAsia="Times New Roman" w:hAnsi="Times New Roman"/>
          <w:sz w:val="18"/>
          <w:szCs w:val="18"/>
          <w:b w:val="1"/>
          <w:bCs w:val="1"/>
          <w:color w:val="auto"/>
        </w:rPr>
        <w:t xml:space="preserve"> “Wages” </w:t>
      </w:r>
      <w:r>
        <w:rPr>
          <w:rFonts w:ascii="Times New Roman" w:cs="Times New Roman" w:eastAsia="Times New Roman" w:hAnsi="Times New Roman"/>
          <w:sz w:val="18"/>
          <w:szCs w:val="18"/>
          <w:color w:val="auto"/>
        </w:rPr>
        <w:t>– as this term is defined in the Companies Law from time to time; at present, the income for which national insurance premiums are paid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Chapter 15 of the National Insurance Law [Combined Version], 1995.</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both"/>
        <w:ind w:left="780" w:right="700"/>
        <w:spacing w:after="0" w:line="283" w:lineRule="auto"/>
        <w:rPr>
          <w:sz w:val="20"/>
          <w:szCs w:val="20"/>
          <w:color w:val="auto"/>
        </w:rPr>
      </w:pPr>
      <w:r>
        <w:rPr>
          <w:rFonts w:ascii="Times New Roman" w:cs="Times New Roman" w:eastAsia="Times New Roman" w:hAnsi="Times New Roman"/>
          <w:sz w:val="18"/>
          <w:szCs w:val="18"/>
          <w:color w:val="auto"/>
        </w:rPr>
        <w:t>The Compensation Committee and Board of Directors estimate that these ratios are appropriate and reasonable in light of the Company’s characteristics, and they will not adversely affect labor relations within the Company</w:t>
      </w:r>
      <w:r>
        <w:rPr>
          <w:rFonts w:ascii="Times New Roman" w:cs="Times New Roman" w:eastAsia="Times New Roman" w:hAnsi="Times New Roman"/>
          <w:sz w:val="29"/>
          <w:szCs w:val="29"/>
          <w:color w:val="auto"/>
          <w:strike w:val="1"/>
          <w:vertAlign w:val="superscript"/>
        </w:rPr>
        <w:t>2</w:t>
      </w:r>
      <w:r>
        <w:rPr>
          <w:rFonts w:ascii="Times New Roman" w:cs="Times New Roman" w:eastAsia="Times New Roman" w:hAnsi="Times New Roman"/>
          <w:sz w:val="29"/>
          <w:szCs w:val="29"/>
          <w:u w:val="single" w:color="auto"/>
          <w:color w:val="auto"/>
          <w:vertAlign w:val="superscript"/>
        </w:rPr>
        <w:t>3</w:t>
      </w:r>
      <w:r>
        <w:rPr>
          <w:rFonts w:ascii="Times New Roman" w:cs="Times New Roman" w:eastAsia="Times New Roman" w:hAnsi="Times New Roman"/>
          <w:sz w:val="18"/>
          <w:szCs w:val="18"/>
          <w:color w:val="auto"/>
        </w:rPr>
        <w:t>.</w:t>
      </w:r>
    </w:p>
    <w:p>
      <w:pPr>
        <w:spacing w:after="0" w:line="38" w:lineRule="exact"/>
        <w:rPr>
          <w:sz w:val="20"/>
          <w:szCs w:val="20"/>
          <w:color w:val="auto"/>
        </w:rPr>
      </w:pPr>
    </w:p>
    <w:p>
      <w:pPr>
        <w:jc w:val="both"/>
        <w:ind w:left="780" w:right="680"/>
        <w:spacing w:after="0" w:line="266" w:lineRule="auto"/>
        <w:rPr>
          <w:sz w:val="20"/>
          <w:szCs w:val="20"/>
          <w:color w:val="auto"/>
        </w:rPr>
      </w:pPr>
      <w:r>
        <w:rPr>
          <w:rFonts w:ascii="Times New Roman" w:cs="Times New Roman" w:eastAsia="Times New Roman" w:hAnsi="Times New Roman"/>
          <w:sz w:val="18"/>
          <w:szCs w:val="18"/>
          <w:color w:val="auto"/>
        </w:rPr>
        <w:t>Given that the Company is growing, members of the Compensation Committee and Board of Directors in the Company believe that the Company should have, on the one hand, determined reasonable and appropriate salary ratios between the office holders and all Company employees, and on the other hand, determined salary ratios that match the nature of the Company’s operations and advanced growth, it becoming a dual-listed company, and the increase in its staff number year on year that is also characterized by hiring employees abroad, which may have a material effect on salary ratios, without diminishing the Company employees’ motivation and sense of identification with its activity and operations.</w:t>
      </w:r>
    </w:p>
    <w:p>
      <w:pPr>
        <w:spacing w:after="0" w:line="190" w:lineRule="exact"/>
        <w:rPr>
          <w:sz w:val="20"/>
          <w:szCs w:val="20"/>
          <w:color w:val="auto"/>
        </w:rPr>
      </w:pPr>
    </w:p>
    <w:p>
      <w:pPr>
        <w:jc w:val="both"/>
        <w:ind w:left="780" w:right="680"/>
        <w:spacing w:after="0" w:line="269" w:lineRule="auto"/>
        <w:rPr>
          <w:sz w:val="20"/>
          <w:szCs w:val="20"/>
          <w:color w:val="auto"/>
        </w:rPr>
      </w:pPr>
      <w:r>
        <w:rPr>
          <w:rFonts w:ascii="Times New Roman" w:cs="Times New Roman" w:eastAsia="Times New Roman" w:hAnsi="Times New Roman"/>
          <w:sz w:val="18"/>
          <w:szCs w:val="18"/>
          <w:color w:val="auto"/>
        </w:rPr>
        <w:t>In light of the above, the Company’s Compensation Committee and Board of Directors determined that the above salary ratios will be deemed reasonable with a deviation of up to 10% from the above- described ratios. Any deviation from the above will be brought before the Compensation Committee and Board of Directors, which shall be allowed to authorize compensation that deviates from the foregoing ratios, after they examine whether this requires any changes. The Compensation Committee and Board of Directors believe this maximum ratio is reasonable and fair in light of the Company’s character, its area of activity, its size during this policy’s applicability period, and consequently, the extent of responsibility imposed on the Company’s senior office holders.</w:t>
      </w:r>
    </w:p>
    <w:p>
      <w:pPr>
        <w:spacing w:after="0" w:line="188" w:lineRule="exact"/>
        <w:rPr>
          <w:sz w:val="20"/>
          <w:szCs w:val="20"/>
          <w:color w:val="auto"/>
        </w:rPr>
      </w:pPr>
    </w:p>
    <w:p>
      <w:pPr>
        <w:ind w:left="460"/>
        <w:spacing w:after="0"/>
        <w:tabs>
          <w:tab w:leader="none" w:pos="1280" w:val="left"/>
        </w:tabs>
        <w:rPr>
          <w:sz w:val="20"/>
          <w:szCs w:val="20"/>
          <w:color w:val="auto"/>
        </w:rPr>
      </w:pPr>
      <w:r>
        <w:rPr>
          <w:rFonts w:ascii="Times New Roman" w:cs="Times New Roman" w:eastAsia="Times New Roman" w:hAnsi="Times New Roman"/>
          <w:sz w:val="18"/>
          <w:szCs w:val="18"/>
          <w:color w:val="auto"/>
        </w:rPr>
        <w:t>5.13.</w:t>
      </w:r>
      <w:r>
        <w:rPr>
          <w:sz w:val="20"/>
          <w:szCs w:val="20"/>
          <w:color w:val="auto"/>
        </w:rPr>
        <w:tab/>
      </w:r>
      <w:r>
        <w:rPr>
          <w:rFonts w:ascii="Times New Roman" w:cs="Times New Roman" w:eastAsia="Times New Roman" w:hAnsi="Times New Roman"/>
          <w:sz w:val="17"/>
          <w:szCs w:val="17"/>
          <w:color w:val="auto"/>
        </w:rPr>
        <w:t>The ratio of the variable components to the fixed components granted to the office holder.</w:t>
      </w:r>
    </w:p>
    <w:p>
      <w:pPr>
        <w:spacing w:after="0" w:line="225" w:lineRule="exact"/>
        <w:rPr>
          <w:sz w:val="20"/>
          <w:szCs w:val="20"/>
          <w:color w:val="auto"/>
        </w:rPr>
      </w:pPr>
    </w:p>
    <w:p>
      <w:pPr>
        <w:ind w:left="1300"/>
        <w:spacing w:after="0" w:line="283" w:lineRule="auto"/>
        <w:rPr>
          <w:sz w:val="20"/>
          <w:szCs w:val="20"/>
          <w:color w:val="auto"/>
        </w:rPr>
      </w:pPr>
      <w:r>
        <w:rPr>
          <w:rFonts w:ascii="Times New Roman" w:cs="Times New Roman" w:eastAsia="Times New Roman" w:hAnsi="Times New Roman"/>
          <w:sz w:val="18"/>
          <w:szCs w:val="18"/>
          <w:color w:val="auto"/>
        </w:rPr>
        <w:t>The desired ratio between the variable components and the fixed components granted to different Company office holders in a given year will be as follows:</w:t>
      </w:r>
      <w:r>
        <w:rPr>
          <w:rFonts w:ascii="Times New Roman" w:cs="Times New Roman" w:eastAsia="Times New Roman" w:hAnsi="Times New Roman"/>
          <w:sz w:val="29"/>
          <w:szCs w:val="29"/>
          <w:color w:val="auto"/>
          <w:strike w:val="1"/>
          <w:vertAlign w:val="superscript"/>
        </w:rPr>
        <w:t>3</w:t>
      </w:r>
      <w:r>
        <w:rPr>
          <w:rFonts w:ascii="Times New Roman" w:cs="Times New Roman" w:eastAsia="Times New Roman" w:hAnsi="Times New Roman"/>
          <w:sz w:val="29"/>
          <w:szCs w:val="29"/>
          <w:u w:val="single" w:color="auto"/>
          <w:color w:val="auto"/>
          <w:vertAlign w:val="superscript"/>
        </w:rPr>
        <w:t>4</w:t>
      </w:r>
    </w:p>
    <w:p>
      <w:pPr>
        <w:spacing w:after="0" w:line="20"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04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Job title</w:t>
            </w:r>
          </w:p>
        </w:tc>
        <w:tc>
          <w:tcPr>
            <w:tcW w:w="80" w:type="dxa"/>
            <w:vAlign w:val="bottom"/>
          </w:tcPr>
          <w:p>
            <w:pPr>
              <w:spacing w:after="0"/>
              <w:rPr>
                <w:sz w:val="18"/>
                <w:szCs w:val="18"/>
                <w:color w:val="auto"/>
              </w:rPr>
            </w:pPr>
          </w:p>
        </w:tc>
        <w:tc>
          <w:tcPr>
            <w:tcW w:w="3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Fixed components (including related</w:t>
            </w:r>
          </w:p>
        </w:tc>
        <w:tc>
          <w:tcPr>
            <w:tcW w:w="3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Variable benefits (bonuses and equity</w:t>
            </w:r>
          </w:p>
        </w:tc>
      </w:tr>
      <w:tr>
        <w:trPr>
          <w:trHeight w:val="245"/>
        </w:trPr>
        <w:tc>
          <w:tcPr>
            <w:tcW w:w="30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benefits) (%)</w:t>
            </w:r>
          </w:p>
        </w:tc>
        <w:tc>
          <w:tcPr>
            <w:tcW w:w="260" w:type="dxa"/>
            <w:vAlign w:val="bottom"/>
          </w:tcPr>
          <w:p>
            <w:pPr>
              <w:spacing w:after="0"/>
              <w:rPr>
                <w:sz w:val="21"/>
                <w:szCs w:val="21"/>
                <w:color w:val="auto"/>
              </w:rPr>
            </w:pPr>
          </w:p>
        </w:tc>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basedcompensation) (%)</w:t>
            </w:r>
          </w:p>
        </w:tc>
        <w:tc>
          <w:tcPr>
            <w:tcW w:w="160" w:type="dxa"/>
            <w:vAlign w:val="bottom"/>
          </w:tcPr>
          <w:p>
            <w:pPr>
              <w:spacing w:after="0"/>
              <w:rPr>
                <w:sz w:val="21"/>
                <w:szCs w:val="21"/>
                <w:color w:val="auto"/>
              </w:rPr>
            </w:pPr>
          </w:p>
        </w:tc>
      </w:tr>
      <w:tr>
        <w:trPr>
          <w:trHeight w:val="229"/>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Company’s CEO</w:t>
            </w:r>
          </w:p>
        </w:tc>
        <w:tc>
          <w:tcPr>
            <w:tcW w:w="80" w:type="dxa"/>
            <w:vAlign w:val="bottom"/>
            <w:shd w:val="clear" w:color="auto" w:fill="CCEEFF"/>
          </w:tcPr>
          <w:p>
            <w:pPr>
              <w:spacing w:after="0"/>
              <w:rPr>
                <w:sz w:val="19"/>
                <w:szCs w:val="19"/>
                <w:color w:val="auto"/>
              </w:rPr>
            </w:pPr>
          </w:p>
        </w:tc>
        <w:tc>
          <w:tcPr>
            <w:tcW w:w="3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20%-60%</w:t>
            </w:r>
          </w:p>
        </w:tc>
        <w:tc>
          <w:tcPr>
            <w:tcW w:w="3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40%-80%</w:t>
            </w: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Office holders</w:t>
            </w:r>
          </w:p>
        </w:tc>
        <w:tc>
          <w:tcPr>
            <w:tcW w:w="3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20%-65%</w:t>
            </w:r>
          </w:p>
        </w:tc>
        <w:tc>
          <w:tcPr>
            <w:tcW w:w="3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35%-80%</w:t>
            </w:r>
          </w:p>
        </w:tc>
      </w:tr>
    </w:tbl>
    <w:p>
      <w:pPr>
        <w:spacing w:after="0" w:line="206" w:lineRule="exact"/>
        <w:rPr>
          <w:sz w:val="20"/>
          <w:szCs w:val="20"/>
          <w:color w:val="auto"/>
        </w:rPr>
      </w:pPr>
    </w:p>
    <w:p>
      <w:pPr>
        <w:jc w:val="both"/>
        <w:ind w:left="840" w:right="680"/>
        <w:spacing w:after="0" w:line="270" w:lineRule="auto"/>
        <w:rPr>
          <w:sz w:val="20"/>
          <w:szCs w:val="20"/>
          <w:color w:val="auto"/>
        </w:rPr>
      </w:pPr>
      <w:r>
        <w:rPr>
          <w:rFonts w:ascii="Times New Roman" w:cs="Times New Roman" w:eastAsia="Times New Roman" w:hAnsi="Times New Roman"/>
          <w:sz w:val="18"/>
          <w:szCs w:val="18"/>
          <w:color w:val="auto"/>
        </w:rPr>
        <w:t>This refers only to the planned ratio, assuming bonuses are granted as set forth in this policy. The actual ratio in a given year between the compensation package components might be different because of underperformance or overperformance, which may affect the variable compensation, as set forth in this policy. In addition, due to the unique character of the Company’s activity and the importance of retaining its many fixed work interfaces, the Company considers it important to reinforce the fixed office holder compensation components, and accordingly, the above ratios were determined as part of the overall considerations.</w:t>
      </w:r>
    </w:p>
    <w:p>
      <w:pPr>
        <w:spacing w:after="0" w:line="186" w:lineRule="exact"/>
        <w:rPr>
          <w:sz w:val="20"/>
          <w:szCs w:val="20"/>
          <w:color w:val="auto"/>
        </w:rPr>
      </w:pPr>
    </w:p>
    <w:p>
      <w:pPr>
        <w:jc w:val="both"/>
        <w:ind w:left="840" w:right="700"/>
        <w:spacing w:after="0" w:line="271" w:lineRule="auto"/>
        <w:rPr>
          <w:sz w:val="20"/>
          <w:szCs w:val="20"/>
          <w:color w:val="auto"/>
        </w:rPr>
      </w:pPr>
      <w:r>
        <w:rPr>
          <w:rFonts w:ascii="Times New Roman" w:cs="Times New Roman" w:eastAsia="Times New Roman" w:hAnsi="Times New Roman"/>
          <w:sz w:val="18"/>
          <w:szCs w:val="18"/>
          <w:color w:val="auto"/>
        </w:rPr>
        <w:t>If the Company deviates from the above ratio by more than 5% from the above-described gaps (i.e., a 7% deviation from the upper limit or a 5% deviation from the lower limit), then such deviation will be brought before the Compensation Committee and Board of Directors for further discussion, which shall be allowed to approve compensation deviating from the foregoing ratios after examining whether such deviation requires any changes. The Company organs deemed deviations within these limits as reasonable.</w:t>
      </w:r>
    </w:p>
    <w:p>
      <w:pPr>
        <w:spacing w:after="0" w:line="182" w:lineRule="exact"/>
        <w:rPr>
          <w:sz w:val="20"/>
          <w:szCs w:val="20"/>
          <w:color w:val="auto"/>
        </w:rPr>
      </w:pPr>
    </w:p>
    <w:p>
      <w:pPr>
        <w:ind w:left="460" w:hanging="452"/>
        <w:spacing w:after="0"/>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Basic salary</w:t>
      </w:r>
    </w:p>
    <w:p>
      <w:pPr>
        <w:spacing w:after="0" w:line="31" w:lineRule="exact"/>
        <w:rPr>
          <w:rFonts w:ascii="Times New Roman" w:cs="Times New Roman" w:eastAsia="Times New Roman" w:hAnsi="Times New Roman"/>
          <w:sz w:val="18"/>
          <w:szCs w:val="18"/>
          <w:color w:val="auto"/>
        </w:rPr>
      </w:pPr>
    </w:p>
    <w:p>
      <w:pPr>
        <w:ind w:left="460" w:right="6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salary of an office holder is a fixed component, determined (to the extent possible) by the day their employment term commences, and will be revised from time to time according to the Compensation Policy.</w:t>
      </w: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w:t>
      </w:r>
      <w:r>
        <w:rPr>
          <w:rFonts w:ascii="Times New Roman" w:cs="Times New Roman" w:eastAsia="Times New Roman" w:hAnsi="Times New Roman"/>
          <w:sz w:val="17"/>
          <w:szCs w:val="17"/>
          <w:u w:val="single" w:color="auto"/>
          <w:color w:val="auto"/>
        </w:rPr>
        <w:t>The CEO and the Office Holders’ Salaries</w:t>
      </w:r>
    </w:p>
    <w:p>
      <w:pPr>
        <w:spacing w:after="0" w:line="220" w:lineRule="exact"/>
        <w:rPr>
          <w:sz w:val="20"/>
          <w:szCs w:val="20"/>
          <w:color w:val="auto"/>
        </w:rPr>
      </w:pPr>
    </w:p>
    <w:p>
      <w:pPr>
        <w:ind w:left="1420" w:hanging="634"/>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6.1.1.</w:t>
        <w:tab/>
        <w:t>The Company’s CEO and other office holders’ salaries will be determined based on the relevant considerations and criteria appearing in Sections 2, 3, and 5 above, and will be approved by the Company’s competent organs, according to the applicable law.</w:t>
      </w:r>
    </w:p>
    <w:p>
      <w:pPr>
        <w:spacing w:after="0" w:line="175" w:lineRule="exact"/>
        <w:rPr>
          <w:sz w:val="20"/>
          <w:szCs w:val="20"/>
          <w:color w:val="auto"/>
        </w:rPr>
      </w:pPr>
    </w:p>
    <w:p>
      <w:pPr>
        <w:ind w:left="1380" w:right="700"/>
        <w:spacing w:after="0" w:line="292" w:lineRule="auto"/>
        <w:rPr>
          <w:sz w:val="20"/>
          <w:szCs w:val="20"/>
          <w:color w:val="auto"/>
        </w:rPr>
      </w:pPr>
      <w:r>
        <w:rPr>
          <w:rFonts w:ascii="Times New Roman" w:cs="Times New Roman" w:eastAsia="Times New Roman" w:hAnsi="Times New Roman"/>
          <w:sz w:val="18"/>
          <w:szCs w:val="18"/>
          <w:color w:val="auto"/>
        </w:rPr>
        <w:t>Based on these considerations, the Company office holders’ highest monthly Base Wages were determined, as set forth below</w:t>
      </w:r>
      <w:r>
        <w:rPr>
          <w:rFonts w:ascii="Times New Roman" w:cs="Times New Roman" w:eastAsia="Times New Roman" w:hAnsi="Times New Roman"/>
          <w:sz w:val="29"/>
          <w:szCs w:val="29"/>
          <w:color w:val="auto"/>
          <w:strike w:val="1"/>
          <w:vertAlign w:val="superscript"/>
        </w:rPr>
        <w:t>4</w:t>
      </w:r>
      <w:r>
        <w:rPr>
          <w:rFonts w:ascii="Times New Roman" w:cs="Times New Roman" w:eastAsia="Times New Roman" w:hAnsi="Times New Roman"/>
          <w:sz w:val="29"/>
          <w:szCs w:val="29"/>
          <w:u w:val="single" w:color="auto"/>
          <w:color w:val="auto"/>
          <w:vertAlign w:val="superscript"/>
        </w:rPr>
        <w:t>5</w:t>
      </w:r>
      <w:r>
        <w:rPr>
          <w:rFonts w:ascii="Times New Roman" w:cs="Times New Roman" w:eastAsia="Times New Roman" w:hAnsi="Times New Roman"/>
          <w:sz w:val="18"/>
          <w:szCs w:val="18"/>
          <w:color w:val="auto"/>
        </w:rPr>
        <w:t>:</w:t>
      </w:r>
    </w:p>
    <w:p>
      <w:pPr>
        <w:spacing w:after="0" w:line="17"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Maximum</w:t>
            </w:r>
          </w:p>
        </w:tc>
        <w:tc>
          <w:tcPr>
            <w:tcW w:w="0" w:type="dxa"/>
            <w:vAlign w:val="bottom"/>
          </w:tcPr>
          <w:p>
            <w:pPr>
              <w:spacing w:after="0"/>
              <w:rPr>
                <w:sz w:val="1"/>
                <w:szCs w:val="1"/>
                <w:color w:val="auto"/>
              </w:rPr>
            </w:pPr>
          </w:p>
        </w:tc>
      </w:tr>
      <w:tr>
        <w:trPr>
          <w:trHeight w:val="206"/>
        </w:trPr>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 NIS)</w:t>
            </w:r>
          </w:p>
        </w:tc>
        <w:tc>
          <w:tcPr>
            <w:tcW w:w="0" w:type="dxa"/>
            <w:vAlign w:val="bottom"/>
          </w:tcPr>
          <w:p>
            <w:pPr>
              <w:spacing w:after="0"/>
              <w:rPr>
                <w:sz w:val="1"/>
                <w:szCs w:val="1"/>
                <w:color w:val="auto"/>
              </w:rPr>
            </w:pPr>
          </w:p>
        </w:tc>
      </w:tr>
      <w:tr>
        <w:trPr>
          <w:trHeight w:val="163"/>
        </w:trPr>
        <w:tc>
          <w:tcPr>
            <w:tcW w:w="73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Job title</w:t>
            </w:r>
          </w:p>
        </w:tc>
        <w:tc>
          <w:tcPr>
            <w:tcW w:w="100" w:type="dxa"/>
            <w:vAlign w:val="bottom"/>
          </w:tcPr>
          <w:p>
            <w:pPr>
              <w:spacing w:after="0"/>
              <w:rPr>
                <w:sz w:val="14"/>
                <w:szCs w:val="14"/>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w w:val="95"/>
              </w:rPr>
              <w:t>(gross)</w:t>
            </w:r>
          </w:p>
        </w:tc>
        <w:tc>
          <w:tcPr>
            <w:tcW w:w="8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5"/>
                <w:szCs w:val="15"/>
                <w:color w:val="0000FF"/>
                <w:w w:val="79"/>
              </w:rPr>
              <w:t>6</w:t>
            </w:r>
          </w:p>
        </w:tc>
        <w:tc>
          <w:tcPr>
            <w:tcW w:w="20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732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520" w:type="dxa"/>
            <w:vAlign w:val="bottom"/>
            <w:tcBorders>
              <w:top w:val="single" w:sz="8" w:color="auto"/>
              <w:bottom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The Company's CEO</w:t>
            </w:r>
          </w:p>
        </w:tc>
        <w:tc>
          <w:tcPr>
            <w:tcW w:w="80" w:type="dxa"/>
            <w:vAlign w:val="bottom"/>
            <w:tcBorders>
              <w:top w:val="single" w:sz="8" w:color="auto"/>
              <w:bottom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strike w:val="1"/>
                <w:w w:val="79"/>
              </w:rPr>
              <w:t>5</w:t>
            </w:r>
          </w:p>
        </w:tc>
        <w:tc>
          <w:tcPr>
            <w:tcW w:w="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7</w:t>
            </w:r>
          </w:p>
        </w:tc>
        <w:tc>
          <w:tcPr>
            <w:tcW w:w="564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118,000</w:t>
            </w:r>
          </w:p>
        </w:tc>
        <w:tc>
          <w:tcPr>
            <w:tcW w:w="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1520" w:type="dxa"/>
            <w:vAlign w:val="bottom"/>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6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20" w:type="dxa"/>
            <w:vAlign w:val="bottom"/>
            <w:gridSpan w:val="3"/>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Office holders</w:t>
            </w:r>
          </w:p>
        </w:tc>
        <w:tc>
          <w:tcPr>
            <w:tcW w:w="10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10712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strike w:val="1"/>
          <w:vertAlign w:val="superscript"/>
        </w:rPr>
        <w:t>2</w:t>
      </w:r>
      <w:r>
        <w:rPr>
          <w:rFonts w:ascii="Times New Roman" w:cs="Times New Roman" w:eastAsia="Times New Roman" w:hAnsi="Times New Roman"/>
          <w:sz w:val="29"/>
          <w:szCs w:val="29"/>
          <w:u w:val="single" w:color="auto"/>
          <w:color w:val="auto"/>
          <w:vertAlign w:val="superscript"/>
        </w:rPr>
        <w:t>3</w:t>
      </w:r>
      <w:r>
        <w:rPr>
          <w:rFonts w:ascii="Times New Roman" w:cs="Times New Roman" w:eastAsia="Times New Roman" w:hAnsi="Times New Roman"/>
          <w:sz w:val="18"/>
          <w:szCs w:val="18"/>
          <w:color w:val="auto"/>
        </w:rPr>
        <w:t xml:space="preserve"> The maximum ratios consider the equity compensation made to the Company officers.</w:t>
      </w:r>
    </w:p>
    <w:p>
      <w:pPr>
        <w:jc w:val="both"/>
        <w:ind w:right="160"/>
        <w:spacing w:after="0" w:line="216" w:lineRule="auto"/>
        <w:rPr>
          <w:sz w:val="20"/>
          <w:szCs w:val="20"/>
          <w:color w:val="auto"/>
        </w:rPr>
      </w:pPr>
      <w:r>
        <w:rPr>
          <w:rFonts w:ascii="Times New Roman" w:cs="Times New Roman" w:eastAsia="Times New Roman" w:hAnsi="Times New Roman"/>
          <w:sz w:val="29"/>
          <w:szCs w:val="29"/>
          <w:color w:val="auto"/>
          <w:strike w:val="1"/>
          <w:vertAlign w:val="superscript"/>
        </w:rPr>
        <w:t>3</w:t>
      </w:r>
      <w:r>
        <w:rPr>
          <w:rFonts w:ascii="Times New Roman" w:cs="Times New Roman" w:eastAsia="Times New Roman" w:hAnsi="Times New Roman"/>
          <w:sz w:val="29"/>
          <w:szCs w:val="29"/>
          <w:u w:val="single" w:color="auto"/>
          <w:color w:val="auto"/>
          <w:vertAlign w:val="superscript"/>
        </w:rPr>
        <w:t>4</w:t>
      </w:r>
      <w:r>
        <w:rPr>
          <w:rFonts w:ascii="Times New Roman" w:cs="Times New Roman" w:eastAsia="Times New Roman" w:hAnsi="Times New Roman"/>
          <w:sz w:val="18"/>
          <w:szCs w:val="18"/>
          <w:color w:val="auto"/>
        </w:rPr>
        <w:t xml:space="preserve"> We emphasize that this refers only to the planned ratio, assuming bonuses are made as stated in this policy. The actual ratio in a given year between the compensation package components might be different because of underperformance or over-performance, that might affect the variable compensation, as stated in this policy.</w:t>
      </w:r>
    </w:p>
    <w:p>
      <w:pPr>
        <w:spacing w:after="0" w:line="1" w:lineRule="exact"/>
        <w:rPr>
          <w:sz w:val="20"/>
          <w:szCs w:val="20"/>
          <w:color w:val="auto"/>
        </w:rPr>
      </w:pPr>
    </w:p>
    <w:p>
      <w:pPr>
        <w:jc w:val="both"/>
        <w:ind w:right="260"/>
        <w:spacing w:after="0" w:line="216" w:lineRule="auto"/>
        <w:rPr>
          <w:sz w:val="20"/>
          <w:szCs w:val="20"/>
          <w:color w:val="auto"/>
        </w:rPr>
      </w:pPr>
      <w:r>
        <w:rPr>
          <w:rFonts w:ascii="Times New Roman" w:cs="Times New Roman" w:eastAsia="Times New Roman" w:hAnsi="Times New Roman"/>
          <w:sz w:val="29"/>
          <w:szCs w:val="29"/>
          <w:color w:val="auto"/>
          <w:strike w:val="1"/>
          <w:vertAlign w:val="superscript"/>
        </w:rPr>
        <w:t>4</w:t>
      </w:r>
      <w:r>
        <w:rPr>
          <w:rFonts w:ascii="Times New Roman" w:cs="Times New Roman" w:eastAsia="Times New Roman" w:hAnsi="Times New Roman"/>
          <w:sz w:val="29"/>
          <w:szCs w:val="29"/>
          <w:u w:val="single" w:color="auto"/>
          <w:color w:val="auto"/>
          <w:vertAlign w:val="superscript"/>
        </w:rPr>
        <w:t>5</w:t>
      </w:r>
      <w:r>
        <w:rPr>
          <w:rFonts w:ascii="Times New Roman" w:cs="Times New Roman" w:eastAsia="Times New Roman" w:hAnsi="Times New Roman"/>
          <w:sz w:val="18"/>
          <w:szCs w:val="18"/>
          <w:color w:val="auto"/>
        </w:rPr>
        <w:t xml:space="preserve"> To clarify, the Company may enter into management agreements with the officers’ wholly owned companies, and all provisions of this Compensation Policy also apply to them. The management fee will be governed by the provisions that apply to the monthly salary, and the maximum management fees will be equal to the maximum employment cost assuming labor relations.</w:t>
      </w:r>
    </w:p>
    <w:p>
      <w:pPr>
        <w:ind w:left="120" w:hanging="112"/>
        <w:spacing w:after="0" w:line="186" w:lineRule="auto"/>
        <w:tabs>
          <w:tab w:leader="none" w:pos="120" w:val="left"/>
        </w:tabs>
        <w:numPr>
          <w:ilvl w:val="0"/>
          <w:numId w:val="4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 xml:space="preserve">The maximum will be adjusted, every year in January, to the increase of the Consumer Price Index in the </w:t>
      </w:r>
      <w:r>
        <w:rPr>
          <w:rFonts w:ascii="Times New Roman" w:cs="Times New Roman" w:eastAsia="Times New Roman" w:hAnsi="Times New Roman"/>
          <w:sz w:val="16"/>
          <w:szCs w:val="16"/>
          <w:u w:val="single" w:color="auto"/>
          <w:color w:val="auto"/>
        </w:rPr>
        <w:t>previous calendar year.</w:t>
      </w:r>
    </w:p>
    <w:p>
      <w:pPr>
        <w:spacing w:after="0" w:line="1" w:lineRule="exact"/>
        <w:rPr>
          <w:sz w:val="20"/>
          <w:szCs w:val="20"/>
          <w:color w:val="auto"/>
        </w:rPr>
      </w:pPr>
    </w:p>
    <w:p>
      <w:pPr>
        <w:ind w:right="180"/>
        <w:spacing w:after="0" w:line="197" w:lineRule="auto"/>
        <w:rPr>
          <w:sz w:val="20"/>
          <w:szCs w:val="20"/>
          <w:color w:val="auto"/>
        </w:rPr>
      </w:pPr>
      <w:r>
        <w:rPr>
          <w:rFonts w:ascii="Times New Roman" w:cs="Times New Roman" w:eastAsia="Times New Roman" w:hAnsi="Times New Roman"/>
          <w:sz w:val="29"/>
          <w:szCs w:val="29"/>
          <w:color w:val="auto"/>
          <w:strike w:val="1"/>
          <w:vertAlign w:val="superscript"/>
        </w:rPr>
        <w:t>5</w:t>
      </w:r>
      <w:r>
        <w:rPr>
          <w:rFonts w:ascii="Times New Roman" w:cs="Times New Roman" w:eastAsia="Times New Roman" w:hAnsi="Times New Roman"/>
          <w:sz w:val="29"/>
          <w:szCs w:val="29"/>
          <w:u w:val="single" w:color="auto"/>
          <w:color w:val="auto"/>
          <w:vertAlign w:val="superscript"/>
        </w:rPr>
        <w:t>7</w:t>
      </w:r>
      <w:r>
        <w:rPr>
          <w:rFonts w:ascii="Times New Roman" w:cs="Times New Roman" w:eastAsia="Times New Roman" w:hAnsi="Times New Roman"/>
          <w:sz w:val="18"/>
          <w:szCs w:val="18"/>
          <w:color w:val="auto"/>
        </w:rPr>
        <w:t xml:space="preserve"> The maximum value of the CEO’s compensation package may not exceed NIS 10 million a year, and the calculation of the options’ value will be made for the award date, linearly over the vesting period.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771" w:gutter="0" w:footer="0" w:header="0"/>
        </w:sectPr>
      </w:pPr>
    </w:p>
    <w:bookmarkStart w:id="37" w:name="page38"/>
    <w:bookmarkEnd w:id="37"/>
    <w:p>
      <w:pPr>
        <w:jc w:val="both"/>
        <w:ind w:left="1440" w:right="680"/>
        <w:spacing w:after="0" w:line="271" w:lineRule="auto"/>
        <w:rPr>
          <w:sz w:val="20"/>
          <w:szCs w:val="20"/>
          <w:color w:val="auto"/>
        </w:rPr>
      </w:pPr>
      <w:r>
        <w:rPr>
          <w:rFonts w:ascii="Times New Roman" w:cs="Times New Roman" w:eastAsia="Times New Roman" w:hAnsi="Times New Roman"/>
          <w:sz w:val="18"/>
          <w:szCs w:val="18"/>
          <w:color w:val="auto"/>
        </w:rPr>
        <w:t>The Compensation Committee and Board of Directors will review such highest monthly Base Wages as part of the annual review of the Compensation Policy under Section 16 below, and these will be updated to the extent necessary, including in comparison with the Peer Company Data and taking into consideration the Company’s business position and its staff, or other considerations.</w:t>
      </w:r>
    </w:p>
    <w:p>
      <w:pPr>
        <w:spacing w:after="0" w:line="186" w:lineRule="exact"/>
        <w:rPr>
          <w:sz w:val="20"/>
          <w:szCs w:val="20"/>
          <w:color w:val="auto"/>
        </w:rPr>
      </w:pPr>
    </w:p>
    <w:p>
      <w:pPr>
        <w:jc w:val="both"/>
        <w:ind w:left="1440" w:right="680"/>
        <w:spacing w:after="0" w:line="271" w:lineRule="auto"/>
        <w:rPr>
          <w:sz w:val="20"/>
          <w:szCs w:val="20"/>
          <w:color w:val="auto"/>
        </w:rPr>
      </w:pPr>
      <w:r>
        <w:rPr>
          <w:rFonts w:ascii="Times New Roman" w:cs="Times New Roman" w:eastAsia="Times New Roman" w:hAnsi="Times New Roman"/>
          <w:sz w:val="18"/>
          <w:szCs w:val="18"/>
          <w:color w:val="auto"/>
        </w:rPr>
        <w:t>If the Company deviates from the above by more than 5%, such deviation will be brought before the Compensation Committee and Board of Directors for further discussion, which shall be allowed to approve compensation deviating from the foregoing ratios after examining whether any changes are required. The Company organs considered any deviation within the above set forth limits as reasonable.</w:t>
      </w:r>
    </w:p>
    <w:p>
      <w:pPr>
        <w:spacing w:after="0" w:line="195" w:lineRule="exact"/>
        <w:rPr>
          <w:sz w:val="20"/>
          <w:szCs w:val="20"/>
          <w:color w:val="auto"/>
        </w:rPr>
      </w:pPr>
    </w:p>
    <w:p>
      <w:pPr>
        <w:ind w:left="460"/>
        <w:spacing w:after="0"/>
        <w:tabs>
          <w:tab w:leader="none" w:pos="128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b w:val="1"/>
          <w:bCs w:val="1"/>
          <w:u w:val="single" w:color="auto"/>
          <w:color w:val="auto"/>
        </w:rPr>
        <w:t>Compensation of directors</w:t>
      </w:r>
    </w:p>
    <w:p>
      <w:pPr>
        <w:spacing w:after="0" w:line="31" w:lineRule="exact"/>
        <w:rPr>
          <w:sz w:val="20"/>
          <w:szCs w:val="20"/>
          <w:color w:val="auto"/>
        </w:rPr>
      </w:pPr>
    </w:p>
    <w:p>
      <w:pPr>
        <w:jc w:val="both"/>
        <w:ind w:left="1420" w:hanging="634"/>
        <w:spacing w:after="0" w:line="253" w:lineRule="auto"/>
        <w:tabs>
          <w:tab w:leader="none" w:pos="1400" w:val="left"/>
        </w:tabs>
        <w:rPr>
          <w:sz w:val="20"/>
          <w:szCs w:val="20"/>
          <w:color w:val="auto"/>
        </w:rPr>
      </w:pPr>
      <w:r>
        <w:rPr>
          <w:rFonts w:ascii="Times New Roman" w:cs="Times New Roman" w:eastAsia="Times New Roman" w:hAnsi="Times New Roman"/>
          <w:sz w:val="18"/>
          <w:szCs w:val="18"/>
          <w:color w:val="auto"/>
        </w:rPr>
        <w:t>6.2.1.</w:t>
        <w:tab/>
        <w:t>The (external and other) Company directors “excluding directors employed in the Company in another position” will be paid an annual compensation, a participation compensation, and reimbursement of expenses according to the provisions of the Companies Regulations (Outside Director Compensation and Expenses Rules), 2000 (hereinafter, the “</w:t>
      </w:r>
      <w:r>
        <w:rPr>
          <w:rFonts w:ascii="Times New Roman" w:cs="Times New Roman" w:eastAsia="Times New Roman" w:hAnsi="Times New Roman"/>
          <w:sz w:val="18"/>
          <w:szCs w:val="18"/>
          <w:b w:val="1"/>
          <w:bCs w:val="1"/>
          <w:color w:val="auto"/>
        </w:rPr>
        <w:t>Compensation Regulations</w:t>
      </w:r>
      <w:r>
        <w:rPr>
          <w:rFonts w:ascii="Times New Roman" w:cs="Times New Roman" w:eastAsia="Times New Roman" w:hAnsi="Times New Roman"/>
          <w:sz w:val="18"/>
          <w:szCs w:val="18"/>
          <w:color w:val="auto"/>
        </w:rPr>
        <w:t>”), based on the Company’s classification according to such regulations. The wages determined may not exceed the maximum compensation permitted under the Compensation Regulations.</w:t>
      </w:r>
    </w:p>
    <w:p>
      <w:pPr>
        <w:spacing w:after="0" w:line="187" w:lineRule="exact"/>
        <w:rPr>
          <w:sz w:val="20"/>
          <w:szCs w:val="20"/>
          <w:color w:val="auto"/>
        </w:rPr>
      </w:pPr>
    </w:p>
    <w:p>
      <w:pPr>
        <w:jc w:val="both"/>
        <w:ind w:left="1420" w:hanging="634"/>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6.2.2.</w:t>
        <w:tab/>
        <w:t>The amounts will be paid plus linkage differentials, as set forth in Regulation 8 of the Compensation Regulations, and will be updated from time to time as set forth in the Compensation Regulations.</w:t>
      </w:r>
    </w:p>
    <w:p>
      <w:pPr>
        <w:spacing w:after="0" w:line="162" w:lineRule="exact"/>
        <w:rPr>
          <w:sz w:val="20"/>
          <w:szCs w:val="20"/>
          <w:color w:val="auto"/>
        </w:rPr>
      </w:pPr>
    </w:p>
    <w:p>
      <w:pPr>
        <w:jc w:val="both"/>
        <w:ind w:left="1420" w:hanging="634"/>
        <w:spacing w:after="0" w:line="266" w:lineRule="auto"/>
        <w:tabs>
          <w:tab w:leader="none" w:pos="1400" w:val="left"/>
        </w:tabs>
        <w:rPr>
          <w:sz w:val="20"/>
          <w:szCs w:val="20"/>
          <w:color w:val="auto"/>
        </w:rPr>
      </w:pPr>
      <w:r>
        <w:rPr>
          <w:rFonts w:ascii="Times New Roman" w:cs="Times New Roman" w:eastAsia="Times New Roman" w:hAnsi="Times New Roman"/>
          <w:sz w:val="18"/>
          <w:szCs w:val="18"/>
          <w:color w:val="auto"/>
        </w:rPr>
        <w:t>6.2.3.</w:t>
        <w:tab/>
        <w:t>The foregoing notwithstanding, a director’s (not including an outside director and/or an independent director) non-acceptance or waiver of the compensation that they are entitled to according to the Compensation Regulations will not be deemed a deviation from this policy.</w:t>
      </w:r>
    </w:p>
    <w:p>
      <w:pPr>
        <w:spacing w:after="0" w:line="166" w:lineRule="exact"/>
        <w:rPr>
          <w:sz w:val="20"/>
          <w:szCs w:val="20"/>
          <w:color w:val="auto"/>
        </w:rPr>
      </w:pPr>
    </w:p>
    <w:p>
      <w:pPr>
        <w:jc w:val="both"/>
        <w:ind w:left="1420" w:hanging="634"/>
        <w:spacing w:after="0" w:line="227" w:lineRule="auto"/>
        <w:tabs>
          <w:tab w:leader="none" w:pos="1400" w:val="left"/>
        </w:tabs>
        <w:rPr>
          <w:sz w:val="20"/>
          <w:szCs w:val="20"/>
          <w:color w:val="auto"/>
        </w:rPr>
      </w:pPr>
      <w:r>
        <w:rPr>
          <w:rFonts w:ascii="Times New Roman" w:cs="Times New Roman" w:eastAsia="Times New Roman" w:hAnsi="Times New Roman"/>
          <w:sz w:val="18"/>
          <w:szCs w:val="18"/>
          <w:color w:val="auto"/>
        </w:rPr>
        <w:t>6.2.4.</w:t>
      </w:r>
      <w:r>
        <w:rPr>
          <w:sz w:val="20"/>
          <w:szCs w:val="20"/>
          <w:color w:val="auto"/>
        </w:rPr>
        <w:tab/>
      </w:r>
      <w:r>
        <w:rPr>
          <w:rFonts w:ascii="Times New Roman" w:cs="Times New Roman" w:eastAsia="Times New Roman" w:hAnsi="Times New Roman"/>
          <w:sz w:val="17"/>
          <w:szCs w:val="17"/>
          <w:color w:val="auto"/>
        </w:rPr>
        <w:t xml:space="preserve">The Company may grant the Chairman </w:t>
      </w:r>
      <w:r>
        <w:rPr>
          <w:rFonts w:ascii="Times New Roman" w:cs="Times New Roman" w:eastAsia="Times New Roman" w:hAnsi="Times New Roman"/>
          <w:sz w:val="17"/>
          <w:szCs w:val="17"/>
          <w:u w:val="single" w:color="auto"/>
          <w:color w:val="auto"/>
        </w:rPr>
        <w:t>and the Vice Chairman</w:t>
      </w:r>
      <w:r>
        <w:rPr>
          <w:rFonts w:ascii="Times New Roman" w:cs="Times New Roman" w:eastAsia="Times New Roman" w:hAnsi="Times New Roman"/>
          <w:sz w:val="17"/>
          <w:szCs w:val="17"/>
          <w:color w:val="auto"/>
        </w:rPr>
        <w:t xml:space="preserve"> of its Board of Directors compensation that may not exceed NIS 60,000</w:t>
      </w:r>
      <w:r>
        <w:rPr>
          <w:rFonts w:ascii="Times New Roman" w:cs="Times New Roman" w:eastAsia="Times New Roman" w:hAnsi="Times New Roman"/>
          <w:sz w:val="28"/>
          <w:szCs w:val="28"/>
          <w:color w:val="auto"/>
          <w:vertAlign w:val="superscript"/>
        </w:rPr>
        <w:t>8</w:t>
      </w:r>
      <w:r>
        <w:rPr>
          <w:rFonts w:ascii="Times New Roman" w:cs="Times New Roman" w:eastAsia="Times New Roman" w:hAnsi="Times New Roman"/>
          <w:sz w:val="17"/>
          <w:szCs w:val="17"/>
          <w:color w:val="auto"/>
        </w:rPr>
        <w:t xml:space="preserve"> a month (</w:t>
      </w:r>
      <w:r>
        <w:rPr>
          <w:rFonts w:ascii="Times New Roman" w:cs="Times New Roman" w:eastAsia="Times New Roman" w:hAnsi="Times New Roman"/>
          <w:sz w:val="17"/>
          <w:szCs w:val="17"/>
          <w:u w:val="single" w:color="auto"/>
          <w:color w:val="auto"/>
        </w:rPr>
        <w:t>employer costs or</w:t>
      </w:r>
      <w:r>
        <w:rPr>
          <w:rFonts w:ascii="Times New Roman" w:cs="Times New Roman" w:eastAsia="Times New Roman" w:hAnsi="Times New Roman"/>
          <w:sz w:val="17"/>
          <w:szCs w:val="17"/>
          <w:color w:val="auto"/>
        </w:rPr>
        <w:t xml:space="preserve"> payable through an invoice), plus an equity component according to the standards set forth in this policy.</w:t>
      </w:r>
      <w:r>
        <w:rPr>
          <w:rFonts w:ascii="Times New Roman" w:cs="Times New Roman" w:eastAsia="Times New Roman" w:hAnsi="Times New Roman"/>
          <w:sz w:val="28"/>
          <w:szCs w:val="28"/>
          <w:color w:val="auto"/>
          <w:strike w:val="1"/>
          <w:vertAlign w:val="superscript"/>
        </w:rPr>
        <w:t>6</w:t>
      </w:r>
      <w:r>
        <w:rPr>
          <w:rFonts w:ascii="Times New Roman" w:cs="Times New Roman" w:eastAsia="Times New Roman" w:hAnsi="Times New Roman"/>
          <w:sz w:val="28"/>
          <w:szCs w:val="28"/>
          <w:u w:val="single" w:color="auto"/>
          <w:color w:val="auto"/>
          <w:vertAlign w:val="superscript"/>
        </w:rPr>
        <w:t>9</w:t>
      </w:r>
    </w:p>
    <w:p>
      <w:pPr>
        <w:spacing w:after="0" w:line="49" w:lineRule="exact"/>
        <w:rPr>
          <w:sz w:val="20"/>
          <w:szCs w:val="20"/>
          <w:color w:val="auto"/>
        </w:rPr>
      </w:pPr>
    </w:p>
    <w:p>
      <w:pPr>
        <w:jc w:val="both"/>
        <w:ind w:left="1420" w:hanging="634"/>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6.2.5.</w:t>
        <w:tab/>
        <w:t>In addition, Company directors shall be entitled to equity based compensation (calculated annually) not to exceed 50% of their total annual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0712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221" w:lineRule="exact"/>
        <w:rPr>
          <w:sz w:val="20"/>
          <w:szCs w:val="20"/>
          <w:color w:val="auto"/>
        </w:rPr>
      </w:pPr>
    </w:p>
    <w:p>
      <w:pPr>
        <w:ind w:left="120" w:hanging="112"/>
        <w:spacing w:after="0"/>
        <w:tabs>
          <w:tab w:leader="none" w:pos="12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The maximum will be adjusted, every year in January, to the increase of the Consumer Price Index in the </w:t>
      </w:r>
      <w:r>
        <w:rPr>
          <w:rFonts w:ascii="Times New Roman" w:cs="Times New Roman" w:eastAsia="Times New Roman" w:hAnsi="Times New Roman"/>
          <w:sz w:val="18"/>
          <w:szCs w:val="18"/>
          <w:u w:val="single" w:color="auto"/>
          <w:color w:val="auto"/>
        </w:rPr>
        <w:t>previous calendar year.</w:t>
      </w:r>
    </w:p>
    <w:p>
      <w:pPr>
        <w:ind w:right="180"/>
        <w:spacing w:after="0" w:line="203" w:lineRule="auto"/>
        <w:rPr>
          <w:sz w:val="20"/>
          <w:szCs w:val="20"/>
          <w:color w:val="auto"/>
        </w:rPr>
      </w:pPr>
      <w:r>
        <w:rPr>
          <w:rFonts w:ascii="Times New Roman" w:cs="Times New Roman" w:eastAsia="Times New Roman" w:hAnsi="Times New Roman"/>
          <w:sz w:val="29"/>
          <w:szCs w:val="29"/>
          <w:color w:val="auto"/>
          <w:strike w:val="1"/>
          <w:vertAlign w:val="superscript"/>
        </w:rPr>
        <w:t>6</w:t>
      </w:r>
      <w:r>
        <w:rPr>
          <w:rFonts w:ascii="Times New Roman" w:cs="Times New Roman" w:eastAsia="Times New Roman" w:hAnsi="Times New Roman"/>
          <w:sz w:val="29"/>
          <w:szCs w:val="29"/>
          <w:u w:val="single" w:color="auto"/>
          <w:color w:val="auto"/>
          <w:vertAlign w:val="superscript"/>
        </w:rPr>
        <w:t>9</w:t>
      </w:r>
      <w:r>
        <w:rPr>
          <w:rFonts w:ascii="Times New Roman" w:cs="Times New Roman" w:eastAsia="Times New Roman" w:hAnsi="Times New Roman"/>
          <w:sz w:val="18"/>
          <w:szCs w:val="18"/>
          <w:color w:val="auto"/>
        </w:rPr>
        <w:t xml:space="preserve"> The above is a payment for a 33% appointment percentage, and it will be adapted proportionally based on an increase or a decrease in the appointment percentage.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ind w:left="460" w:hanging="452"/>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Annual Cash Bonus</w:t>
      </w:r>
    </w:p>
    <w:p>
      <w:pPr>
        <w:spacing w:after="0" w:line="229" w:lineRule="exact"/>
        <w:rPr>
          <w:rFonts w:ascii="Times New Roman" w:cs="Times New Roman" w:eastAsia="Times New Roman" w:hAnsi="Times New Roman"/>
          <w:sz w:val="18"/>
          <w:szCs w:val="18"/>
          <w:color w:val="auto"/>
        </w:rPr>
      </w:pPr>
    </w:p>
    <w:p>
      <w:pPr>
        <w:ind w:left="1300" w:hanging="837"/>
        <w:spacing w:after="0" w:line="2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7.1.The Company’s Compensation Policy is based, among other things, on the assumption that the Company office holders’ compensation must be tied to the Company’s business results</w:t>
      </w:r>
      <w:r>
        <w:rPr>
          <w:rFonts w:ascii="Times New Roman" w:cs="Times New Roman" w:eastAsia="Times New Roman" w:hAnsi="Times New Roman"/>
          <w:sz w:val="29"/>
          <w:szCs w:val="29"/>
          <w:color w:val="auto"/>
          <w:strike w:val="1"/>
          <w:vertAlign w:val="superscript"/>
        </w:rPr>
        <w:t>7</w:t>
      </w:r>
      <w:r>
        <w:rPr>
          <w:rFonts w:ascii="Times New Roman" w:cs="Times New Roman" w:eastAsia="Times New Roman" w:hAnsi="Times New Roman"/>
          <w:sz w:val="29"/>
          <w:szCs w:val="29"/>
          <w:u w:val="single" w:color="auto"/>
          <w:color w:val="auto"/>
          <w:vertAlign w:val="superscript"/>
        </w:rPr>
        <w:t>10</w:t>
      </w:r>
      <w:r>
        <w:rPr>
          <w:rFonts w:ascii="Times New Roman" w:cs="Times New Roman" w:eastAsia="Times New Roman" w:hAnsi="Times New Roman"/>
          <w:sz w:val="18"/>
          <w:szCs w:val="18"/>
          <w:color w:val="auto"/>
        </w:rPr>
        <w:t xml:space="preserve"> and reflect the Company’s various strategic goals and each office holders’ personal contribution to achieving such goals.</w:t>
      </w:r>
    </w:p>
    <w:p>
      <w:pPr>
        <w:spacing w:after="0" w:line="214" w:lineRule="exact"/>
        <w:rPr>
          <w:rFonts w:ascii="Times New Roman" w:cs="Times New Roman" w:eastAsia="Times New Roman" w:hAnsi="Times New Roman"/>
          <w:sz w:val="18"/>
          <w:szCs w:val="18"/>
          <w:color w:val="auto"/>
        </w:rPr>
      </w:pPr>
    </w:p>
    <w:p>
      <w:pPr>
        <w:ind w:left="1300" w:hanging="837"/>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7.2.This bonus is intended to compensate the office holders for their accomplishments and contributions to achieving the Company’s goals throughout the period for which the bonus is paid.</w:t>
      </w:r>
    </w:p>
    <w:p>
      <w:pPr>
        <w:spacing w:after="0" w:line="175" w:lineRule="exact"/>
        <w:rPr>
          <w:rFonts w:ascii="Times New Roman" w:cs="Times New Roman" w:eastAsia="Times New Roman" w:hAnsi="Times New Roman"/>
          <w:sz w:val="18"/>
          <w:szCs w:val="18"/>
          <w:color w:val="auto"/>
        </w:rPr>
      </w:pPr>
    </w:p>
    <w:p>
      <w:pPr>
        <w:ind w:left="1300" w:hanging="837"/>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7.3.The Company's office holders will be entitled to an annual performance-based bonus contingent on meeting certain goals. Eligibility for the bonus will be determined mainly on measurable quantitative criteria, however, eligibility may also be partly determined by qualitative criteria that is not measurable. The structure of the goals and weights attributed will be determined by the Compensation Committee and the Board of Directors every year in advance, no later than the end of March of that year. The goals and weights attributed will be structured individually and separately for each of the Company's office holders.</w:t>
      </w:r>
    </w:p>
    <w:p>
      <w:pPr>
        <w:spacing w:after="0" w:line="183"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w:t>
      </w:r>
      <w:r>
        <w:rPr>
          <w:rFonts w:ascii="Times New Roman" w:cs="Times New Roman" w:eastAsia="Times New Roman" w:hAnsi="Times New Roman"/>
          <w:sz w:val="17"/>
          <w:szCs w:val="17"/>
          <w:color w:val="auto"/>
        </w:rPr>
        <w:t>The amount of the bonus to be distributed each year will be based on the extent to which goals are achieved, as set out below.</w:t>
      </w:r>
    </w:p>
    <w:p>
      <w:pPr>
        <w:spacing w:after="0" w:line="27"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7.4.1.   Bonus structure - the bonus will be composed of three components:</w:t>
      </w:r>
    </w:p>
    <w:p>
      <w:pPr>
        <w:spacing w:after="0" w:line="216"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w:t>
            </w:r>
          </w:p>
        </w:tc>
        <w:tc>
          <w:tcPr>
            <w:tcW w:w="1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Based on Company</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Goals applicable to the bonus plans for all the Company's office holders in a particular year, including the</w:t>
            </w: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1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goals </w:t>
            </w:r>
            <w:r>
              <w:rPr>
                <w:rFonts w:ascii="Times New Roman" w:cs="Times New Roman" w:eastAsia="Times New Roman" w:hAnsi="Times New Roman"/>
                <w:sz w:val="18"/>
                <w:szCs w:val="18"/>
                <w:color w:val="auto"/>
              </w:rPr>
              <w:t>-</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Company's CEO.</w:t>
            </w:r>
          </w:p>
        </w:tc>
        <w:tc>
          <w:tcPr>
            <w:tcW w:w="0" w:type="dxa"/>
            <w:vAlign w:val="bottom"/>
          </w:tcPr>
          <w:p>
            <w:pPr>
              <w:spacing w:after="0"/>
              <w:rPr>
                <w:sz w:val="1"/>
                <w:szCs w:val="1"/>
                <w:color w:val="auto"/>
              </w:rPr>
            </w:pPr>
          </w:p>
        </w:tc>
      </w:tr>
      <w:tr>
        <w:trPr>
          <w:trHeight w:val="220"/>
        </w:trPr>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w:t>
            </w:r>
          </w:p>
        </w:tc>
        <w:tc>
          <w:tcPr>
            <w:tcW w:w="96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Based on personal goals </w:t>
            </w:r>
            <w:r>
              <w:rPr>
                <w:rFonts w:ascii="Times New Roman" w:cs="Times New Roman" w:eastAsia="Times New Roman" w:hAnsi="Times New Roman"/>
                <w:sz w:val="18"/>
                <w:szCs w:val="18"/>
                <w:color w:val="auto"/>
              </w:rPr>
              <w:t>Targets suited to the role of the applicable office holder and the targets and specific matters that the</w:t>
            </w:r>
          </w:p>
        </w:tc>
        <w:tc>
          <w:tcPr>
            <w:tcW w:w="0" w:type="dxa"/>
            <w:vAlign w:val="bottom"/>
          </w:tcPr>
          <w:p>
            <w:pPr>
              <w:spacing w:after="0"/>
              <w:rPr>
                <w:sz w:val="1"/>
                <w:szCs w:val="1"/>
                <w:color w:val="auto"/>
              </w:rPr>
            </w:pPr>
          </w:p>
        </w:tc>
      </w:tr>
      <w:tr>
        <w:trPr>
          <w:trHeight w:val="212"/>
        </w:trPr>
        <w:tc>
          <w:tcPr>
            <w:tcW w:w="180" w:type="dxa"/>
            <w:vAlign w:val="bottom"/>
            <w:vMerge w:val="continue"/>
          </w:tcPr>
          <w:p>
            <w:pPr>
              <w:spacing w:after="0"/>
              <w:rPr>
                <w:sz w:val="18"/>
                <w:szCs w:val="18"/>
                <w:color w:val="auto"/>
              </w:rPr>
            </w:pPr>
          </w:p>
        </w:tc>
        <w:tc>
          <w:tcPr>
            <w:tcW w:w="1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 wishes to advance that year.</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w:t>
            </w:r>
          </w:p>
        </w:tc>
        <w:tc>
          <w:tcPr>
            <w:tcW w:w="1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Discretionary bonus</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Company’s office holders will be entitled to a bonus component that is not measurable, based on a</w:t>
            </w:r>
          </w:p>
        </w:tc>
        <w:tc>
          <w:tcPr>
            <w:tcW w:w="0" w:type="dxa"/>
            <w:vAlign w:val="bottom"/>
          </w:tcPr>
          <w:p>
            <w:pPr>
              <w:spacing w:after="0"/>
              <w:rPr>
                <w:sz w:val="1"/>
                <w:szCs w:val="1"/>
                <w:color w:val="auto"/>
              </w:rPr>
            </w:pPr>
          </w:p>
        </w:tc>
      </w:tr>
      <w:tr>
        <w:trPr>
          <w:trHeight w:val="238"/>
        </w:trPr>
        <w:tc>
          <w:tcPr>
            <w:tcW w:w="180" w:type="dxa"/>
            <w:vAlign w:val="bottom"/>
            <w:vMerge w:val="continue"/>
          </w:tcPr>
          <w:p>
            <w:pPr>
              <w:spacing w:after="0"/>
              <w:rPr>
                <w:sz w:val="20"/>
                <w:szCs w:val="20"/>
                <w:color w:val="auto"/>
              </w:rPr>
            </w:pPr>
          </w:p>
        </w:tc>
        <w:tc>
          <w:tcPr>
            <w:tcW w:w="1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component -</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qualitative evaluation of their performance by their supervising office holder.</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1360" w:hanging="553"/>
        <w:spacing w:after="0" w:line="266" w:lineRule="auto"/>
        <w:tabs>
          <w:tab w:leader="none" w:pos="1340" w:val="left"/>
        </w:tabs>
        <w:rPr>
          <w:sz w:val="20"/>
          <w:szCs w:val="20"/>
          <w:color w:val="auto"/>
        </w:rPr>
      </w:pPr>
      <w:r>
        <w:rPr>
          <w:rFonts w:ascii="Times New Roman" w:cs="Times New Roman" w:eastAsia="Times New Roman" w:hAnsi="Times New Roman"/>
          <w:sz w:val="18"/>
          <w:szCs w:val="18"/>
          <w:color w:val="auto"/>
        </w:rPr>
        <w:t>7.4.2.</w:t>
        <w:tab/>
        <w:t>As part of the annual bonus component that is based on the Company’s goals, two or more Company goals will be determined, which will be measurable quantitative goals that are contingent on achievement of the Company's long-term business goals and objectives, including the following:</w:t>
      </w:r>
    </w:p>
    <w:p>
      <w:pPr>
        <w:spacing w:after="0" w:line="176" w:lineRule="exact"/>
        <w:rPr>
          <w:sz w:val="20"/>
          <w:szCs w:val="20"/>
          <w:color w:val="auto"/>
        </w:rPr>
      </w:pPr>
    </w:p>
    <w:p>
      <w:pPr>
        <w:ind w:left="1700" w:right="180" w:hanging="275"/>
        <w:spacing w:after="0" w:line="261" w:lineRule="auto"/>
        <w:tabs>
          <w:tab w:leader="none" w:pos="17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new transactions closed, according to megawatt parameters or equivalent parameters based on the relevant activity segment;</w:t>
      </w:r>
    </w:p>
    <w:p>
      <w:pPr>
        <w:ind w:left="1700" w:hanging="275"/>
        <w:spacing w:after="0"/>
        <w:tabs>
          <w:tab w:leader="none" w:pos="17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economic internal rate of return (EIRR);</w:t>
      </w:r>
    </w:p>
    <w:p>
      <w:pPr>
        <w:spacing w:after="0" w:line="9" w:lineRule="exact"/>
        <w:rPr>
          <w:rFonts w:ascii="Times New Roman" w:cs="Times New Roman" w:eastAsia="Times New Roman" w:hAnsi="Times New Roman"/>
          <w:sz w:val="18"/>
          <w:szCs w:val="18"/>
          <w:color w:val="auto"/>
        </w:rPr>
      </w:pPr>
    </w:p>
    <w:p>
      <w:pPr>
        <w:ind w:left="1700" w:hanging="275"/>
        <w:spacing w:after="0"/>
        <w:tabs>
          <w:tab w:leader="none" w:pos="17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profitability rates (operating profit and/or net profit);</w:t>
      </w:r>
    </w:p>
    <w:p>
      <w:pPr>
        <w:spacing w:after="0" w:line="9" w:lineRule="exact"/>
        <w:rPr>
          <w:rFonts w:ascii="Times New Roman" w:cs="Times New Roman" w:eastAsia="Times New Roman" w:hAnsi="Times New Roman"/>
          <w:sz w:val="18"/>
          <w:szCs w:val="18"/>
          <w:color w:val="auto"/>
        </w:rPr>
      </w:pPr>
    </w:p>
    <w:p>
      <w:pPr>
        <w:ind w:left="1700" w:hanging="275"/>
        <w:spacing w:after="0"/>
        <w:tabs>
          <w:tab w:leader="none" w:pos="17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parameters (EBITDA, FFO);</w:t>
      </w:r>
    </w:p>
    <w:p>
      <w:pPr>
        <w:spacing w:after="0" w:line="9" w:lineRule="exact"/>
        <w:rPr>
          <w:rFonts w:ascii="Times New Roman" w:cs="Times New Roman" w:eastAsia="Times New Roman" w:hAnsi="Times New Roman"/>
          <w:sz w:val="18"/>
          <w:szCs w:val="18"/>
          <w:color w:val="auto"/>
        </w:rPr>
      </w:pPr>
    </w:p>
    <w:p>
      <w:pPr>
        <w:ind w:left="1700" w:hanging="275"/>
        <w:spacing w:after="0"/>
        <w:tabs>
          <w:tab w:leader="none" w:pos="17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of growth in the volume of activities;</w:t>
      </w:r>
    </w:p>
    <w:p>
      <w:pPr>
        <w:spacing w:after="0" w:line="9" w:lineRule="exact"/>
        <w:rPr>
          <w:rFonts w:ascii="Times New Roman" w:cs="Times New Roman" w:eastAsia="Times New Roman" w:hAnsi="Times New Roman"/>
          <w:sz w:val="18"/>
          <w:szCs w:val="18"/>
          <w:color w:val="auto"/>
        </w:rPr>
      </w:pPr>
    </w:p>
    <w:p>
      <w:pPr>
        <w:jc w:val="both"/>
        <w:ind w:left="1700" w:hanging="275"/>
        <w:spacing w:after="0" w:line="250" w:lineRule="auto"/>
        <w:tabs>
          <w:tab w:leader="none" w:pos="17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project performance indicators. (1) Meeting the construction/development schedule - the compensation rate in respect of this component will be gradual with several “grades” determined in the timetable, and the rate will increase with the grades in a manner that is incentivizing; (2) Achieving savings in construction budgets - the compensation rate in respect of this component will be determined on a graded basis while establishing a number of quantitative financial thresholds reflecting savings in the project budget, and each threshold will be awarded a different compensation rate, in an ascending grade; (3) Implementation of advanced management tools, processes, and control to be defined by the Company’s Compensation Committee and Board of Directors individually and their proper implementation will be as meeting this target;</w:t>
      </w:r>
    </w:p>
    <w:p>
      <w:pPr>
        <w:spacing w:after="0" w:line="2" w:lineRule="exact"/>
        <w:rPr>
          <w:rFonts w:ascii="Times New Roman" w:cs="Times New Roman" w:eastAsia="Times New Roman" w:hAnsi="Times New Roman"/>
          <w:sz w:val="18"/>
          <w:szCs w:val="18"/>
          <w:color w:val="auto"/>
        </w:rPr>
      </w:pPr>
    </w:p>
    <w:p>
      <w:pPr>
        <w:ind w:left="1700" w:hanging="315"/>
        <w:spacing w:after="0" w:line="250" w:lineRule="auto"/>
        <w:tabs>
          <w:tab w:leader="none" w:pos="1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Goals referring to improvement in the price of the Company's shares or referring to the trading volume of the shares and the identity of the shareholders;</w:t>
      </w:r>
    </w:p>
    <w:p>
      <w:pPr>
        <w:ind w:left="1700" w:hanging="315"/>
        <w:spacing w:after="0"/>
        <w:tabs>
          <w:tab w:leader="none" w:pos="1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raising, debt cycle, and/or capital structure improvement goals;</w:t>
      </w:r>
    </w:p>
    <w:p>
      <w:pPr>
        <w:spacing w:after="0" w:line="9" w:lineRule="exact"/>
        <w:rPr>
          <w:rFonts w:ascii="Times New Roman" w:cs="Times New Roman" w:eastAsia="Times New Roman" w:hAnsi="Times New Roman"/>
          <w:sz w:val="18"/>
          <w:szCs w:val="18"/>
          <w:color w:val="auto"/>
        </w:rPr>
      </w:pPr>
    </w:p>
    <w:p>
      <w:pPr>
        <w:ind w:left="1700" w:hanging="315"/>
        <w:spacing w:after="0"/>
        <w:tabs>
          <w:tab w:leader="none" w:pos="1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Goals referring to organizational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0712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strike w:val="1"/>
          <w:vertAlign w:val="superscript"/>
        </w:rPr>
        <w:t>7</w:t>
      </w:r>
      <w:r>
        <w:rPr>
          <w:rFonts w:ascii="Times New Roman" w:cs="Times New Roman" w:eastAsia="Times New Roman" w:hAnsi="Times New Roman"/>
          <w:sz w:val="29"/>
          <w:szCs w:val="29"/>
          <w:u w:val="single" w:color="auto"/>
          <w:color w:val="auto"/>
          <w:vertAlign w:val="superscript"/>
        </w:rPr>
        <w:t>10</w:t>
      </w:r>
      <w:r>
        <w:rPr>
          <w:rFonts w:ascii="Times New Roman" w:cs="Times New Roman" w:eastAsia="Times New Roman" w:hAnsi="Times New Roman"/>
          <w:sz w:val="18"/>
          <w:szCs w:val="18"/>
          <w:color w:val="auto"/>
        </w:rPr>
        <w:t xml:space="preserve"> The Company’s results will be according to the Company’s audited financial statements.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9" w:name="page40"/>
    <w:bookmarkEnd w:id="39"/>
    <w:p>
      <w:pPr>
        <w:jc w:val="both"/>
        <w:ind w:left="580" w:hanging="315"/>
        <w:spacing w:after="0" w:line="253" w:lineRule="auto"/>
        <w:tabs>
          <w:tab w:leader="none" w:pos="5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may determine specific compensation goals for office holders (to the extent possible by March of each year), the achievement of which the Board of Directors believes will serve as a strategic goal for the Company and/or a milestone that is a substantial leap forward in achieving the Company's strategy in one of the following areas of activity: (i) achieving a significant milestone (such as signing financing agreements, financial closing or commercial operation or obtaining other material approvals for a project) in a transaction and/or a specific project, which are material to the Company (based on standard accounting tests); (ii) mergers and acquisitions of renewable energy projects and/or renewable energy companies; (iii) raising capital for the Company's activities, when achieving this goal in a number of salaries to be defined as a success-based bonus contingent on a minimum rate of amounts successfully raised to be determined by the Company’s Compensation Committee and Board of Directors; (iv) winning a tender for a substantial project (based on standard accounting tests); and (v) developing entry into new areas of activity.</w:t>
      </w:r>
    </w:p>
    <w:p>
      <w:pPr>
        <w:spacing w:after="0" w:line="194" w:lineRule="exact"/>
        <w:rPr>
          <w:sz w:val="20"/>
          <w:szCs w:val="20"/>
          <w:color w:val="auto"/>
        </w:rPr>
      </w:pPr>
    </w:p>
    <w:p>
      <w:pPr>
        <w:jc w:val="both"/>
        <w:ind w:left="260" w:right="680"/>
        <w:spacing w:after="0" w:line="270" w:lineRule="auto"/>
        <w:rPr>
          <w:sz w:val="20"/>
          <w:szCs w:val="20"/>
          <w:color w:val="auto"/>
        </w:rPr>
      </w:pPr>
      <w:r>
        <w:rPr>
          <w:rFonts w:ascii="Times New Roman" w:cs="Times New Roman" w:eastAsia="Times New Roman" w:hAnsi="Times New Roman"/>
          <w:sz w:val="18"/>
          <w:szCs w:val="18"/>
          <w:color w:val="auto"/>
        </w:rPr>
        <w:t>Such goals will be based on the Company's strategy as reflected in the annual budget determined and approved annually by the Company’s Compensation Committee and Board of Directors (no later than the end of March of that year) (hereinafter, the “</w:t>
      </w:r>
      <w:r>
        <w:rPr>
          <w:rFonts w:ascii="Times New Roman" w:cs="Times New Roman" w:eastAsia="Times New Roman" w:hAnsi="Times New Roman"/>
          <w:sz w:val="18"/>
          <w:szCs w:val="18"/>
          <w:b w:val="1"/>
          <w:bCs w:val="1"/>
          <w:color w:val="auto"/>
        </w:rPr>
        <w:t>Annual Budget</w:t>
      </w:r>
      <w:r>
        <w:rPr>
          <w:rFonts w:ascii="Times New Roman" w:cs="Times New Roman" w:eastAsia="Times New Roman" w:hAnsi="Times New Roman"/>
          <w:sz w:val="18"/>
          <w:szCs w:val="18"/>
          <w:color w:val="auto"/>
        </w:rPr>
        <w:t>"), and will be adjusted to the Company's performance in the year with respect to which the bonus is paid. For the Company’s CEO, only Company goals can be determined. If required by applicable law, for certain office holders or certain types of goals, the goals will also be approved by the general meeting.</w:t>
      </w:r>
    </w:p>
    <w:p>
      <w:pPr>
        <w:spacing w:after="0" w:line="186" w:lineRule="exact"/>
        <w:rPr>
          <w:sz w:val="20"/>
          <w:szCs w:val="20"/>
          <w:color w:val="auto"/>
        </w:rPr>
      </w:pPr>
    </w:p>
    <w:p>
      <w:pPr>
        <w:jc w:val="both"/>
        <w:ind w:left="300" w:hanging="634"/>
        <w:spacing w:after="0" w:line="266" w:lineRule="auto"/>
        <w:tabs>
          <w:tab w:leader="none" w:pos="280" w:val="left"/>
        </w:tabs>
        <w:rPr>
          <w:sz w:val="20"/>
          <w:szCs w:val="20"/>
          <w:color w:val="auto"/>
        </w:rPr>
      </w:pPr>
      <w:r>
        <w:rPr>
          <w:rFonts w:ascii="Times New Roman" w:cs="Times New Roman" w:eastAsia="Times New Roman" w:hAnsi="Times New Roman"/>
          <w:sz w:val="18"/>
          <w:szCs w:val="18"/>
          <w:color w:val="auto"/>
        </w:rPr>
        <w:t>7.4.3.</w:t>
        <w:tab/>
        <w:t>In addition, up to five measurable personal goals will be determined for each office holder, to be determined individually, based on the office holder's position and contribution to the Company's business and based on the Company's long-term strategic work plan and the work plans of the department to which the office holder belongs. These goals may include, for example:</w:t>
      </w:r>
    </w:p>
    <w:p>
      <w:pPr>
        <w:spacing w:after="0" w:line="176" w:lineRule="exact"/>
        <w:rPr>
          <w:sz w:val="20"/>
          <w:szCs w:val="20"/>
          <w:color w:val="auto"/>
        </w:rPr>
      </w:pPr>
    </w:p>
    <w:p>
      <w:pPr>
        <w:ind w:left="580" w:hanging="315"/>
        <w:spacing w:after="0"/>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to the achievement of strategic targets set for the office holders in their area of activity;</w:t>
      </w:r>
    </w:p>
    <w:p>
      <w:pPr>
        <w:spacing w:after="0" w:line="27" w:lineRule="exact"/>
        <w:rPr>
          <w:rFonts w:ascii="Times New Roman" w:cs="Times New Roman" w:eastAsia="Times New Roman" w:hAnsi="Times New Roman"/>
          <w:sz w:val="18"/>
          <w:szCs w:val="18"/>
          <w:color w:val="auto"/>
        </w:rPr>
      </w:pPr>
    </w:p>
    <w:p>
      <w:pPr>
        <w:ind w:left="580" w:right="20" w:hanging="315"/>
        <w:spacing w:after="0" w:line="250" w:lineRule="auto"/>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indicator of completing milestones in significant projects and/or in the development, licensing, and planning process of significant projects;</w:t>
      </w:r>
    </w:p>
    <w:p>
      <w:pPr>
        <w:ind w:left="580" w:hanging="315"/>
        <w:spacing w:after="0"/>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agreements and transactions in the Company’s area of activity, based on indicators and volume to be defined annually;</w:t>
      </w:r>
    </w:p>
    <w:p>
      <w:pPr>
        <w:spacing w:after="0" w:line="9" w:lineRule="exact"/>
        <w:rPr>
          <w:rFonts w:ascii="Times New Roman" w:cs="Times New Roman" w:eastAsia="Times New Roman" w:hAnsi="Times New Roman"/>
          <w:sz w:val="18"/>
          <w:szCs w:val="18"/>
          <w:color w:val="auto"/>
        </w:rPr>
      </w:pPr>
    </w:p>
    <w:p>
      <w:pPr>
        <w:ind w:left="580" w:hanging="315"/>
        <w:spacing w:after="0"/>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regulatory goals, regulatory milestones, and goals that are related to the Company's regulatory interfaces;</w:t>
      </w:r>
    </w:p>
    <w:p>
      <w:pPr>
        <w:spacing w:after="0" w:line="9" w:lineRule="exact"/>
        <w:rPr>
          <w:rFonts w:ascii="Times New Roman" w:cs="Times New Roman" w:eastAsia="Times New Roman" w:hAnsi="Times New Roman"/>
          <w:sz w:val="18"/>
          <w:szCs w:val="18"/>
          <w:color w:val="auto"/>
        </w:rPr>
      </w:pPr>
    </w:p>
    <w:p>
      <w:pPr>
        <w:ind w:left="580" w:hanging="315"/>
        <w:spacing w:after="0" w:line="250" w:lineRule="auto"/>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to the signing of financing agreements, such as senior debt and/or mezzanine debt transactions for the purpose of starting projects, investing in projects, or acquiring activities;</w:t>
      </w:r>
    </w:p>
    <w:p>
      <w:pPr>
        <w:ind w:left="580" w:hanging="315"/>
        <w:spacing w:after="0"/>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savings goals in project construction budgets, as well as in operating, maintenance, and/or development expenses;</w:t>
      </w:r>
    </w:p>
    <w:p>
      <w:pPr>
        <w:spacing w:after="0" w:line="9" w:lineRule="exact"/>
        <w:rPr>
          <w:rFonts w:ascii="Times New Roman" w:cs="Times New Roman" w:eastAsia="Times New Roman" w:hAnsi="Times New Roman"/>
          <w:sz w:val="18"/>
          <w:szCs w:val="18"/>
          <w:color w:val="auto"/>
        </w:rPr>
      </w:pPr>
    </w:p>
    <w:p>
      <w:pPr>
        <w:ind w:left="580" w:hanging="315"/>
        <w:spacing w:after="0"/>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goals in the sale and disposal of the Company's profitable assets;</w:t>
      </w:r>
    </w:p>
    <w:p>
      <w:pPr>
        <w:spacing w:after="0" w:line="9" w:lineRule="exact"/>
        <w:rPr>
          <w:rFonts w:ascii="Times New Roman" w:cs="Times New Roman" w:eastAsia="Times New Roman" w:hAnsi="Times New Roman"/>
          <w:sz w:val="18"/>
          <w:szCs w:val="18"/>
          <w:color w:val="auto"/>
        </w:rPr>
      </w:pPr>
    </w:p>
    <w:p>
      <w:pPr>
        <w:ind w:left="580" w:right="20" w:hanging="315"/>
        <w:spacing w:after="0" w:line="250" w:lineRule="auto"/>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goals related to characterization and implementation of management and control tools, and improving the Company's management and control processes;</w:t>
      </w:r>
    </w:p>
    <w:p>
      <w:pPr>
        <w:jc w:val="both"/>
        <w:ind w:left="580" w:hanging="315"/>
        <w:spacing w:after="0" w:line="255" w:lineRule="auto"/>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office holders involved in development and/or regulation may also be entitled to specific bonuses for full or partial completion of complex processes developed by the Company, based on milestones to be determined by the Company (hereinafter, “</w:t>
      </w:r>
      <w:r>
        <w:rPr>
          <w:rFonts w:ascii="Times New Roman" w:cs="Times New Roman" w:eastAsia="Times New Roman" w:hAnsi="Times New Roman"/>
          <w:sz w:val="18"/>
          <w:szCs w:val="18"/>
          <w:b w:val="1"/>
          <w:bCs w:val="1"/>
          <w:color w:val="auto"/>
        </w:rPr>
        <w:t>Development Bonuses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jc w:val="both"/>
        <w:ind w:left="320" w:right="680"/>
        <w:spacing w:after="0" w:line="274" w:lineRule="auto"/>
        <w:rPr>
          <w:sz w:val="20"/>
          <w:szCs w:val="20"/>
          <w:color w:val="auto"/>
        </w:rPr>
      </w:pPr>
      <w:r>
        <w:rPr>
          <w:rFonts w:ascii="Times New Roman" w:cs="Times New Roman" w:eastAsia="Times New Roman" w:hAnsi="Times New Roman"/>
          <w:sz w:val="18"/>
          <w:szCs w:val="18"/>
          <w:color w:val="auto"/>
        </w:rPr>
        <w:t>The internal division between the relative weight attributed to the quantitative estimates based on Company goals and the personal quantitative goals will be adjusted individually for each office holder, based on the characteristics of their position, areas of responsibility, and the extent of their influence on the achievement of the Company's goals and its profits.</w:t>
      </w:r>
    </w:p>
    <w:p>
      <w:pPr>
        <w:spacing w:after="0" w:line="196" w:lineRule="exact"/>
        <w:rPr>
          <w:sz w:val="20"/>
          <w:szCs w:val="20"/>
          <w:color w:val="auto"/>
        </w:rPr>
      </w:pPr>
    </w:p>
    <w:p>
      <w:pPr>
        <w:jc w:val="both"/>
        <w:ind w:left="300" w:hanging="634"/>
        <w:spacing w:after="0" w:line="266" w:lineRule="auto"/>
        <w:tabs>
          <w:tab w:leader="none" w:pos="280" w:val="left"/>
        </w:tabs>
        <w:rPr>
          <w:sz w:val="20"/>
          <w:szCs w:val="20"/>
          <w:color w:val="auto"/>
        </w:rPr>
      </w:pPr>
      <w:r>
        <w:rPr>
          <w:rFonts w:ascii="Times New Roman" w:cs="Times New Roman" w:eastAsia="Times New Roman" w:hAnsi="Times New Roman"/>
          <w:sz w:val="18"/>
          <w:szCs w:val="18"/>
          <w:color w:val="auto"/>
        </w:rPr>
        <w:t>7.4.4.</w:t>
        <w:tab/>
        <w:t>The weight attributed to the personal goals of each VP will be between 20% and 60% of all the goals for office holders (not including the Development Bonuses). In addition, if an office holder does not reach the minimum threshold of any of the personal goals, such officer holder will not be entitled to a bonus in that year, even if the Company/Group achieves its goals.</w:t>
      </w:r>
    </w:p>
    <w:p>
      <w:pPr>
        <w:spacing w:after="0" w:line="13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40" w:name="page41"/>
    <w:bookmarkEnd w:id="40"/>
    <w:p>
      <w:pPr>
        <w:jc w:val="both"/>
        <w:ind w:left="640" w:hanging="634"/>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7.4.5.</w:t>
        <w:tab/>
        <w:t>The discretionary bonus component will be based on the evaluation of the Board of Directors. The weight attributed to this goal will not exceed 20% (and with respect to the CEO – no more than 3 salaries, subject to the provisions of section 7.4.7). It is clarified that, subject to applicable law, the Board of Directors, at the recommendation of the Compensation Committee, may increase the discretionary component of the annual bonus for office holders reporting directly to the CEO and also determine that this will be the only component for calculating the performance-based bonus for the relevant office holder.</w:t>
      </w:r>
    </w:p>
    <w:p>
      <w:pPr>
        <w:spacing w:after="0" w:line="183" w:lineRule="exact"/>
        <w:rPr>
          <w:sz w:val="20"/>
          <w:szCs w:val="20"/>
          <w:color w:val="auto"/>
        </w:rPr>
      </w:pPr>
    </w:p>
    <w:p>
      <w:pPr>
        <w:jc w:val="both"/>
        <w:ind w:left="640" w:hanging="634"/>
        <w:spacing w:after="0" w:line="253" w:lineRule="auto"/>
        <w:tabs>
          <w:tab w:leader="none" w:pos="620" w:val="left"/>
        </w:tabs>
        <w:rPr>
          <w:sz w:val="20"/>
          <w:szCs w:val="20"/>
          <w:color w:val="auto"/>
        </w:rPr>
      </w:pPr>
      <w:r>
        <w:rPr>
          <w:rFonts w:ascii="Times New Roman" w:cs="Times New Roman" w:eastAsia="Times New Roman" w:hAnsi="Times New Roman"/>
          <w:sz w:val="18"/>
          <w:szCs w:val="18"/>
          <w:color w:val="auto"/>
        </w:rPr>
        <w:t>7.4.6.</w:t>
        <w:tab/>
        <w:t>In addition to the annual bonus described above, the Board of Directors may, after receiving the recommendation of the Compensation Committee and without requiring any other approvals, decide that the Company will pay any of the office holders (who report directly to the CEO) a bonus for special projects or special achievements, arising from the activities of the office holders and their contribution to the Company, based on the Company's long-term strategic work plan (in this Section 7.4.6, this includes achieving material strategic goals and signing strategic agreements that are material to the Company's activities, such as: (i) a merger and/or acquisition of an activity on a material scale (exceeding 20% of Group assets and/or its installed capacity and/or its equity); (ii) raising capital/debt in an amount exceeding NIS 350 million; (iii) winning and/or investing in and/or selling a project and/or reaching a significant milestone in a project of a substantial scope, which the Board of Directors considers an extraordinary achievement that may have a material effect on indicators in the Company's activity; and (iv) achieving an extraordinary performance indicator that is significantly higher (more than 15% in excess of the upper threshold determined by the Board of Directors for a specific annual goal in the goals set out in Sections 7.4.2-7.4.3 above, and as set out in Section 7.4.9 below (hereinafter, the “</w:t>
      </w:r>
      <w:r>
        <w:rPr>
          <w:rFonts w:ascii="Times New Roman" w:cs="Times New Roman" w:eastAsia="Times New Roman" w:hAnsi="Times New Roman"/>
          <w:sz w:val="18"/>
          <w:szCs w:val="18"/>
          <w:b w:val="1"/>
          <w:bCs w:val="1"/>
          <w:color w:val="auto"/>
        </w:rPr>
        <w:t>Special Bonus”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7.4.7.</w:t>
        <w:tab/>
        <w:t>It is clarified that in any event, the Special Bonus will not exceed five monthly salaries for an office holder. It should be clarified that discretionary compensation for the CEO exceeding three monthly salaries will be brought to the general meeting for approval. Notwithstanding the above, the portion of the discretionary components of the bonus component as set out in Section 7.4.5 above, may be higher, up to the maximum amount permitted by the Law, as may be the case from time to time.</w:t>
      </w:r>
    </w:p>
    <w:p>
      <w:pPr>
        <w:spacing w:after="0" w:line="180" w:lineRule="exact"/>
        <w:rPr>
          <w:sz w:val="20"/>
          <w:szCs w:val="20"/>
          <w:color w:val="auto"/>
        </w:rPr>
      </w:pPr>
    </w:p>
    <w:p>
      <w:pPr>
        <w:jc w:val="both"/>
        <w:ind w:left="640" w:hanging="634"/>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7.4.8.</w:t>
        <w:tab/>
        <w:t>The Board of Directors will have discretion and flexibility in determining the weights and goals, and the weights and goals will be discussed annually as set out above, based on the recommendations of the Compensation Committee in the matter. For this matter, the Compensation Committee and the Board of Directors will take into consideration the recommendation of the Company’s CEO regarding the goals and weights pertaining to the VPs and the recommendation of the Chairman of the Board of Directors regarding the goals and weights pertaining to the CEO.</w:t>
      </w:r>
    </w:p>
    <w:p>
      <w:pPr>
        <w:spacing w:after="0" w:line="18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7.4.9.</w:t>
      </w:r>
      <w:r>
        <w:rPr>
          <w:sz w:val="20"/>
          <w:szCs w:val="20"/>
          <w:color w:val="auto"/>
        </w:rPr>
        <w:tab/>
      </w:r>
      <w:r>
        <w:rPr>
          <w:rFonts w:ascii="Times New Roman" w:cs="Times New Roman" w:eastAsia="Times New Roman" w:hAnsi="Times New Roman"/>
          <w:sz w:val="17"/>
          <w:szCs w:val="17"/>
          <w:color w:val="auto"/>
        </w:rPr>
        <w:t>The provisions set out below will be used to determine the goals and assess whether they have been met:</w:t>
      </w:r>
    </w:p>
    <w:p>
      <w:pPr>
        <w:spacing w:after="0" w:line="225" w:lineRule="exact"/>
        <w:rPr>
          <w:sz w:val="20"/>
          <w:szCs w:val="20"/>
          <w:color w:val="auto"/>
        </w:rPr>
      </w:pPr>
    </w:p>
    <w:p>
      <w:pPr>
        <w:jc w:val="both"/>
        <w:ind w:left="880" w:right="120"/>
        <w:spacing w:after="0" w:line="309" w:lineRule="auto"/>
        <w:rPr>
          <w:sz w:val="20"/>
          <w:szCs w:val="20"/>
          <w:color w:val="auto"/>
        </w:rPr>
      </w:pPr>
      <w:r>
        <w:rPr>
          <w:rFonts w:ascii="Times New Roman" w:cs="Times New Roman" w:eastAsia="Times New Roman" w:hAnsi="Times New Roman"/>
          <w:sz w:val="18"/>
          <w:szCs w:val="18"/>
          <w:color w:val="auto"/>
        </w:rPr>
        <w:t>Each goal will be assigned a relative weight that determines its importance and its weight in the determination of the bonus budget. A quantitative target threshold (indicator) will be determined for each measurable target, to be derived from the work plan (budget)</w:t>
      </w:r>
    </w:p>
    <w:p>
      <w:pPr>
        <w:ind w:left="880"/>
        <w:spacing w:after="0"/>
        <w:rPr>
          <w:sz w:val="20"/>
          <w:szCs w:val="20"/>
          <w:color w:val="auto"/>
        </w:rPr>
      </w:pPr>
      <w:r>
        <w:rPr>
          <w:rFonts w:ascii="Times New Roman" w:cs="Times New Roman" w:eastAsia="Times New Roman" w:hAnsi="Times New Roman"/>
          <w:sz w:val="18"/>
          <w:szCs w:val="18"/>
          <w:color w:val="auto"/>
        </w:rPr>
        <w:t>or directly from the area that requires change or improvement.</w:t>
      </w:r>
    </w:p>
    <w:p>
      <w:pPr>
        <w:spacing w:after="0" w:line="7" w:lineRule="exact"/>
        <w:rPr>
          <w:sz w:val="20"/>
          <w:szCs w:val="20"/>
          <w:color w:val="auto"/>
        </w:rPr>
      </w:pPr>
    </w:p>
    <w:p>
      <w:pPr>
        <w:ind w:left="880" w:right="400"/>
        <w:spacing w:after="0" w:line="250" w:lineRule="auto"/>
        <w:rPr>
          <w:sz w:val="20"/>
          <w:szCs w:val="20"/>
          <w:color w:val="auto"/>
        </w:rPr>
      </w:pPr>
      <w:r>
        <w:rPr>
          <w:rFonts w:ascii="Times New Roman" w:cs="Times New Roman" w:eastAsia="Times New Roman" w:hAnsi="Times New Roman"/>
          <w:sz w:val="18"/>
          <w:szCs w:val="18"/>
          <w:color w:val="auto"/>
        </w:rPr>
        <w:t>If the goal is a parameter included in or derived from the budget, the goal will be considered to have been met in full only if the quantitative target threshold set in or derived from the budget is met.</w:t>
      </w:r>
    </w:p>
    <w:p>
      <w:pPr>
        <w:ind w:left="880" w:right="160"/>
        <w:spacing w:after="0" w:line="250" w:lineRule="auto"/>
        <w:rPr>
          <w:sz w:val="20"/>
          <w:szCs w:val="20"/>
          <w:color w:val="auto"/>
        </w:rPr>
      </w:pPr>
      <w:r>
        <w:rPr>
          <w:rFonts w:ascii="Times New Roman" w:cs="Times New Roman" w:eastAsia="Times New Roman" w:hAnsi="Times New Roman"/>
          <w:sz w:val="18"/>
          <w:szCs w:val="18"/>
          <w:color w:val="auto"/>
        </w:rPr>
        <w:t>Each goal will receive a separate score indicating compliance with the goal and the bonus will be calculated pro rata to the relative weight of such goal.</w:t>
      </w:r>
    </w:p>
    <w:p>
      <w:pPr>
        <w:ind w:left="880" w:right="100"/>
        <w:spacing w:after="0" w:line="250" w:lineRule="auto"/>
        <w:rPr>
          <w:sz w:val="20"/>
          <w:szCs w:val="20"/>
          <w:color w:val="auto"/>
        </w:rPr>
      </w:pPr>
      <w:r>
        <w:rPr>
          <w:rFonts w:ascii="Times New Roman" w:cs="Times New Roman" w:eastAsia="Times New Roman" w:hAnsi="Times New Roman"/>
          <w:sz w:val="18"/>
          <w:szCs w:val="18"/>
          <w:color w:val="auto"/>
        </w:rPr>
        <w:t>A lower quantitative threshold will also be set for each goal. For performance below the lower threshold no bonus will be paid with respect to such specific target.</w:t>
      </w:r>
    </w:p>
    <w:p>
      <w:pPr>
        <w:jc w:val="both"/>
        <w:ind w:left="880" w:right="100"/>
        <w:spacing w:after="0" w:line="277" w:lineRule="auto"/>
        <w:rPr>
          <w:sz w:val="20"/>
          <w:szCs w:val="20"/>
          <w:color w:val="auto"/>
        </w:rPr>
      </w:pPr>
      <w:r>
        <w:rPr>
          <w:rFonts w:ascii="Times New Roman" w:cs="Times New Roman" w:eastAsia="Times New Roman" w:hAnsi="Times New Roman"/>
          <w:sz w:val="17"/>
          <w:szCs w:val="17"/>
          <w:color w:val="auto"/>
        </w:rPr>
        <w:t>A bonus of 60% of the specific weight attributed to a specific goal will be granted for reaching the low threshold, and for performance exceeding this threshold, a bonus of between 60% and 100% will be granted, to be calculated on a linear basis (for the difference between the goal and the lower threshold). If the goal is met, a score of 100% will be given with respect to this indicator.</w:t>
      </w:r>
    </w:p>
    <w:p>
      <w:pPr>
        <w:spacing w:after="0" w:line="14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A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51435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1100" w:top="351" w:right="339" w:bottom="1440" w:gutter="0" w:footer="0" w:header="0"/>
        </w:sectPr>
      </w:pPr>
    </w:p>
    <w:bookmarkStart w:id="41" w:name="page42"/>
    <w:bookmarkEnd w:id="41"/>
    <w:p>
      <w:pPr>
        <w:ind w:left="1200" w:right="660"/>
        <w:spacing w:after="0" w:line="261" w:lineRule="auto"/>
        <w:rPr>
          <w:sz w:val="20"/>
          <w:szCs w:val="20"/>
          <w:color w:val="auto"/>
        </w:rPr>
      </w:pPr>
      <w:r>
        <w:rPr>
          <w:rFonts w:ascii="Times New Roman" w:cs="Times New Roman" w:eastAsia="Times New Roman" w:hAnsi="Times New Roman"/>
          <w:sz w:val="18"/>
          <w:szCs w:val="18"/>
          <w:color w:val="auto"/>
        </w:rPr>
        <w:t>If goals are met at a rate of 90%-100%, such goals will be considered to have been fully met, subject to the discretion of the Compensation Committee and the Board of Directors regarding the implementation of this mechanism.</w:t>
      </w:r>
    </w:p>
    <w:p>
      <w:pPr>
        <w:ind w:left="1200" w:right="20"/>
        <w:spacing w:after="0" w:line="253" w:lineRule="auto"/>
        <w:rPr>
          <w:sz w:val="20"/>
          <w:szCs w:val="20"/>
          <w:color w:val="auto"/>
        </w:rPr>
      </w:pPr>
      <w:r>
        <w:rPr>
          <w:rFonts w:ascii="Times New Roman" w:cs="Times New Roman" w:eastAsia="Times New Roman" w:hAnsi="Times New Roman"/>
          <w:sz w:val="18"/>
          <w:szCs w:val="18"/>
          <w:color w:val="auto"/>
        </w:rPr>
        <w:t>An upper threshold will be determined for each goal for performance that exceeds the goal. If the upper threshold is reached or exceeded, a bonus of 125% of the specific weight attributed to said goal will be given, and for performance between the goal and the upper threshold, a bonus of between 100% and 125% will be given, to be calculated on a linear basis (linearly for the difference between the goal and the upper threshold).</w:t>
      </w:r>
    </w:p>
    <w:p>
      <w:pPr>
        <w:spacing w:after="0" w:line="189" w:lineRule="exact"/>
        <w:rPr>
          <w:sz w:val="20"/>
          <w:szCs w:val="20"/>
          <w:color w:val="auto"/>
        </w:rPr>
      </w:pPr>
    </w:p>
    <w:p>
      <w:pPr>
        <w:jc w:val="both"/>
        <w:ind w:left="840" w:hanging="836"/>
        <w:spacing w:after="0" w:line="266" w:lineRule="auto"/>
        <w:tabs>
          <w:tab w:leader="none" w:pos="82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Notwithstanding the above, the Compensation Committee and the Board of Directors may, in individual cases, approve a discretionary bonus, subject to a limit of up to three monthly salaries, for personal achievements, specific achievements in the year or advancing of material/strategic matters, and/or may delegate their authority to do so, subject to the Law.</w:t>
      </w:r>
    </w:p>
    <w:p>
      <w:pPr>
        <w:spacing w:after="0" w:line="176" w:lineRule="exact"/>
        <w:rPr>
          <w:sz w:val="20"/>
          <w:szCs w:val="20"/>
          <w:color w:val="auto"/>
        </w:rPr>
      </w:pPr>
    </w:p>
    <w:p>
      <w:pPr>
        <w:jc w:val="both"/>
        <w:ind w:left="840" w:hanging="836"/>
        <w:spacing w:after="0" w:line="266" w:lineRule="auto"/>
        <w:tabs>
          <w:tab w:leader="none" w:pos="82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color w:val="auto"/>
        </w:rPr>
        <w:t>Notwithstanding the above, an immaterial change in the terms of office and employment of an office holder reporting directly to the CEO of the Company will not require the approval of the Compensation Committee if the CEO has approved the change and all the following have been fulfilled:</w:t>
      </w:r>
    </w:p>
    <w:p>
      <w:pPr>
        <w:spacing w:after="0" w:line="176" w:lineRule="exact"/>
        <w:rPr>
          <w:sz w:val="20"/>
          <w:szCs w:val="20"/>
          <w:color w:val="auto"/>
        </w:rPr>
      </w:pPr>
    </w:p>
    <w:p>
      <w:pPr>
        <w:jc w:val="both"/>
        <w:ind w:left="1480" w:hanging="633"/>
        <w:spacing w:after="0" w:line="266" w:lineRule="auto"/>
        <w:tabs>
          <w:tab w:leader="none" w:pos="1460" w:val="left"/>
        </w:tabs>
        <w:rPr>
          <w:sz w:val="20"/>
          <w:szCs w:val="20"/>
          <w:color w:val="auto"/>
        </w:rPr>
      </w:pPr>
      <w:r>
        <w:rPr>
          <w:rFonts w:ascii="Times New Roman" w:cs="Times New Roman" w:eastAsia="Times New Roman" w:hAnsi="Times New Roman"/>
          <w:sz w:val="18"/>
          <w:szCs w:val="18"/>
          <w:color w:val="auto"/>
        </w:rPr>
        <w:t>7.6.1.</w:t>
        <w:tab/>
        <w:t>An immaterial change in the employment terms of an office holder as set out in Section 272(C) of the Law, not to exceed 5% per year, compared with the preceding year, will be approved by the Company’s CEO and any other organ of the Company that is required pursuant to the Law (based on the minimum required forum);</w:t>
      </w:r>
    </w:p>
    <w:p>
      <w:pPr>
        <w:spacing w:after="0" w:line="176" w:lineRule="exact"/>
        <w:rPr>
          <w:sz w:val="20"/>
          <w:szCs w:val="20"/>
          <w:color w:val="auto"/>
        </w:rPr>
      </w:pPr>
    </w:p>
    <w:p>
      <w:pPr>
        <w:ind w:left="840"/>
        <w:spacing w:after="0"/>
        <w:tabs>
          <w:tab w:leader="none" w:pos="1460" w:val="left"/>
        </w:tabs>
        <w:rPr>
          <w:sz w:val="20"/>
          <w:szCs w:val="20"/>
          <w:color w:val="auto"/>
        </w:rPr>
      </w:pPr>
      <w:r>
        <w:rPr>
          <w:rFonts w:ascii="Times New Roman" w:cs="Times New Roman" w:eastAsia="Times New Roman" w:hAnsi="Times New Roman"/>
          <w:sz w:val="18"/>
          <w:szCs w:val="18"/>
          <w:color w:val="auto"/>
        </w:rPr>
        <w:t>7.6.2.</w:t>
      </w:r>
      <w:r>
        <w:rPr>
          <w:sz w:val="20"/>
          <w:szCs w:val="20"/>
          <w:color w:val="auto"/>
        </w:rPr>
        <w:tab/>
      </w:r>
      <w:r>
        <w:rPr>
          <w:rFonts w:ascii="Times New Roman" w:cs="Times New Roman" w:eastAsia="Times New Roman" w:hAnsi="Times New Roman"/>
          <w:sz w:val="17"/>
          <w:szCs w:val="17"/>
          <w:color w:val="auto"/>
        </w:rPr>
        <w:t>The terms of office and employment are in accordance with the Company’s Compensation Policy.</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7"/>
          <w:szCs w:val="17"/>
          <w:u w:val="single" w:color="auto"/>
          <w:color w:val="auto"/>
        </w:rPr>
        <w:t>Annual bonus - general provisions</w:t>
      </w:r>
    </w:p>
    <w:p>
      <w:pPr>
        <w:spacing w:after="0" w:line="27" w:lineRule="exact"/>
        <w:rPr>
          <w:sz w:val="20"/>
          <w:szCs w:val="20"/>
          <w:color w:val="auto"/>
        </w:rPr>
      </w:pPr>
    </w:p>
    <w:p>
      <w:pPr>
        <w:jc w:val="both"/>
        <w:ind w:left="1480" w:hanging="633"/>
        <w:spacing w:after="0" w:line="260" w:lineRule="auto"/>
        <w:tabs>
          <w:tab w:leader="none" w:pos="1460" w:val="left"/>
        </w:tabs>
        <w:rPr>
          <w:sz w:val="20"/>
          <w:szCs w:val="20"/>
          <w:color w:val="auto"/>
        </w:rPr>
      </w:pPr>
      <w:r>
        <w:rPr>
          <w:rFonts w:ascii="Times New Roman" w:cs="Times New Roman" w:eastAsia="Times New Roman" w:hAnsi="Times New Roman"/>
          <w:sz w:val="18"/>
          <w:szCs w:val="18"/>
          <w:color w:val="auto"/>
        </w:rPr>
        <w:t>7.7.1.</w:t>
        <w:tab/>
        <w:t>Notwithstanding the provisions in this Section 7, the annual bonus will not be granted to any office holder who does not meet the minimum threshold, which will be determined every year with respect to each goal (lower threshold).</w:t>
      </w:r>
    </w:p>
    <w:p>
      <w:pPr>
        <w:spacing w:after="0" w:line="181" w:lineRule="exact"/>
        <w:rPr>
          <w:sz w:val="20"/>
          <w:szCs w:val="20"/>
          <w:color w:val="auto"/>
        </w:rPr>
      </w:pPr>
    </w:p>
    <w:p>
      <w:pPr>
        <w:jc w:val="both"/>
        <w:ind w:left="1480" w:hanging="633"/>
        <w:spacing w:after="0" w:line="266" w:lineRule="auto"/>
        <w:tabs>
          <w:tab w:leader="none" w:pos="1460" w:val="left"/>
        </w:tabs>
        <w:rPr>
          <w:sz w:val="20"/>
          <w:szCs w:val="20"/>
          <w:color w:val="auto"/>
        </w:rPr>
      </w:pPr>
      <w:r>
        <w:rPr>
          <w:rFonts w:ascii="Times New Roman" w:cs="Times New Roman" w:eastAsia="Times New Roman" w:hAnsi="Times New Roman"/>
          <w:sz w:val="18"/>
          <w:szCs w:val="18"/>
          <w:color w:val="auto"/>
        </w:rPr>
        <w:t>7.7.2.</w:t>
        <w:tab/>
        <w:t>If payment of bonuses results in providing grounds for immediate repayment of any series of debentures issued or to be issued by the Company, then the Company Board of Directors shall be allowed, at its exclusive discretion, to reduce the bonus amount of any office holder or all office holders in the Company.</w:t>
      </w:r>
    </w:p>
    <w:p>
      <w:pPr>
        <w:spacing w:after="0" w:line="176" w:lineRule="exact"/>
        <w:rPr>
          <w:sz w:val="20"/>
          <w:szCs w:val="20"/>
          <w:color w:val="auto"/>
        </w:rPr>
      </w:pPr>
    </w:p>
    <w:p>
      <w:pPr>
        <w:jc w:val="both"/>
        <w:ind w:left="1480" w:hanging="633"/>
        <w:spacing w:after="0" w:line="282" w:lineRule="auto"/>
        <w:tabs>
          <w:tab w:leader="none" w:pos="1460" w:val="left"/>
        </w:tabs>
        <w:rPr>
          <w:sz w:val="20"/>
          <w:szCs w:val="20"/>
          <w:color w:val="auto"/>
        </w:rPr>
      </w:pPr>
      <w:r>
        <w:rPr>
          <w:rFonts w:ascii="Times New Roman" w:cs="Times New Roman" w:eastAsia="Times New Roman" w:hAnsi="Times New Roman"/>
          <w:sz w:val="18"/>
          <w:szCs w:val="18"/>
          <w:color w:val="auto"/>
        </w:rPr>
        <w:t>7.7.3.</w:t>
        <w:tab/>
        <w:t>In the event that a term of office ends, the Board of Directors may grant an office holder, at its discretion and with reference to the circumstances of retirement, the annual bonus for the full year in which the term of office ended.</w:t>
      </w:r>
    </w:p>
    <w:p>
      <w:pPr>
        <w:spacing w:after="0" w:line="162" w:lineRule="exact"/>
        <w:rPr>
          <w:sz w:val="20"/>
          <w:szCs w:val="20"/>
          <w:color w:val="auto"/>
        </w:rPr>
      </w:pPr>
    </w:p>
    <w:p>
      <w:pPr>
        <w:jc w:val="both"/>
        <w:ind w:left="1480" w:hanging="633"/>
        <w:spacing w:after="0" w:line="266" w:lineRule="auto"/>
        <w:tabs>
          <w:tab w:leader="none" w:pos="1460" w:val="left"/>
        </w:tabs>
        <w:rPr>
          <w:sz w:val="20"/>
          <w:szCs w:val="20"/>
          <w:color w:val="auto"/>
        </w:rPr>
      </w:pPr>
      <w:r>
        <w:rPr>
          <w:rFonts w:ascii="Times New Roman" w:cs="Times New Roman" w:eastAsia="Times New Roman" w:hAnsi="Times New Roman"/>
          <w:sz w:val="18"/>
          <w:szCs w:val="18"/>
          <w:color w:val="auto"/>
        </w:rPr>
        <w:t>7.7.4.</w:t>
        <w:tab/>
        <w:t>Every year, upon approval of the bonuses plan, the Compensation Committee and Board of Directors may establish additional quantitative or other thresholds, taking into account the Company's targets, strategy and position, which, if fulfilled, annual bonuses will not be granted to any of the Company's office holders.</w:t>
      </w:r>
    </w:p>
    <w:p>
      <w:pPr>
        <w:spacing w:after="0" w:line="17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7"/>
          <w:szCs w:val="17"/>
          <w:u w:val="single" w:color="auto"/>
          <w:color w:val="auto"/>
        </w:rPr>
        <w:t>Restrictions applicable to the annual bonus</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In addition, annual bonuses, if granted, will be subject to the following restrictions:</w:t>
      </w:r>
    </w:p>
    <w:p>
      <w:pPr>
        <w:spacing w:after="0" w:line="239" w:lineRule="exact"/>
        <w:rPr>
          <w:sz w:val="20"/>
          <w:szCs w:val="20"/>
          <w:color w:val="auto"/>
        </w:rPr>
      </w:pPr>
    </w:p>
    <w:p>
      <w:pPr>
        <w:jc w:val="both"/>
        <w:ind w:left="1480" w:hanging="633"/>
        <w:spacing w:after="0" w:line="261" w:lineRule="auto"/>
        <w:tabs>
          <w:tab w:leader="none" w:pos="1460" w:val="left"/>
        </w:tabs>
        <w:rPr>
          <w:sz w:val="20"/>
          <w:szCs w:val="20"/>
          <w:color w:val="auto"/>
        </w:rPr>
      </w:pPr>
      <w:r>
        <w:rPr>
          <w:rFonts w:ascii="Times New Roman" w:cs="Times New Roman" w:eastAsia="Times New Roman" w:hAnsi="Times New Roman"/>
          <w:sz w:val="18"/>
          <w:szCs w:val="18"/>
          <w:color w:val="auto"/>
        </w:rPr>
        <w:t>7.8.1.</w:t>
        <w:tab/>
        <w:t>The total amount of the annual bonus (for all components of the annual/variable bonus, including the special bonus as defined above) will be limited as follows:</w:t>
      </w:r>
    </w:p>
    <w:p>
      <w:pPr>
        <w:ind w:left="1780" w:hanging="302"/>
        <w:spacing w:after="0" w:line="250" w:lineRule="auto"/>
        <w:tabs>
          <w:tab w:leader="none" w:pos="17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not to exceed 12 monthly salaries (excluding the special bonus as set out in Section 7.4.6 above, excluding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excellence thresholds exceeding 100%).</w:t>
      </w:r>
    </w:p>
    <w:p>
      <w:pPr>
        <w:ind w:left="1780" w:hanging="302"/>
        <w:spacing w:after="0" w:line="250" w:lineRule="auto"/>
        <w:tabs>
          <w:tab w:leader="none" w:pos="17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Office holder</w:t>
      </w:r>
      <w:r>
        <w:rPr>
          <w:rFonts w:ascii="Times New Roman" w:cs="Times New Roman" w:eastAsia="Times New Roman" w:hAnsi="Times New Roman"/>
          <w:sz w:val="18"/>
          <w:szCs w:val="18"/>
          <w:color w:val="auto"/>
        </w:rPr>
        <w:t>: not to exceed eight monthly salaries (excluding the Special Bonus as set out in Section 7.4.6 above,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excluding meeting excellence thresholds exceeding 100%).</w:t>
      </w:r>
    </w:p>
    <w:p>
      <w:pPr>
        <w:ind w:left="1780" w:hanging="302"/>
        <w:spacing w:after="0"/>
        <w:tabs>
          <w:tab w:leader="none" w:pos="17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Development bonuses</w:t>
      </w:r>
      <w:r>
        <w:rPr>
          <w:rFonts w:ascii="Times New Roman" w:cs="Times New Roman" w:eastAsia="Times New Roman" w:hAnsi="Times New Roman"/>
          <w:sz w:val="18"/>
          <w:szCs w:val="18"/>
          <w:color w:val="auto"/>
        </w:rPr>
        <w:t>: not to exceed four monthly salaries per year (in addition to the above bonuses).</w:t>
      </w:r>
    </w:p>
    <w:p>
      <w:pPr>
        <w:spacing w:after="0" w:line="207" w:lineRule="exact"/>
        <w:rPr>
          <w:sz w:val="20"/>
          <w:szCs w:val="20"/>
          <w:color w:val="auto"/>
        </w:rPr>
      </w:pPr>
    </w:p>
    <w:p>
      <w:pPr>
        <w:jc w:val="both"/>
        <w:ind w:left="1480" w:hanging="633"/>
        <w:spacing w:after="0" w:line="266" w:lineRule="auto"/>
        <w:tabs>
          <w:tab w:leader="none" w:pos="1460" w:val="left"/>
        </w:tabs>
        <w:rPr>
          <w:sz w:val="20"/>
          <w:szCs w:val="20"/>
          <w:color w:val="auto"/>
        </w:rPr>
      </w:pPr>
      <w:r>
        <w:rPr>
          <w:rFonts w:ascii="Times New Roman" w:cs="Times New Roman" w:eastAsia="Times New Roman" w:hAnsi="Times New Roman"/>
          <w:sz w:val="18"/>
          <w:szCs w:val="18"/>
          <w:color w:val="auto"/>
        </w:rPr>
        <w:t>7.8.2.</w:t>
        <w:tab/>
        <w:t>The amount of the actual annual bonuses granted to all of the Company's office holders with respect to a specific year will not exceed 3% of the Company's revenues from the sale of electricity based on the fixed-assets model. In the event of deviations therefrom, the annual bonuses will be paid pari passu.</w:t>
      </w:r>
    </w:p>
    <w:p>
      <w:pPr>
        <w:spacing w:after="0" w:line="14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51435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780" w:top="351" w:right="339" w:bottom="1440" w:gutter="0" w:footer="0" w:header="0"/>
        </w:sectPr>
      </w:pPr>
    </w:p>
    <w:bookmarkStart w:id="42" w:name="page43"/>
    <w:bookmarkEnd w:id="42"/>
    <w:p>
      <w:pPr>
        <w:jc w:val="both"/>
        <w:ind w:left="820" w:hanging="633"/>
        <w:spacing w:after="0" w:line="258" w:lineRule="auto"/>
        <w:tabs>
          <w:tab w:leader="none" w:pos="800" w:val="left"/>
        </w:tabs>
        <w:rPr>
          <w:sz w:val="20"/>
          <w:szCs w:val="20"/>
          <w:color w:val="auto"/>
        </w:rPr>
      </w:pPr>
      <w:r>
        <w:rPr>
          <w:rFonts w:ascii="Times New Roman" w:cs="Times New Roman" w:eastAsia="Times New Roman" w:hAnsi="Times New Roman"/>
          <w:sz w:val="18"/>
          <w:szCs w:val="18"/>
          <w:color w:val="auto"/>
        </w:rPr>
        <w:t>7.8.3.</w:t>
        <w:tab/>
        <w:t>An annual bonus will be granted to office holders who were employed by, or provided services to, the Company for at least 12 (twelve) months prior to the approval of the financial statements for that year, unless the office holder resigned or was dismissed due to circumstances that revoke such office holder’s right to severance pay. Notwithstanding the aforesaid, with respect to new office holders employed in the Company for less than 12 months, the Board of Directors may, at the recommendation of the Company's CEO, determine to grant a bonus in proportion to such office holders’ period of employment by the Company.</w:t>
      </w:r>
    </w:p>
    <w:p>
      <w:pPr>
        <w:spacing w:after="0" w:line="183" w:lineRule="exact"/>
        <w:rPr>
          <w:sz w:val="20"/>
          <w:szCs w:val="20"/>
          <w:color w:val="auto"/>
        </w:rPr>
      </w:pPr>
    </w:p>
    <w:p>
      <w:pPr>
        <w:jc w:val="both"/>
        <w:ind w:left="820" w:hanging="633"/>
        <w:spacing w:after="0" w:line="255" w:lineRule="auto"/>
        <w:tabs>
          <w:tab w:leader="none" w:pos="800" w:val="left"/>
        </w:tabs>
        <w:rPr>
          <w:sz w:val="20"/>
          <w:szCs w:val="20"/>
          <w:color w:val="auto"/>
        </w:rPr>
      </w:pPr>
      <w:r>
        <w:rPr>
          <w:rFonts w:ascii="Times New Roman" w:cs="Times New Roman" w:eastAsia="Times New Roman" w:hAnsi="Times New Roman"/>
          <w:sz w:val="18"/>
          <w:szCs w:val="18"/>
          <w:color w:val="auto"/>
        </w:rPr>
        <w:t>7.8.4.</w:t>
        <w:tab/>
        <w:t>The Compensation Committee may disregard effects of the Company's financial results arising from changes in the accounting policy of the Company or Group. Disregarding such effects may increase or decrease the bonus, depending on the type of accounting change and its effect. Disregarding such effects will be performed when, shortly before the approval of the bonuses, the Company’s independent auditors submit an opinion regarding the accounting changes made in the past financial year with respect to which bonus are determined, and the implications of these changes on the goals relevant to the bonuses. The opinion will be presented to the Compensation Committee and will serve as a basis for its decision regarding whether to disregard the implications of the accounting changes for the purpose of calculating the bonuses of the office holders.</w:t>
      </w:r>
    </w:p>
    <w:p>
      <w:pPr>
        <w:spacing w:after="0" w:line="189"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It is clarified that the Compensation Committee will only exercise its powers under this section in the following cases: (a) a change in the accounting standards and/or the accounting policy and/or the accounting principles applicable to the financial statements of the Company and/or companies whose financial statements are consolidated and/or included in the financial statements of the Company (hereinafter, the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which will apply due to external circumstances and which directly affect the calculation of the compensation goals established in the relevant year; and (b) application of an accounting principle and/or accounting policy to the Statements, in accordance with the guidelines of a competent authority, which have a direct effect on the calculation of the compensation goals established in the relevant year.</w:t>
      </w:r>
    </w:p>
    <w:p>
      <w:pPr>
        <w:spacing w:after="0" w:line="203" w:lineRule="exact"/>
        <w:rPr>
          <w:sz w:val="20"/>
          <w:szCs w:val="20"/>
          <w:color w:val="auto"/>
        </w:rPr>
      </w:pPr>
    </w:p>
    <w:p>
      <w:pPr>
        <w:jc w:val="both"/>
        <w:ind w:left="820" w:hanging="633"/>
        <w:spacing w:after="0" w:line="258" w:lineRule="auto"/>
        <w:tabs>
          <w:tab w:leader="none" w:pos="800" w:val="left"/>
        </w:tabs>
        <w:rPr>
          <w:sz w:val="20"/>
          <w:szCs w:val="20"/>
          <w:color w:val="auto"/>
        </w:rPr>
      </w:pPr>
      <w:r>
        <w:rPr>
          <w:rFonts w:ascii="Times New Roman" w:cs="Times New Roman" w:eastAsia="Times New Roman" w:hAnsi="Times New Roman"/>
          <w:sz w:val="18"/>
          <w:szCs w:val="18"/>
          <w:color w:val="auto"/>
        </w:rPr>
        <w:t>7.8.5.</w:t>
        <w:tab/>
        <w:t>When approving the budget, the Board of Directors may determine a closed list of extraordinary events and, if any of these events occurs during the year, the Compensation Committee may eliminate their effect when calculating the targets for the bonus. These are events that, when approving the budget, it is uncertain whether they will occur during the year and it was decided not to take them into account when preparing the budget; however, if they occur, they are likely to have a material effect on the financial results.</w:t>
      </w:r>
    </w:p>
    <w:p>
      <w:pPr>
        <w:spacing w:after="0" w:line="183" w:lineRule="exact"/>
        <w:rPr>
          <w:sz w:val="20"/>
          <w:szCs w:val="20"/>
          <w:color w:val="auto"/>
        </w:rPr>
      </w:pPr>
    </w:p>
    <w:p>
      <w:pPr>
        <w:jc w:val="both"/>
        <w:ind w:left="820" w:hanging="633"/>
        <w:spacing w:after="0" w:line="282" w:lineRule="auto"/>
        <w:tabs>
          <w:tab w:leader="none" w:pos="800" w:val="left"/>
        </w:tabs>
        <w:rPr>
          <w:sz w:val="20"/>
          <w:szCs w:val="20"/>
          <w:color w:val="auto"/>
        </w:rPr>
      </w:pPr>
      <w:r>
        <w:rPr>
          <w:rFonts w:ascii="Times New Roman" w:cs="Times New Roman" w:eastAsia="Times New Roman" w:hAnsi="Times New Roman"/>
          <w:sz w:val="18"/>
          <w:szCs w:val="18"/>
          <w:color w:val="auto"/>
        </w:rPr>
        <w:t>7.8.6.</w:t>
        <w:tab/>
        <w:t>The Compensation Committee and the Board of Directors may, at their discretion, reduce the amount of the bonus due to an office holder, when there are special circumstances that justify such a reduction.</w:t>
      </w:r>
    </w:p>
    <w:p>
      <w:pPr>
        <w:spacing w:after="0" w:line="162" w:lineRule="exact"/>
        <w:rPr>
          <w:sz w:val="20"/>
          <w:szCs w:val="20"/>
          <w:color w:val="auto"/>
        </w:rPr>
      </w:pPr>
    </w:p>
    <w:p>
      <w:pPr>
        <w:jc w:val="both"/>
        <w:ind w:left="820" w:hanging="633"/>
        <w:spacing w:after="0" w:line="258" w:lineRule="auto"/>
        <w:tabs>
          <w:tab w:leader="none" w:pos="800" w:val="left"/>
        </w:tabs>
        <w:rPr>
          <w:sz w:val="20"/>
          <w:szCs w:val="20"/>
          <w:color w:val="auto"/>
        </w:rPr>
      </w:pPr>
      <w:r>
        <w:rPr>
          <w:rFonts w:ascii="Times New Roman" w:cs="Times New Roman" w:eastAsia="Times New Roman" w:hAnsi="Times New Roman"/>
          <w:sz w:val="18"/>
          <w:szCs w:val="18"/>
          <w:color w:val="auto"/>
        </w:rPr>
        <w:t>7.8.7.</w:t>
        <w:tab/>
        <w:t>An office holder entitled to a bonus based on any financial information, will undertake to return to the Company any amounts paid on the basis of information that turned out to be erroneous and were restated in two consecutive annual financial statements following approval of the bonus in the Company's financial statements. An office holder will consent in writing to the Company’s deduction of any amount such office holder owes the Company from any amount due to such office holder from the Company, subject to the Law.</w:t>
      </w:r>
    </w:p>
    <w:p>
      <w:pPr>
        <w:spacing w:after="0" w:line="183" w:lineRule="exact"/>
        <w:rPr>
          <w:sz w:val="20"/>
          <w:szCs w:val="20"/>
          <w:color w:val="auto"/>
        </w:rPr>
      </w:pPr>
    </w:p>
    <w:p>
      <w:pPr>
        <w:jc w:val="both"/>
        <w:ind w:left="820" w:hanging="633"/>
        <w:spacing w:after="0" w:line="266" w:lineRule="auto"/>
        <w:tabs>
          <w:tab w:leader="none" w:pos="800" w:val="left"/>
        </w:tabs>
        <w:rPr>
          <w:sz w:val="20"/>
          <w:szCs w:val="20"/>
          <w:color w:val="auto"/>
        </w:rPr>
      </w:pPr>
      <w:r>
        <w:rPr>
          <w:rFonts w:ascii="Times New Roman" w:cs="Times New Roman" w:eastAsia="Times New Roman" w:hAnsi="Times New Roman"/>
          <w:sz w:val="18"/>
          <w:szCs w:val="18"/>
          <w:color w:val="auto"/>
        </w:rPr>
        <w:t>7.8.8.</w:t>
        <w:tab/>
        <w:t>The annual bonus, if determined, will be paid to office holders once a year, after the Company’s Board of Directors approves the financial statements of the relevant year and based on the Company's actual results for such year; if the annual bonus requires calculation, such calculation will be based on the financial statements of the relevant year.</w:t>
      </w:r>
    </w:p>
    <w:p>
      <w:pPr>
        <w:spacing w:after="0" w:line="176" w:lineRule="exact"/>
        <w:rPr>
          <w:sz w:val="20"/>
          <w:szCs w:val="20"/>
          <w:color w:val="auto"/>
        </w:rPr>
      </w:pPr>
    </w:p>
    <w:p>
      <w:pPr>
        <w:jc w:val="both"/>
        <w:ind w:left="820" w:hanging="633"/>
        <w:spacing w:after="0" w:line="258" w:lineRule="auto"/>
        <w:tabs>
          <w:tab w:leader="none" w:pos="800" w:val="left"/>
        </w:tabs>
        <w:rPr>
          <w:sz w:val="20"/>
          <w:szCs w:val="20"/>
          <w:color w:val="auto"/>
        </w:rPr>
      </w:pPr>
      <w:r>
        <w:rPr>
          <w:rFonts w:ascii="Times New Roman" w:cs="Times New Roman" w:eastAsia="Times New Roman" w:hAnsi="Times New Roman"/>
          <w:sz w:val="18"/>
          <w:szCs w:val="18"/>
          <w:color w:val="auto"/>
        </w:rPr>
        <w:t>7.8.9.</w:t>
        <w:tab/>
        <w:t>Further to the provisions above in this Section 7, the bonus program may contain other provisions by which a mechanism will be established to reschedule or condition some of the annual bonus payments, based on achieving long-term measurable goals, over a period of two or three calendar years, as well as rules for calculating the entitlement to such a multi-annual bonus, at the end of the multi-annual measuring period. The rules and conditions for such a multi-annual bonus will be set and presented to the Company’s competent organs for approval, in accordance with applicable law.</w:t>
      </w:r>
    </w:p>
    <w:p>
      <w:pPr>
        <w:spacing w:after="0" w:line="37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A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43" w:name="page44"/>
    <w:bookmarkEnd w:id="43"/>
    <w:p>
      <w:pPr>
        <w:ind w:left="460" w:hanging="452"/>
        <w:spacing w:after="0"/>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Retention Bonus</w:t>
      </w:r>
    </w:p>
    <w:p>
      <w:pPr>
        <w:spacing w:after="0" w:line="229" w:lineRule="exact"/>
        <w:rPr>
          <w:rFonts w:ascii="Times New Roman" w:cs="Times New Roman" w:eastAsia="Times New Roman" w:hAnsi="Times New Roman"/>
          <w:sz w:val="18"/>
          <w:szCs w:val="18"/>
          <w:color w:val="auto"/>
        </w:rPr>
      </w:pPr>
    </w:p>
    <w:p>
      <w:pPr>
        <w:jc w:val="both"/>
        <w:ind w:left="460" w:right="68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the unique character of the Company’s activity and the importance of retaining its office holders, the Company’s Board of Directors and Compensation Committee may determine retention bonuses for office holders, in a total amount of: (a) NIS 600,000 for the Company’s CEO, to be accrued gradually over a period of up to three years; (b) NIS 500,000 for office holders, to be accrued gradually over a period of up to 3 years. All for the reasons set forth above. It is clarified that in any event, multiple simultaneous “retention” plans will not be granted to the same office holder.</w:t>
      </w:r>
    </w:p>
    <w:p>
      <w:pPr>
        <w:spacing w:after="0" w:line="18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Equity compensation</w:t>
      </w:r>
    </w:p>
    <w:p>
      <w:pPr>
        <w:spacing w:after="0" w:line="31" w:lineRule="exact"/>
        <w:rPr>
          <w:rFonts w:ascii="Times New Roman" w:cs="Times New Roman" w:eastAsia="Times New Roman" w:hAnsi="Times New Roman"/>
          <w:sz w:val="18"/>
          <w:szCs w:val="18"/>
          <w:color w:val="auto"/>
        </w:rPr>
      </w:pPr>
    </w:p>
    <w:p>
      <w:pPr>
        <w:ind w:left="1300" w:hanging="837"/>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9.1.Subject to obtaining the approval of the Company’s competent organs, the Company may offer the office holders to participate in an equity based remuneration plan, which among others shall include options exercisable into shares of the Company, RSUs (restricted share units) or similar equity securities such as restricted shares (jointly hereinafter the </w:t>
      </w:r>
      <w:r>
        <w:rPr>
          <w:rFonts w:ascii="Times New Roman" w:cs="Times New Roman" w:eastAsia="Times New Roman" w:hAnsi="Times New Roman"/>
          <w:sz w:val="18"/>
          <w:szCs w:val="18"/>
          <w:b w:val="1"/>
          <w:bCs w:val="1"/>
          <w:color w:val="auto"/>
        </w:rPr>
        <w:t>“Equity Based Compensation”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strike w:val="1"/>
          <w:vertAlign w:val="superscript"/>
        </w:rPr>
        <w:t>8</w:t>
      </w:r>
      <w:r>
        <w:rPr>
          <w:rFonts w:ascii="Times New Roman" w:cs="Times New Roman" w:eastAsia="Times New Roman" w:hAnsi="Times New Roman"/>
          <w:sz w:val="29"/>
          <w:szCs w:val="29"/>
          <w:u w:val="single" w:color="auto"/>
          <w:color w:val="auto"/>
          <w:vertAlign w:val="superscript"/>
        </w:rPr>
        <w:t>11</w:t>
      </w:r>
    </w:p>
    <w:p>
      <w:pPr>
        <w:spacing w:after="0" w:line="43" w:lineRule="exact"/>
        <w:rPr>
          <w:rFonts w:ascii="Times New Roman" w:cs="Times New Roman" w:eastAsia="Times New Roman" w:hAnsi="Times New Roman"/>
          <w:sz w:val="18"/>
          <w:szCs w:val="18"/>
          <w:color w:val="auto"/>
        </w:rPr>
      </w:pPr>
    </w:p>
    <w:p>
      <w:pPr>
        <w:ind w:left="1300" w:hanging="837"/>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9.2.The granting of Equity Based Compensation to officer holders of the Company is, among other things, designed to further the Company’s interests by allowing employees, office holders, directors, consultants, and other selected service providers serving the Company or its affiliates (as the term is defined in the options plan), to acquire equity interests in the Company or increase their equity interests, as applicable, by granting Equity Based Compensation, thus providing such offerees another incentive to start or continue working for, or engage with, the Company or its affiliate, as applicable, and foster the offerees’ sense of being a partial owner of the Company and incentivize such offeree’s interest in the success of the Company and the affiliate with which the offeree is employed or with which they are engaged.</w:t>
      </w:r>
    </w:p>
    <w:p>
      <w:pPr>
        <w:spacing w:after="0" w:line="188" w:lineRule="exact"/>
        <w:rPr>
          <w:rFonts w:ascii="Times New Roman" w:cs="Times New Roman" w:eastAsia="Times New Roman" w:hAnsi="Times New Roman"/>
          <w:sz w:val="18"/>
          <w:szCs w:val="18"/>
          <w:color w:val="auto"/>
        </w:rPr>
      </w:pPr>
    </w:p>
    <w:p>
      <w:pPr>
        <w:ind w:left="1300" w:right="20" w:hanging="837"/>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9.3.The approved plan will be determined based on the relevant considerations and criteria set forth in Sections 2, 3, and 5 above, and it will include the following provisions:</w:t>
      </w:r>
    </w:p>
    <w:p>
      <w:pPr>
        <w:spacing w:after="0" w:line="162" w:lineRule="exact"/>
        <w:rPr>
          <w:sz w:val="20"/>
          <w:szCs w:val="20"/>
          <w:color w:val="auto"/>
        </w:rPr>
      </w:pPr>
    </w:p>
    <w:p>
      <w:pPr>
        <w:jc w:val="both"/>
        <w:ind w:left="1860" w:hanging="552"/>
        <w:spacing w:after="0" w:line="266" w:lineRule="auto"/>
        <w:tabs>
          <w:tab w:leader="none" w:pos="1840" w:val="left"/>
        </w:tabs>
        <w:rPr>
          <w:sz w:val="20"/>
          <w:szCs w:val="20"/>
          <w:color w:val="auto"/>
        </w:rPr>
      </w:pPr>
      <w:r>
        <w:rPr>
          <w:rFonts w:ascii="Times New Roman" w:cs="Times New Roman" w:eastAsia="Times New Roman" w:hAnsi="Times New Roman"/>
          <w:sz w:val="18"/>
          <w:szCs w:val="18"/>
          <w:color w:val="auto"/>
        </w:rPr>
        <w:t>9.3.1.</w:t>
        <w:tab/>
        <w:t>The value of the Equity Based Compensation to be granted pursuant to the plan, the method of granting the allocation to the different offerees, and an additional number of securities to be allocated among the office holders who may join the Company throughout the plan’s effectiveness period.</w:t>
      </w:r>
    </w:p>
    <w:p>
      <w:pPr>
        <w:spacing w:after="0" w:line="176" w:lineRule="exact"/>
        <w:rPr>
          <w:sz w:val="20"/>
          <w:szCs w:val="20"/>
          <w:color w:val="auto"/>
        </w:rPr>
      </w:pPr>
    </w:p>
    <w:p>
      <w:pPr>
        <w:jc w:val="both"/>
        <w:ind w:left="1860" w:hanging="552"/>
        <w:spacing w:after="0" w:line="256" w:lineRule="auto"/>
        <w:tabs>
          <w:tab w:leader="none" w:pos="1840" w:val="left"/>
        </w:tabs>
        <w:rPr>
          <w:sz w:val="20"/>
          <w:szCs w:val="20"/>
          <w:color w:val="auto"/>
        </w:rPr>
      </w:pPr>
      <w:r>
        <w:rPr>
          <w:rFonts w:ascii="Times New Roman" w:cs="Times New Roman" w:eastAsia="Times New Roman" w:hAnsi="Times New Roman"/>
          <w:sz w:val="18"/>
          <w:szCs w:val="18"/>
          <w:color w:val="auto"/>
        </w:rPr>
        <w:t>9.3.2.</w:t>
        <w:tab/>
        <w:t>The Equity Based Compensation will be awarded to the office holders in one of the following tax routes at the Company’s discretion, and subject to the relevant limitations and restrictions under applicable statutes: (a) options in the trustee route, under Section 102 of the Income Tax Ordinance [New Version], 1961 (hereinafter, the “</w:t>
      </w:r>
      <w:r>
        <w:rPr>
          <w:rFonts w:ascii="Times New Roman" w:cs="Times New Roman" w:eastAsia="Times New Roman" w:hAnsi="Times New Roman"/>
          <w:sz w:val="18"/>
          <w:szCs w:val="18"/>
          <w:b w:val="1"/>
          <w:bCs w:val="1"/>
          <w:color w:val="auto"/>
        </w:rPr>
        <w:t>Ordinance</w:t>
      </w:r>
      <w:r>
        <w:rPr>
          <w:rFonts w:ascii="Times New Roman" w:cs="Times New Roman" w:eastAsia="Times New Roman" w:hAnsi="Times New Roman"/>
          <w:sz w:val="18"/>
          <w:szCs w:val="18"/>
          <w:color w:val="auto"/>
        </w:rPr>
        <w:t>”); (b) options in the non-trustee route under Section 102 of the Ordinance; or (c) options under Section 3(I) of the Ordinance. Equity Based Compensation for foreign office holders shall be granted pursuant to the provisions of foreign law and the relevant mechanisms set forth in the foreign law.</w:t>
      </w:r>
    </w:p>
    <w:p>
      <w:pPr>
        <w:spacing w:after="0" w:line="187" w:lineRule="exact"/>
        <w:rPr>
          <w:sz w:val="20"/>
          <w:szCs w:val="20"/>
          <w:color w:val="auto"/>
        </w:rPr>
      </w:pPr>
    </w:p>
    <w:p>
      <w:pPr>
        <w:jc w:val="both"/>
        <w:ind w:left="1860" w:hanging="552"/>
        <w:spacing w:after="0" w:line="266" w:lineRule="auto"/>
        <w:tabs>
          <w:tab w:leader="none" w:pos="1840" w:val="left"/>
        </w:tabs>
        <w:rPr>
          <w:sz w:val="20"/>
          <w:szCs w:val="20"/>
          <w:color w:val="auto"/>
        </w:rPr>
      </w:pPr>
      <w:r>
        <w:rPr>
          <w:rFonts w:ascii="Times New Roman" w:cs="Times New Roman" w:eastAsia="Times New Roman" w:hAnsi="Times New Roman"/>
          <w:sz w:val="18"/>
          <w:szCs w:val="18"/>
          <w:color w:val="auto"/>
        </w:rPr>
        <w:t>9.3.3.</w:t>
        <w:tab/>
        <w:t>When granting share-based compensation other than restricted shares or restricted share units, the exercise price will be higher than the share price on the award date, so that it provides a suitable incentive to maximize the Company’s long-term value, and in any case, may not fall below the average price in the 30 trading days before the award.</w:t>
      </w:r>
    </w:p>
    <w:p>
      <w:pPr>
        <w:spacing w:after="0" w:line="166" w:lineRule="exact"/>
        <w:rPr>
          <w:sz w:val="20"/>
          <w:szCs w:val="20"/>
          <w:color w:val="auto"/>
        </w:rPr>
      </w:pPr>
    </w:p>
    <w:p>
      <w:pPr>
        <w:jc w:val="both"/>
        <w:ind w:left="1860" w:hanging="552"/>
        <w:spacing w:after="0" w:line="224" w:lineRule="auto"/>
        <w:tabs>
          <w:tab w:leader="none" w:pos="1840" w:val="left"/>
        </w:tabs>
        <w:rPr>
          <w:sz w:val="20"/>
          <w:szCs w:val="20"/>
          <w:color w:val="auto"/>
        </w:rPr>
      </w:pPr>
      <w:r>
        <w:rPr>
          <w:rFonts w:ascii="Times New Roman" w:cs="Times New Roman" w:eastAsia="Times New Roman" w:hAnsi="Times New Roman"/>
          <w:sz w:val="18"/>
          <w:szCs w:val="18"/>
          <w:color w:val="auto"/>
        </w:rPr>
        <w:t>9.3.4.</w:t>
        <w:tab/>
        <w:t>The maximum value in annual terms</w:t>
      </w:r>
      <w:r>
        <w:rPr>
          <w:rFonts w:ascii="Times New Roman" w:cs="Times New Roman" w:eastAsia="Times New Roman" w:hAnsi="Times New Roman"/>
          <w:sz w:val="29"/>
          <w:szCs w:val="29"/>
          <w:color w:val="auto"/>
          <w:strike w:val="1"/>
          <w:vertAlign w:val="superscript"/>
        </w:rPr>
        <w:t>9</w:t>
      </w:r>
      <w:r>
        <w:rPr>
          <w:rFonts w:ascii="Times New Roman" w:cs="Times New Roman" w:eastAsia="Times New Roman" w:hAnsi="Times New Roman"/>
          <w:sz w:val="29"/>
          <w:szCs w:val="29"/>
          <w:u w:val="single" w:color="auto"/>
          <w:color w:val="auto"/>
          <w:vertAlign w:val="superscript"/>
        </w:rPr>
        <w:t>12</w:t>
      </w:r>
      <w:r>
        <w:rPr>
          <w:rFonts w:ascii="Times New Roman" w:cs="Times New Roman" w:eastAsia="Times New Roman" w:hAnsi="Times New Roman"/>
          <w:sz w:val="18"/>
          <w:szCs w:val="18"/>
          <w:color w:val="auto"/>
        </w:rPr>
        <w:t xml:space="preserve"> (to be calculated on the award date, divided by the number of vesting years, equally) of the Equity Based Compensation granted to an office holder (including the Company’s CEO) may not exceed 85% of the aggregate compensation (gross, including salary, related expenses, Equity Based Compensation and annual bonuses (assuming targets are fully met)) paid to such office holder.</w:t>
      </w:r>
    </w:p>
    <w:p>
      <w:pPr>
        <w:spacing w:after="0" w:line="189" w:lineRule="exact"/>
        <w:rPr>
          <w:sz w:val="20"/>
          <w:szCs w:val="20"/>
          <w:color w:val="auto"/>
        </w:rPr>
      </w:pPr>
    </w:p>
    <w:p>
      <w:pPr>
        <w:ind w:left="1300"/>
        <w:spacing w:after="0"/>
        <w:tabs>
          <w:tab w:leader="none" w:pos="2440" w:val="left"/>
        </w:tabs>
        <w:rPr>
          <w:sz w:val="20"/>
          <w:szCs w:val="20"/>
          <w:color w:val="auto"/>
        </w:rPr>
      </w:pPr>
      <w:r>
        <w:rPr>
          <w:rFonts w:ascii="Times New Roman" w:cs="Times New Roman" w:eastAsia="Times New Roman" w:hAnsi="Times New Roman"/>
          <w:sz w:val="18"/>
          <w:szCs w:val="18"/>
          <w:color w:val="auto"/>
        </w:rPr>
        <w:t>9.3.5.</w:t>
      </w:r>
      <w:r>
        <w:rPr>
          <w:sz w:val="20"/>
          <w:szCs w:val="20"/>
          <w:color w:val="auto"/>
        </w:rPr>
        <w:tab/>
      </w:r>
      <w:r>
        <w:rPr>
          <w:rFonts w:ascii="Times New Roman" w:cs="Times New Roman" w:eastAsia="Times New Roman" w:hAnsi="Times New Roman"/>
          <w:sz w:val="17"/>
          <w:szCs w:val="17"/>
          <w:color w:val="auto"/>
        </w:rPr>
        <w:t>The maximum potential dilution of all equity awards by the Company shall be 10%.</w:t>
      </w:r>
      <w:r>
        <w:rPr>
          <w:rFonts w:ascii="Times New Roman" w:cs="Times New Roman" w:eastAsia="Times New Roman" w:hAnsi="Times New Roman"/>
          <w:sz w:val="28"/>
          <w:szCs w:val="28"/>
          <w:color w:val="auto"/>
          <w:strike w:val="1"/>
          <w:vertAlign w:val="superscript"/>
        </w:rPr>
        <w:t>10</w:t>
      </w:r>
      <w:r>
        <w:rPr>
          <w:rFonts w:ascii="Times New Roman" w:cs="Times New Roman" w:eastAsia="Times New Roman" w:hAnsi="Times New Roman"/>
          <w:sz w:val="28"/>
          <w:szCs w:val="28"/>
          <w:u w:val="single" w:color="auto"/>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0712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93" w:lineRule="exact"/>
        <w:rPr>
          <w:sz w:val="20"/>
          <w:szCs w:val="20"/>
          <w:color w:val="auto"/>
        </w:rPr>
      </w:pPr>
    </w:p>
    <w:p>
      <w:pPr>
        <w:ind w:right="80"/>
        <w:spacing w:after="0" w:line="204" w:lineRule="auto"/>
        <w:rPr>
          <w:sz w:val="20"/>
          <w:szCs w:val="20"/>
          <w:color w:val="auto"/>
        </w:rPr>
      </w:pPr>
      <w:r>
        <w:rPr>
          <w:rFonts w:ascii="Times New Roman" w:cs="Times New Roman" w:eastAsia="Times New Roman" w:hAnsi="Times New Roman"/>
          <w:sz w:val="29"/>
          <w:szCs w:val="29"/>
          <w:color w:val="auto"/>
          <w:strike w:val="1"/>
          <w:vertAlign w:val="superscript"/>
        </w:rPr>
        <w:t>8</w:t>
      </w:r>
      <w:r>
        <w:rPr>
          <w:rFonts w:ascii="Times New Roman" w:cs="Times New Roman" w:eastAsia="Times New Roman" w:hAnsi="Times New Roman"/>
          <w:sz w:val="29"/>
          <w:szCs w:val="29"/>
          <w:u w:val="single" w:color="auto"/>
          <w:color w:val="auto"/>
          <w:vertAlign w:val="superscript"/>
        </w:rPr>
        <w:t>11</w:t>
      </w:r>
      <w:r>
        <w:rPr>
          <w:rFonts w:ascii="Times New Roman" w:cs="Times New Roman" w:eastAsia="Times New Roman" w:hAnsi="Times New Roman"/>
          <w:sz w:val="18"/>
          <w:szCs w:val="18"/>
          <w:color w:val="auto"/>
        </w:rPr>
        <w:t xml:space="preserve"> For details on the options plan the Company adopted, see the transaction report the Company published on March 15, 2010 (Ref. No. 2010-01-415413) as updated on August 8, 2023.</w:t>
      </w:r>
    </w:p>
    <w:p>
      <w:pPr>
        <w:spacing w:after="0" w:line="185" w:lineRule="auto"/>
        <w:rPr>
          <w:sz w:val="20"/>
          <w:szCs w:val="20"/>
          <w:color w:val="auto"/>
        </w:rPr>
      </w:pPr>
      <w:r>
        <w:rPr>
          <w:rFonts w:ascii="Times New Roman" w:cs="Times New Roman" w:eastAsia="Times New Roman" w:hAnsi="Times New Roman"/>
          <w:sz w:val="26"/>
          <w:szCs w:val="26"/>
          <w:color w:val="auto"/>
          <w:strike w:val="1"/>
          <w:vertAlign w:val="superscript"/>
        </w:rPr>
        <w:t>9</w:t>
      </w:r>
      <w:r>
        <w:rPr>
          <w:rFonts w:ascii="Times New Roman" w:cs="Times New Roman" w:eastAsia="Times New Roman" w:hAnsi="Times New Roman"/>
          <w:sz w:val="26"/>
          <w:szCs w:val="26"/>
          <w:u w:val="single" w:color="auto"/>
          <w:color w:val="auto"/>
          <w:vertAlign w:val="superscript"/>
        </w:rPr>
        <w:t>12</w:t>
      </w:r>
      <w:r>
        <w:rPr>
          <w:rFonts w:ascii="Times New Roman" w:cs="Times New Roman" w:eastAsia="Times New Roman" w:hAnsi="Times New Roman"/>
          <w:sz w:val="16"/>
          <w:szCs w:val="16"/>
          <w:color w:val="auto"/>
        </w:rPr>
        <w:t xml:space="preserve"> According to the </w:t>
      </w:r>
      <w:r>
        <w:rPr>
          <w:rFonts w:ascii="Times New Roman" w:cs="Times New Roman" w:eastAsia="Times New Roman" w:hAnsi="Times New Roman"/>
          <w:sz w:val="16"/>
          <w:szCs w:val="16"/>
          <w:color w:val="auto"/>
          <w:strike w:val="1"/>
        </w:rPr>
        <w:t>Black and Scholes</w:t>
      </w:r>
      <w:r>
        <w:rPr>
          <w:rFonts w:ascii="Times New Roman" w:cs="Times New Roman" w:eastAsia="Times New Roman" w:hAnsi="Times New Roman"/>
          <w:sz w:val="16"/>
          <w:szCs w:val="16"/>
          <w:u w:val="single" w:color="auto"/>
          <w:color w:val="auto"/>
        </w:rPr>
        <w:t>B&amp;S</w:t>
      </w:r>
      <w:r>
        <w:rPr>
          <w:rFonts w:ascii="Times New Roman" w:cs="Times New Roman" w:eastAsia="Times New Roman" w:hAnsi="Times New Roman"/>
          <w:sz w:val="16"/>
          <w:szCs w:val="16"/>
          <w:color w:val="auto"/>
        </w:rPr>
        <w:t xml:space="preserve"> model</w:t>
      </w:r>
      <w:r>
        <w:rPr>
          <w:rFonts w:ascii="Times New Roman" w:cs="Times New Roman" w:eastAsia="Times New Roman" w:hAnsi="Times New Roman"/>
          <w:sz w:val="16"/>
          <w:szCs w:val="16"/>
          <w:u w:val="single" w:color="auto"/>
          <w:color w:val="auto"/>
        </w:rPr>
        <w:t>, the binary model,</w:t>
      </w:r>
      <w:r>
        <w:rPr>
          <w:rFonts w:ascii="Times New Roman" w:cs="Times New Roman" w:eastAsia="Times New Roman" w:hAnsi="Times New Roman"/>
          <w:sz w:val="16"/>
          <w:szCs w:val="16"/>
          <w:color w:val="auto"/>
        </w:rPr>
        <w:t xml:space="preserve"> or another value considered for accounting purposes.</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9"/>
          <w:szCs w:val="29"/>
          <w:color w:val="auto"/>
          <w:strike w:val="1"/>
          <w:vertAlign w:val="superscript"/>
        </w:rPr>
        <w:t>10</w:t>
      </w:r>
      <w:r>
        <w:rPr>
          <w:rFonts w:ascii="Times New Roman" w:cs="Times New Roman" w:eastAsia="Times New Roman" w:hAnsi="Times New Roman"/>
          <w:sz w:val="29"/>
          <w:szCs w:val="29"/>
          <w:u w:val="single" w:color="auto"/>
          <w:color w:val="auto"/>
          <w:vertAlign w:val="superscript"/>
        </w:rPr>
        <w:t>13</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calculation of the</w:t>
      </w:r>
      <w:r>
        <w:rPr>
          <w:rFonts w:ascii="Times New Roman" w:cs="Times New Roman" w:eastAsia="Times New Roman" w:hAnsi="Times New Roman"/>
          <w:sz w:val="18"/>
          <w:szCs w:val="18"/>
          <w:color w:val="auto"/>
        </w:rPr>
        <w:t xml:space="preserve"> number of shares for the purpose of </w:t>
      </w:r>
      <w:r>
        <w:rPr>
          <w:rFonts w:ascii="Times New Roman" w:cs="Times New Roman" w:eastAsia="Times New Roman" w:hAnsi="Times New Roman"/>
          <w:sz w:val="18"/>
          <w:szCs w:val="18"/>
          <w:color w:val="auto"/>
          <w:strike w:val="1"/>
        </w:rPr>
        <w:t>dilution will be calculated based on the value of the options granted according to the obtain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valuation – divided by the expected share price upon exercise according to the Black and Scholes model or the binomial model. The stock options will be converted using the “net exercise” mechanism (cashless exercise), which means that the number of shares resulting from exercising the stock options will be less than the number of stock options converted. The number of shares on a fully diluted basis is calculated based on the Black and Scholes model or the binomial model. The dilution is calculated without debentures or options allotted in</w:t>
      </w:r>
      <w:r>
        <w:rPr>
          <w:rFonts w:ascii="Times New Roman" w:cs="Times New Roman" w:eastAsia="Times New Roman" w:hAnsi="Times New Roman"/>
          <w:sz w:val="18"/>
          <w:szCs w:val="18"/>
          <w:u w:val="single" w:color="auto"/>
          <w:color w:val="auto"/>
          <w:strike w:val="1"/>
        </w:rPr>
        <w:t>the dilution rate shall be done on a fully diluted basis, and will take into</w:t>
      </w:r>
      <w:r>
        <w:rPr>
          <w:rFonts w:ascii="Times New Roman" w:cs="Times New Roman" w:eastAsia="Times New Roman" w:hAnsi="Times New Roman"/>
          <w:sz w:val="18"/>
          <w:szCs w:val="18"/>
          <w:color w:val="auto"/>
          <w:strike w:val="1"/>
        </w:rPr>
        <w:t xml:space="preserve"> </w:t>
      </w:r>
      <w:r>
        <w:rPr>
          <w:rFonts w:ascii="Times New Roman" w:cs="Times New Roman" w:eastAsia="Times New Roman" w:hAnsi="Times New Roman"/>
          <w:sz w:val="18"/>
          <w:szCs w:val="18"/>
          <w:u w:val="single" w:color="auto"/>
          <w:color w:val="auto"/>
          <w:strike w:val="1"/>
        </w:rPr>
        <w:t>account the full amount of RSUs granted, the maximum amount of shares that may result from PSUs granted, and the amount of shares that will result from exercising options based on “Net Exercise” (Cashless Exercise). This means that the amount of shares that will result from the exercise of options will be lower than the amount of options exercised. In this regard, the calculation will be done by multiplying the amount of options in the ratio of the value of the options granted, based on the B&amp;S or the binary model, in the price per share expected upon exercise. It is clarified that in calculating the amount of shares for dilution purposes, convertible bonds or options that were issued to the</w:t>
      </w:r>
      <w:r>
        <w:rPr>
          <w:rFonts w:ascii="Times New Roman" w:cs="Times New Roman" w:eastAsia="Times New Roman" w:hAnsi="Times New Roman"/>
          <w:sz w:val="18"/>
          <w:szCs w:val="18"/>
          <w:color w:val="auto"/>
          <w:strike w:val="1"/>
        </w:rPr>
        <w:t xml:space="preserve"> public offerings or offerings to institutional investors in offerings, will be </w:t>
      </w:r>
      <w:r>
        <w:rPr>
          <w:rFonts w:ascii="Times New Roman" w:cs="Times New Roman" w:eastAsia="Times New Roman" w:hAnsi="Times New Roman"/>
          <w:sz w:val="18"/>
          <w:szCs w:val="18"/>
          <w:u w:val="single" w:color="auto"/>
          <w:color w:val="auto"/>
          <w:strike w:val="1"/>
        </w:rPr>
        <w:t>excluded</w:t>
      </w:r>
      <w:r>
        <w:rPr>
          <w:rFonts w:ascii="Times New Roman" w:cs="Times New Roman" w:eastAsia="Times New Roman" w:hAnsi="Times New Roman"/>
          <w:sz w:val="18"/>
          <w:szCs w:val="18"/>
          <w:color w:val="auto"/>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-165100</wp:posOffset>
            </wp:positionV>
            <wp:extent cx="10045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04570" cy="8890"/>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4" w:name="page45"/>
    <w:bookmarkEnd w:id="44"/>
    <w:p>
      <w:pPr>
        <w:jc w:val="both"/>
        <w:ind w:left="1860" w:hanging="552"/>
        <w:spacing w:after="0" w:line="266" w:lineRule="auto"/>
        <w:tabs>
          <w:tab w:leader="none" w:pos="1840" w:val="left"/>
        </w:tabs>
        <w:rPr>
          <w:sz w:val="20"/>
          <w:szCs w:val="20"/>
          <w:color w:val="auto"/>
        </w:rPr>
      </w:pPr>
      <w:r>
        <w:rPr>
          <w:rFonts w:ascii="Times New Roman" w:cs="Times New Roman" w:eastAsia="Times New Roman" w:hAnsi="Times New Roman"/>
          <w:sz w:val="18"/>
          <w:szCs w:val="18"/>
          <w:color w:val="auto"/>
        </w:rPr>
        <w:t>9.3.6.</w:t>
        <w:tab/>
        <w:t>The vesting period will not be shorter than three years. The Company may approve the acceleration of vesting periods, in whole or part, of the equity based compensation that has not yet vested, in the event of a change of control of the Company and/or a merger and acquisition transactions of the Company.</w:t>
      </w:r>
    </w:p>
    <w:p>
      <w:pPr>
        <w:spacing w:after="0" w:line="176" w:lineRule="exact"/>
        <w:rPr>
          <w:sz w:val="20"/>
          <w:szCs w:val="20"/>
          <w:color w:val="auto"/>
        </w:rPr>
      </w:pPr>
    </w:p>
    <w:p>
      <w:pPr>
        <w:jc w:val="both"/>
        <w:ind w:left="1860" w:hanging="552"/>
        <w:spacing w:after="0" w:line="266" w:lineRule="auto"/>
        <w:tabs>
          <w:tab w:leader="none" w:pos="1840" w:val="left"/>
        </w:tabs>
        <w:rPr>
          <w:sz w:val="20"/>
          <w:szCs w:val="20"/>
          <w:color w:val="auto"/>
        </w:rPr>
      </w:pPr>
      <w:r>
        <w:rPr>
          <w:rFonts w:ascii="Times New Roman" w:cs="Times New Roman" w:eastAsia="Times New Roman" w:hAnsi="Times New Roman"/>
          <w:sz w:val="18"/>
          <w:szCs w:val="18"/>
          <w:color w:val="auto"/>
        </w:rPr>
        <w:t>9.3.7.</w:t>
        <w:tab/>
        <w:t>The expiration date of the granted options will not be less than one year after they vest, but will not exceed 10 years from the allocation date (subject to provisions regarding expiration upon an office holder’s end of employment or engagement to provide services).</w:t>
      </w:r>
    </w:p>
    <w:p>
      <w:pPr>
        <w:spacing w:after="0" w:line="176" w:lineRule="exact"/>
        <w:rPr>
          <w:sz w:val="20"/>
          <w:szCs w:val="20"/>
          <w:color w:val="auto"/>
        </w:rPr>
      </w:pPr>
    </w:p>
    <w:p>
      <w:pPr>
        <w:jc w:val="both"/>
        <w:ind w:left="1860" w:hanging="552"/>
        <w:spacing w:after="0" w:line="282" w:lineRule="auto"/>
        <w:tabs>
          <w:tab w:leader="none" w:pos="1840" w:val="left"/>
        </w:tabs>
        <w:rPr>
          <w:sz w:val="20"/>
          <w:szCs w:val="20"/>
          <w:color w:val="auto"/>
        </w:rPr>
      </w:pPr>
      <w:r>
        <w:rPr>
          <w:rFonts w:ascii="Times New Roman" w:cs="Times New Roman" w:eastAsia="Times New Roman" w:hAnsi="Times New Roman"/>
          <w:sz w:val="18"/>
          <w:szCs w:val="18"/>
          <w:color w:val="auto"/>
        </w:rPr>
        <w:t>9.3.8.</w:t>
        <w:tab/>
        <w:t>The possibility to condition all or some of the options or restricted shares’ vesting, granted to any option or restricted shares recipient, on achieving goals, including long-term goals, which will be determined on the allotment date.</w:t>
      </w:r>
    </w:p>
    <w:p>
      <w:pPr>
        <w:spacing w:after="0" w:line="162" w:lineRule="exact"/>
        <w:rPr>
          <w:sz w:val="20"/>
          <w:szCs w:val="20"/>
          <w:color w:val="auto"/>
        </w:rPr>
      </w:pPr>
    </w:p>
    <w:p>
      <w:pPr>
        <w:jc w:val="both"/>
        <w:ind w:left="1860" w:hanging="552"/>
        <w:spacing w:after="0" w:line="266" w:lineRule="auto"/>
        <w:tabs>
          <w:tab w:leader="none" w:pos="1840" w:val="left"/>
        </w:tabs>
        <w:rPr>
          <w:sz w:val="20"/>
          <w:szCs w:val="20"/>
          <w:color w:val="auto"/>
        </w:rPr>
      </w:pPr>
      <w:r>
        <w:rPr>
          <w:rFonts w:ascii="Times New Roman" w:cs="Times New Roman" w:eastAsia="Times New Roman" w:hAnsi="Times New Roman"/>
          <w:sz w:val="18"/>
          <w:szCs w:val="18"/>
          <w:color w:val="auto"/>
        </w:rPr>
        <w:t>9.3.9.</w:t>
        <w:tab/>
        <w:t>The Board of Directors may accelerate the vesting period of options or restricted shares, in whole or in part, including in the event that control of the Company changes or Company shares are delisted from any exchange, all according to the option plan or the Equity Based Compensation agreement of any office holder.</w:t>
      </w:r>
    </w:p>
    <w:p>
      <w:pPr>
        <w:spacing w:after="0" w:line="176" w:lineRule="exact"/>
        <w:rPr>
          <w:sz w:val="20"/>
          <w:szCs w:val="20"/>
          <w:color w:val="auto"/>
        </w:rPr>
      </w:pPr>
    </w:p>
    <w:p>
      <w:pPr>
        <w:jc w:val="both"/>
        <w:ind w:left="1860" w:right="20" w:hanging="552"/>
        <w:spacing w:after="0" w:line="282" w:lineRule="auto"/>
        <w:rPr>
          <w:sz w:val="20"/>
          <w:szCs w:val="20"/>
          <w:color w:val="auto"/>
        </w:rPr>
      </w:pPr>
      <w:r>
        <w:rPr>
          <w:rFonts w:ascii="Times New Roman" w:cs="Times New Roman" w:eastAsia="Times New Roman" w:hAnsi="Times New Roman"/>
          <w:sz w:val="18"/>
          <w:szCs w:val="18"/>
          <w:color w:val="auto"/>
        </w:rPr>
        <w:t>9.3.10. The Equity Based Compensation plan will include conditions regarding an employee’s departure under different circumstances (switching between companies in the Group, resignation, dismissal, or death and disability).</w:t>
      </w:r>
    </w:p>
    <w:p>
      <w:pPr>
        <w:spacing w:after="0" w:line="162" w:lineRule="exact"/>
        <w:rPr>
          <w:sz w:val="20"/>
          <w:szCs w:val="20"/>
          <w:color w:val="auto"/>
        </w:rPr>
      </w:pPr>
    </w:p>
    <w:p>
      <w:pPr>
        <w:jc w:val="both"/>
        <w:ind w:left="1860" w:hanging="552"/>
        <w:spacing w:after="0" w:line="282" w:lineRule="auto"/>
        <w:rPr>
          <w:sz w:val="20"/>
          <w:szCs w:val="20"/>
          <w:color w:val="auto"/>
        </w:rPr>
      </w:pPr>
      <w:r>
        <w:rPr>
          <w:rFonts w:ascii="Times New Roman" w:cs="Times New Roman" w:eastAsia="Times New Roman" w:hAnsi="Times New Roman"/>
          <w:sz w:val="18"/>
          <w:szCs w:val="18"/>
          <w:color w:val="auto"/>
        </w:rPr>
        <w:t>9.3.11. The Equity Based Compensation plan will set forth terms to adapt the exercise price in the event of distributions, rights offerings, etc.</w:t>
      </w:r>
    </w:p>
    <w:p>
      <w:pPr>
        <w:spacing w:after="0" w:line="162" w:lineRule="exact"/>
        <w:rPr>
          <w:sz w:val="20"/>
          <w:szCs w:val="20"/>
          <w:color w:val="auto"/>
        </w:rPr>
      </w:pPr>
    </w:p>
    <w:p>
      <w:pPr>
        <w:jc w:val="both"/>
        <w:ind w:left="1860" w:hanging="552"/>
        <w:spacing w:after="0" w:line="261" w:lineRule="auto"/>
        <w:rPr>
          <w:sz w:val="20"/>
          <w:szCs w:val="20"/>
          <w:color w:val="auto"/>
        </w:rPr>
      </w:pPr>
      <w:r>
        <w:rPr>
          <w:rFonts w:ascii="Times New Roman" w:cs="Times New Roman" w:eastAsia="Times New Roman" w:hAnsi="Times New Roman"/>
          <w:sz w:val="18"/>
          <w:szCs w:val="18"/>
          <w:color w:val="auto"/>
        </w:rPr>
        <w:t>9.3.12. The consideration for exercising the options may be performed in a cashless mechanism, whereby the offeree is entitled only to receive such number of shares from the Company reflecting the economic value that the offeree would have received from exercising the stock options according to the shares’ market price, less their exercise price. The Board of Directors may adopt the mechanism at any time.</w:t>
      </w:r>
    </w:p>
    <w:p>
      <w:pPr>
        <w:spacing w:after="0" w:line="176" w:lineRule="exact"/>
        <w:rPr>
          <w:sz w:val="20"/>
          <w:szCs w:val="20"/>
          <w:color w:val="auto"/>
        </w:rPr>
      </w:pPr>
    </w:p>
    <w:p>
      <w:pPr>
        <w:ind w:left="460" w:hanging="452"/>
        <w:spacing w:after="0"/>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Related Social Benefits and Rewards</w:t>
      </w:r>
    </w:p>
    <w:p>
      <w:pPr>
        <w:spacing w:after="0" w:line="31" w:lineRule="exact"/>
        <w:rPr>
          <w:rFonts w:ascii="Times New Roman" w:cs="Times New Roman" w:eastAsia="Times New Roman" w:hAnsi="Times New Roman"/>
          <w:sz w:val="18"/>
          <w:szCs w:val="18"/>
          <w:color w:val="auto"/>
        </w:rPr>
      </w:pPr>
    </w:p>
    <w:p>
      <w:pPr>
        <w:ind w:left="460" w:right="7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office holder’s terms of office or employment include provisions in connection with the matters set forth below, such terms will be determined according to the relevant considerations and criteria in Sections 2, 3, and 5 above, and according to the terms set forth below:</w:t>
      </w:r>
    </w:p>
    <w:p>
      <w:pPr>
        <w:spacing w:after="0" w:line="122" w:lineRule="exact"/>
        <w:rPr>
          <w:sz w:val="20"/>
          <w:szCs w:val="20"/>
          <w:color w:val="auto"/>
        </w:rPr>
      </w:pPr>
    </w:p>
    <w:p>
      <w:pPr>
        <w:ind w:left="460"/>
        <w:spacing w:after="0"/>
        <w:tabs>
          <w:tab w:leader="none" w:pos="12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auto"/>
        </w:rPr>
        <w:t>The Main Related Benefits Granted to All Office Holders (Not Including Directors)</w:t>
      </w:r>
      <w:r>
        <w:rPr>
          <w:rFonts w:ascii="Times New Roman" w:cs="Times New Roman" w:eastAsia="Times New Roman" w:hAnsi="Times New Roman"/>
          <w:sz w:val="28"/>
          <w:szCs w:val="28"/>
          <w:color w:val="auto"/>
          <w:strike w:val="1"/>
          <w:vertAlign w:val="superscript"/>
        </w:rPr>
        <w:t>11</w:t>
      </w:r>
      <w:r>
        <w:rPr>
          <w:rFonts w:ascii="Times New Roman" w:cs="Times New Roman" w:eastAsia="Times New Roman" w:hAnsi="Times New Roman"/>
          <w:sz w:val="28"/>
          <w:szCs w:val="28"/>
          <w:u w:val="single" w:color="auto"/>
          <w:color w:val="auto"/>
          <w:vertAlign w:val="superscript"/>
        </w:rPr>
        <w:t>14</w:t>
      </w:r>
    </w:p>
    <w:p>
      <w:pPr>
        <w:jc w:val="both"/>
        <w:ind w:left="2460" w:right="20" w:hanging="1160"/>
        <w:spacing w:after="0" w:line="258" w:lineRule="auto"/>
        <w:tabs>
          <w:tab w:leader="none" w:pos="244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8"/>
          <w:szCs w:val="18"/>
          <w:color w:val="auto"/>
        </w:rPr>
        <w:t>The office holders employed at the Company are entitled to the Company’s standard provisions to an executive insurance policy, disability insurance, and a study fund.</w:t>
      </w:r>
    </w:p>
    <w:p>
      <w:pPr>
        <w:spacing w:after="0" w:line="183" w:lineRule="exact"/>
        <w:rPr>
          <w:sz w:val="20"/>
          <w:szCs w:val="20"/>
          <w:color w:val="auto"/>
        </w:rPr>
      </w:pPr>
    </w:p>
    <w:p>
      <w:pPr>
        <w:jc w:val="both"/>
        <w:ind w:left="2460" w:hanging="1160"/>
        <w:spacing w:after="0" w:line="266" w:lineRule="auto"/>
        <w:tabs>
          <w:tab w:leader="none" w:pos="244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8"/>
          <w:szCs w:val="18"/>
          <w:color w:val="auto"/>
        </w:rPr>
        <w:t>Company office holders are entitled to sick days, vacation days, and convalescence days, according to the Company’s standard policy for senior employees and according to their seniority in the Company, and in any case, not less than that set forth in any applicable statute and not more than 28 vacation days for every work year.</w:t>
      </w:r>
    </w:p>
    <w:p>
      <w:pPr>
        <w:spacing w:after="0" w:line="176" w:lineRule="exact"/>
        <w:rPr>
          <w:sz w:val="20"/>
          <w:szCs w:val="20"/>
          <w:color w:val="auto"/>
        </w:rPr>
      </w:pPr>
    </w:p>
    <w:p>
      <w:pPr>
        <w:jc w:val="both"/>
        <w:ind w:left="2460" w:hanging="1160"/>
        <w:spacing w:after="0" w:line="258" w:lineRule="auto"/>
        <w:tabs>
          <w:tab w:leader="none" w:pos="244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8"/>
          <w:szCs w:val="18"/>
          <w:color w:val="auto"/>
        </w:rPr>
        <w:t>The Company may provide each office holder with a vehicle to perform their duties. If such a vehicle is made available to an office holder, the Company will bear the fixed expenses of maintaining the vehicle, according to the Company’s procedures. The office holder will bear the tax imposed due to the benefit to the office holder resulting from the use of the vehicle, and must also pay all fines or tickets imposed due to using the vehicle, if any, but the Company may gross up such tax and/or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0712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strike w:val="1"/>
          <w:vertAlign w:val="superscript"/>
        </w:rPr>
        <w:t>11</w:t>
      </w:r>
      <w:r>
        <w:rPr>
          <w:rFonts w:ascii="Times New Roman" w:cs="Times New Roman" w:eastAsia="Times New Roman" w:hAnsi="Times New Roman"/>
          <w:sz w:val="29"/>
          <w:szCs w:val="29"/>
          <w:u w:val="single" w:color="auto"/>
          <w:color w:val="auto"/>
          <w:vertAlign w:val="superscript"/>
        </w:rPr>
        <w:t>14</w:t>
      </w:r>
      <w:r>
        <w:rPr>
          <w:rFonts w:ascii="Times New Roman" w:cs="Times New Roman" w:eastAsia="Times New Roman" w:hAnsi="Times New Roman"/>
          <w:sz w:val="18"/>
          <w:szCs w:val="18"/>
          <w:color w:val="auto"/>
        </w:rPr>
        <w:t xml:space="preserve"> That said in this policy does not detract from granting a material benefit to the officers.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5" w:name="page46"/>
    <w:bookmarkEnd w:id="45"/>
    <w:p>
      <w:pPr>
        <w:jc w:val="both"/>
        <w:ind w:left="1940" w:hanging="1160"/>
        <w:spacing w:after="0" w:line="261" w:lineRule="auto"/>
        <w:tabs>
          <w:tab w:leader="none" w:pos="1920" w:val="left"/>
        </w:tabs>
        <w:rPr>
          <w:sz w:val="20"/>
          <w:szCs w:val="20"/>
          <w:color w:val="auto"/>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8"/>
          <w:szCs w:val="18"/>
          <w:color w:val="auto"/>
        </w:rPr>
        <w:t>If the office holder’s office and employment terms include a mobile phone, the office holder will be entitled to reimbursement of mobile phone related expenses, as the Company may decide and in its exclusive discretion. The office holder will pay any tax that may apply to such office holder due to the use of the mobile phone, but the Company may gross up such tax and/or expenses.</w:t>
      </w:r>
    </w:p>
    <w:p>
      <w:pPr>
        <w:spacing w:after="0" w:line="180" w:lineRule="exact"/>
        <w:rPr>
          <w:sz w:val="20"/>
          <w:szCs w:val="20"/>
          <w:color w:val="auto"/>
        </w:rPr>
      </w:pPr>
    </w:p>
    <w:p>
      <w:pPr>
        <w:jc w:val="both"/>
        <w:ind w:left="1940" w:hanging="1160"/>
        <w:spacing w:after="0" w:line="266" w:lineRule="auto"/>
        <w:tabs>
          <w:tab w:leader="none" w:pos="192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8"/>
          <w:szCs w:val="18"/>
          <w:color w:val="auto"/>
        </w:rPr>
        <w:t>If the office holder’s office and employment terms include reimbursement of expenses, the office holder will be entitled to be reimbursed for the reasonable expenses incurred while performing such office holder’s job, against receipts, in accordance with the Company’s policy.</w:t>
      </w:r>
    </w:p>
    <w:p>
      <w:pPr>
        <w:spacing w:after="0" w:line="176" w:lineRule="exact"/>
        <w:rPr>
          <w:sz w:val="20"/>
          <w:szCs w:val="20"/>
          <w:color w:val="auto"/>
        </w:rPr>
      </w:pPr>
    </w:p>
    <w:p>
      <w:pPr>
        <w:jc w:val="both"/>
        <w:ind w:left="1940" w:hanging="1160"/>
        <w:spacing w:after="0" w:line="282" w:lineRule="auto"/>
        <w:tabs>
          <w:tab w:leader="none" w:pos="1920" w:val="left"/>
        </w:tabs>
        <w:rPr>
          <w:sz w:val="20"/>
          <w:szCs w:val="20"/>
          <w:color w:val="auto"/>
        </w:rPr>
      </w:pPr>
      <w:r>
        <w:rPr>
          <w:rFonts w:ascii="Times New Roman" w:cs="Times New Roman" w:eastAsia="Times New Roman" w:hAnsi="Times New Roman"/>
          <w:sz w:val="18"/>
          <w:szCs w:val="18"/>
          <w:color w:val="auto"/>
        </w:rPr>
        <w:t>10.1.6.</w:t>
      </w:r>
      <w:r>
        <w:rPr>
          <w:sz w:val="20"/>
          <w:szCs w:val="20"/>
          <w:color w:val="auto"/>
        </w:rPr>
        <w:tab/>
      </w:r>
      <w:r>
        <w:rPr>
          <w:rFonts w:ascii="Times New Roman" w:cs="Times New Roman" w:eastAsia="Times New Roman" w:hAnsi="Times New Roman"/>
          <w:sz w:val="18"/>
          <w:szCs w:val="18"/>
          <w:color w:val="auto"/>
        </w:rPr>
        <w:t>If the office and employment terms include living expenses abroad for overseas travel, the Company will pay the overseas living expenses for the office holder throughout their overseas stay for work purposes, according to Company procedures.</w:t>
      </w:r>
    </w:p>
    <w:p>
      <w:pPr>
        <w:spacing w:after="0" w:line="162" w:lineRule="exact"/>
        <w:rPr>
          <w:sz w:val="20"/>
          <w:szCs w:val="20"/>
          <w:color w:val="auto"/>
        </w:rPr>
      </w:pPr>
    </w:p>
    <w:p>
      <w:pPr>
        <w:jc w:val="both"/>
        <w:ind w:left="1940" w:hanging="1160"/>
        <w:spacing w:after="0" w:line="265" w:lineRule="auto"/>
        <w:tabs>
          <w:tab w:leader="none" w:pos="192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8"/>
          <w:szCs w:val="18"/>
          <w:color w:val="auto"/>
        </w:rPr>
        <w:t>Company office holders may be entitled, in accordance with and subject to such office holder’s personal employment terms, to full severance pay upon the end of the employee- employer relationship, for any reason whatsoever, including resignation, and excluding dismissal “under serious circumstances”, as defined below. Alternatively, office holders may be entitled to severance pay under Section 14 of the Severance Pay Law, 1963</w:t>
      </w:r>
      <w:r>
        <w:rPr>
          <w:rFonts w:ascii="Times New Roman" w:cs="Times New Roman" w:eastAsia="Times New Roman" w:hAnsi="Times New Roman"/>
          <w:sz w:val="29"/>
          <w:szCs w:val="29"/>
          <w:color w:val="auto"/>
          <w:strike w:val="1"/>
          <w:vertAlign w:val="superscript"/>
        </w:rPr>
        <w:t>12</w:t>
      </w:r>
      <w:r>
        <w:rPr>
          <w:rFonts w:ascii="Times New Roman" w:cs="Times New Roman" w:eastAsia="Times New Roman" w:hAnsi="Times New Roman"/>
          <w:sz w:val="29"/>
          <w:szCs w:val="29"/>
          <w:u w:val="single" w:color="auto"/>
          <w:color w:val="auto"/>
          <w:vertAlign w:val="superscript"/>
        </w:rPr>
        <w:t>15</w:t>
      </w:r>
      <w:r>
        <w:rPr>
          <w:rFonts w:ascii="Times New Roman" w:cs="Times New Roman" w:eastAsia="Times New Roman" w:hAnsi="Times New Roman"/>
          <w:sz w:val="18"/>
          <w:szCs w:val="18"/>
          <w:color w:val="auto"/>
        </w:rPr>
        <w:t>.</w:t>
      </w:r>
    </w:p>
    <w:p>
      <w:pPr>
        <w:spacing w:after="0" w:line="26" w:lineRule="exact"/>
        <w:rPr>
          <w:sz w:val="20"/>
          <w:szCs w:val="20"/>
          <w:color w:val="auto"/>
        </w:rPr>
      </w:pPr>
    </w:p>
    <w:p>
      <w:pPr>
        <w:ind w:left="780"/>
        <w:spacing w:after="0"/>
        <w:tabs>
          <w:tab w:leader="none" w:pos="1920" w:val="left"/>
        </w:tabs>
        <w:rPr>
          <w:sz w:val="20"/>
          <w:szCs w:val="20"/>
          <w:color w:val="auto"/>
        </w:rPr>
      </w:pPr>
      <w:r>
        <w:rPr>
          <w:rFonts w:ascii="Times New Roman" w:cs="Times New Roman" w:eastAsia="Times New Roman" w:hAnsi="Times New Roman"/>
          <w:sz w:val="18"/>
          <w:szCs w:val="18"/>
          <w:color w:val="auto"/>
        </w:rPr>
        <w:t>10.1.8.</w:t>
      </w:r>
      <w:r>
        <w:rPr>
          <w:sz w:val="20"/>
          <w:szCs w:val="20"/>
          <w:color w:val="auto"/>
        </w:rPr>
        <w:tab/>
      </w:r>
      <w:r>
        <w:rPr>
          <w:rFonts w:ascii="Times New Roman" w:cs="Times New Roman" w:eastAsia="Times New Roman" w:hAnsi="Times New Roman"/>
          <w:sz w:val="18"/>
          <w:szCs w:val="18"/>
          <w:color w:val="auto"/>
        </w:rPr>
        <w:t>Subject to the Compensation Committee’s approval, the Company may grant to office holders additional benefits, not to exceed</w:t>
      </w:r>
    </w:p>
    <w:p>
      <w:pPr>
        <w:spacing w:after="0" w:line="2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10% of the monthly cost of such office holder’s relevant fixed component (annualized).</w:t>
      </w:r>
    </w:p>
    <w:p>
      <w:pPr>
        <w:spacing w:after="0" w:line="207" w:lineRule="exact"/>
        <w:rPr>
          <w:sz w:val="20"/>
          <w:szCs w:val="20"/>
          <w:color w:val="auto"/>
        </w:rPr>
      </w:pPr>
    </w:p>
    <w:p>
      <w:pPr>
        <w:jc w:val="both"/>
        <w:ind w:left="1940" w:hanging="1160"/>
        <w:spacing w:after="0" w:line="261" w:lineRule="auto"/>
        <w:tabs>
          <w:tab w:leader="none" w:pos="1920" w:val="left"/>
        </w:tabs>
        <w:rPr>
          <w:sz w:val="20"/>
          <w:szCs w:val="20"/>
          <w:color w:val="auto"/>
        </w:rPr>
      </w:pPr>
      <w:r>
        <w:rPr>
          <w:rFonts w:ascii="Times New Roman" w:cs="Times New Roman" w:eastAsia="Times New Roman" w:hAnsi="Times New Roman"/>
          <w:sz w:val="18"/>
          <w:szCs w:val="18"/>
          <w:color w:val="auto"/>
        </w:rPr>
        <w:t>10.1.9.</w:t>
      </w:r>
      <w:r>
        <w:rPr>
          <w:sz w:val="20"/>
          <w:szCs w:val="20"/>
          <w:color w:val="auto"/>
        </w:rPr>
        <w:tab/>
      </w:r>
      <w:r>
        <w:rPr>
          <w:rFonts w:ascii="Times New Roman" w:cs="Times New Roman" w:eastAsia="Times New Roman" w:hAnsi="Times New Roman"/>
          <w:sz w:val="18"/>
          <w:szCs w:val="18"/>
          <w:color w:val="auto"/>
        </w:rPr>
        <w:t xml:space="preserve">Notwithstanding anything to the contrary in this Section 10.1, office holders </w:t>
      </w:r>
      <w:r>
        <w:rPr>
          <w:rFonts w:ascii="Times New Roman" w:cs="Times New Roman" w:eastAsia="Times New Roman" w:hAnsi="Times New Roman"/>
          <w:sz w:val="18"/>
          <w:szCs w:val="18"/>
          <w:color w:val="auto"/>
          <w:strike w:val="1"/>
        </w:rPr>
        <w:t>residing outside of Israel</w:t>
      </w:r>
      <w:r>
        <w:rPr>
          <w:rFonts w:ascii="Times New Roman" w:cs="Times New Roman" w:eastAsia="Times New Roman" w:hAnsi="Times New Roman"/>
          <w:sz w:val="18"/>
          <w:szCs w:val="18"/>
          <w:u w:val="single" w:color="auto"/>
          <w:color w:val="auto"/>
        </w:rPr>
        <w:t>relocating to another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country</w:t>
      </w:r>
      <w:r>
        <w:rPr>
          <w:rFonts w:ascii="Times New Roman" w:cs="Times New Roman" w:eastAsia="Times New Roman" w:hAnsi="Times New Roman"/>
          <w:sz w:val="18"/>
          <w:szCs w:val="18"/>
          <w:color w:val="auto"/>
        </w:rPr>
        <w:t xml:space="preserve"> will be entitled to related benefits, including as customary in the country of residence of such officer, and they will be entitled to reimbursement of expenses for such relocation, mutatis mutandis and per the discretion of the Compensation Committee and Board of Directors, 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3081020</wp:posOffset>
            </wp:positionH>
            <wp:positionV relativeFrom="paragraph">
              <wp:posOffset>-173990</wp:posOffset>
            </wp:positionV>
            <wp:extent cx="9620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62025" cy="8890"/>
                    </a:xfrm>
                    <a:prstGeom prst="rect">
                      <a:avLst/>
                    </a:prstGeom>
                    <a:noFill/>
                  </pic:spPr>
                </pic:pic>
              </a:graphicData>
            </a:graphic>
          </wp:anchor>
        </w:drawing>
      </w:r>
    </w:p>
    <w:p>
      <w:pPr>
        <w:spacing w:after="0" w:line="173" w:lineRule="exact"/>
        <w:rPr>
          <w:sz w:val="20"/>
          <w:szCs w:val="20"/>
          <w:color w:val="auto"/>
        </w:rPr>
      </w:pPr>
    </w:p>
    <w:p>
      <w:pPr>
        <w:ind w:left="460"/>
        <w:spacing w:after="0"/>
        <w:tabs>
          <w:tab w:leader="none" w:pos="128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auto"/>
        </w:rPr>
        <w:t>Insurance and Indemnity</w:t>
      </w:r>
    </w:p>
    <w:p>
      <w:pPr>
        <w:spacing w:after="0" w:line="239"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The Company has obtained insurance to cover its present and/or future directors’ and office holders’ liability, from time to time, including the directors who are the controlling shareholder or the controlling shareholder’s relatives.</w:t>
      </w:r>
    </w:p>
    <w:p>
      <w:pPr>
        <w:spacing w:after="0" w:line="189" w:lineRule="exact"/>
        <w:rPr>
          <w:sz w:val="20"/>
          <w:szCs w:val="20"/>
          <w:color w:val="auto"/>
        </w:rPr>
      </w:pPr>
    </w:p>
    <w:p>
      <w:pPr>
        <w:jc w:val="both"/>
        <w:ind w:left="1300"/>
        <w:spacing w:after="0" w:line="264" w:lineRule="auto"/>
        <w:rPr>
          <w:sz w:val="20"/>
          <w:szCs w:val="20"/>
          <w:color w:val="auto"/>
        </w:rPr>
      </w:pPr>
      <w:r>
        <w:rPr>
          <w:rFonts w:ascii="Times New Roman" w:cs="Times New Roman" w:eastAsia="Times New Roman" w:hAnsi="Times New Roman"/>
          <w:sz w:val="18"/>
          <w:szCs w:val="18"/>
          <w:color w:val="auto"/>
        </w:rPr>
        <w:t>Without derogating from the provisions of any applicable law, the Compensation Committee may approve, from time to time and as long as this Compensation Policy is effective, the Company’s entrance into an insurance policy to cover the office holders’ and directors’ liability, for present or future office holders and directors in the Company and in the Company’s subsidiaries/subsidiary partnerships from time to time (including runoff insurance), as long as the total coverage under the policy for a particular insurance period does not exceed USD 45,000,000 (and if the Company has made a public offering, and/or is listed for trading in an exchange, outside of Israel, USD 120,000,000) per claim and for the insurance period, provided that such insurance is made on market terms and may not substantially affect the Company’s profitability, property, or liabilities, and for premiums and with deductibles that are on market terms at such times which may not have a material effect on the Company’s profitability, property, or liabilities, and according to an offer received from a party independent of the Company.</w:t>
      </w:r>
    </w:p>
    <w:p>
      <w:pPr>
        <w:spacing w:after="0" w:line="192" w:lineRule="exact"/>
        <w:rPr>
          <w:sz w:val="20"/>
          <w:szCs w:val="20"/>
          <w:color w:val="auto"/>
        </w:rPr>
      </w:pPr>
    </w:p>
    <w:p>
      <w:pPr>
        <w:jc w:val="both"/>
        <w:ind w:left="1300"/>
        <w:spacing w:after="0" w:line="297" w:lineRule="auto"/>
        <w:rPr>
          <w:sz w:val="20"/>
          <w:szCs w:val="20"/>
          <w:color w:val="auto"/>
        </w:rPr>
      </w:pPr>
      <w:r>
        <w:rPr>
          <w:rFonts w:ascii="Times New Roman" w:cs="Times New Roman" w:eastAsia="Times New Roman" w:hAnsi="Times New Roman"/>
          <w:sz w:val="18"/>
          <w:szCs w:val="18"/>
          <w:color w:val="auto"/>
        </w:rPr>
        <w:t>Indemnity undertakings according to the provisions of the Company’s articles of association, in the same form and terms for all Company office holders, including the directors who are the controlling shareholder or the controlling shareholder’s relatives.</w:t>
      </w:r>
    </w:p>
    <w:p>
      <w:pPr>
        <w:spacing w:after="0" w:line="163" w:lineRule="exact"/>
        <w:rPr>
          <w:sz w:val="20"/>
          <w:szCs w:val="20"/>
          <w:color w:val="auto"/>
        </w:rPr>
      </w:pPr>
    </w:p>
    <w:p>
      <w:pPr>
        <w:jc w:val="both"/>
        <w:ind w:left="1300"/>
        <w:spacing w:after="0" w:line="274" w:lineRule="auto"/>
        <w:rPr>
          <w:sz w:val="20"/>
          <w:szCs w:val="20"/>
          <w:color w:val="auto"/>
        </w:rPr>
      </w:pPr>
      <w:r>
        <w:rPr>
          <w:rFonts w:ascii="Times New Roman" w:cs="Times New Roman" w:eastAsia="Times New Roman" w:hAnsi="Times New Roman"/>
          <w:sz w:val="18"/>
          <w:szCs w:val="18"/>
          <w:color w:val="auto"/>
        </w:rPr>
        <w:t>According to the provisions of the Company’s articles of association, the maximum aggregate amount in which the Company may indemnify all office holders may not exceed 25% of the Company’s equity, according to the Company’s most recent financial statements on the date of actual indemnification payment.</w:t>
      </w:r>
    </w:p>
    <w:p>
      <w:pPr>
        <w:spacing w:after="0" w:line="196"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Subject to the provisions of law, the Company shall be allowed to release the office holders and directors (excluding those that are controlling shareholders or their relatives, if any) in advance from any liability toward it for any damage caused and/or to be caused to it, whether directly or indirectly, due to the breach of the duty of care toward it in actions performed in good faith in their capacity as office holders in the Company and/or in a subsidiary of the Company and/or in an affiliated company of the Company, as may be from time to time. The foregoing shall not apply with regard to breach of the duty of care in distribution, as defined in the Companies Law, and also with regard to breach of the duty of care in a resolution or transaction in which the controlling shareholder or any office holder in the Company (also an office holder other than the one who was issued the release) including a personal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10712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349"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29"/>
          <w:szCs w:val="29"/>
          <w:color w:val="auto"/>
          <w:strike w:val="1"/>
          <w:vertAlign w:val="superscript"/>
        </w:rPr>
        <w:t>12</w:t>
      </w:r>
      <w:r>
        <w:rPr>
          <w:rFonts w:ascii="Times New Roman" w:cs="Times New Roman" w:eastAsia="Times New Roman" w:hAnsi="Times New Roman"/>
          <w:sz w:val="29"/>
          <w:szCs w:val="29"/>
          <w:u w:val="single" w:color="auto"/>
          <w:color w:val="auto"/>
          <w:vertAlign w:val="superscript"/>
        </w:rPr>
        <w:t>15</w:t>
      </w:r>
      <w:r>
        <w:rPr>
          <w:rFonts w:ascii="Times New Roman" w:cs="Times New Roman" w:eastAsia="Times New Roman" w:hAnsi="Times New Roman"/>
          <w:sz w:val="18"/>
          <w:szCs w:val="18"/>
          <w:color w:val="auto"/>
        </w:rPr>
        <w:t xml:space="preserve"> As of the authorization of this policy, the Company’s serving officers are entitled to full severance upon the termination of the employee-employer relationship for any reason whatsoever, including following their resignation, and not including upon dismissal under “serious circumstances”.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6" w:name="page47"/>
    <w:bookmarkEnd w:id="46"/>
    <w:p>
      <w:pPr>
        <w:ind w:left="460" w:hanging="452"/>
        <w:spacing w:after="0"/>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Terms for end of tenure</w:t>
      </w:r>
    </w:p>
    <w:p>
      <w:pPr>
        <w:spacing w:after="0" w:line="229" w:lineRule="exact"/>
        <w:rPr>
          <w:rFonts w:ascii="Times New Roman" w:cs="Times New Roman" w:eastAsia="Times New Roman" w:hAnsi="Times New Roman"/>
          <w:sz w:val="18"/>
          <w:szCs w:val="18"/>
          <w:color w:val="auto"/>
        </w:rPr>
      </w:pPr>
    </w:p>
    <w:p>
      <w:pPr>
        <w:ind w:left="46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 holder will be entitled to advance notice of termination of employment, as set forth in the employment agreement or the service agreement between the Company and such office holder, in accordance with the below (and no less than the minimum required under any applicable law):</w:t>
      </w:r>
    </w:p>
    <w:p>
      <w:pPr>
        <w:spacing w:after="0" w:line="161" w:lineRule="exact"/>
        <w:rPr>
          <w:sz w:val="20"/>
          <w:szCs w:val="20"/>
          <w:color w:val="auto"/>
        </w:rPr>
      </w:pPr>
    </w:p>
    <w:tbl>
      <w:tblPr>
        <w:tblLayout w:type="fixed"/>
        <w:tblInd w:w="510" w:type="dxa"/>
        <w:tblCellMar>
          <w:top w:w="0" w:type="dxa"/>
          <w:left w:w="0" w:type="dxa"/>
          <w:bottom w:w="0" w:type="dxa"/>
          <w:right w:w="0" w:type="dxa"/>
        </w:tblCellMar>
      </w:tblPr>
      <w:tr>
        <w:trPr>
          <w:trHeight w:val="243"/>
        </w:trPr>
        <w:tc>
          <w:tcPr>
            <w:tcW w:w="6680" w:type="dxa"/>
            <w:vAlign w:val="bottom"/>
            <w:tcBorders>
              <w:top w:val="single" w:sz="8" w:color="auto"/>
              <w:left w:val="single" w:sz="8" w:color="auto"/>
              <w:right w:val="single" w:sz="8" w:color="auto"/>
            </w:tcBorders>
            <w:gridSpan w:val="3"/>
          </w:tcPr>
          <w:p>
            <w:pPr>
              <w:ind w:left="3020"/>
              <w:spacing w:after="0"/>
              <w:rPr>
                <w:sz w:val="20"/>
                <w:szCs w:val="20"/>
                <w:color w:val="auto"/>
              </w:rPr>
            </w:pPr>
            <w:r>
              <w:rPr>
                <w:rFonts w:ascii="Times New Roman" w:cs="Times New Roman" w:eastAsia="Times New Roman" w:hAnsi="Times New Roman"/>
                <w:sz w:val="18"/>
                <w:szCs w:val="18"/>
                <w:b w:val="1"/>
                <w:bCs w:val="1"/>
                <w:color w:val="auto"/>
              </w:rPr>
              <w:t>Job title</w:t>
            </w:r>
          </w:p>
        </w:tc>
        <w:tc>
          <w:tcPr>
            <w:tcW w:w="3000" w:type="dxa"/>
            <w:vAlign w:val="bottom"/>
            <w:tcBorders>
              <w:top w:val="single" w:sz="8" w:color="auto"/>
              <w:right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Maximum period</w:t>
            </w:r>
          </w:p>
        </w:tc>
      </w:tr>
      <w:tr>
        <w:trPr>
          <w:trHeight w:val="81"/>
        </w:trPr>
        <w:tc>
          <w:tcPr>
            <w:tcW w:w="3020" w:type="dxa"/>
            <w:vAlign w:val="bottom"/>
            <w:tcBorders>
              <w:left w:val="single" w:sz="8" w:color="auto"/>
              <w:bottom w:val="single" w:sz="8" w:color="auto"/>
            </w:tcBorders>
          </w:tcPr>
          <w:p>
            <w:pPr>
              <w:spacing w:after="0"/>
              <w:rPr>
                <w:sz w:val="7"/>
                <w:szCs w:val="7"/>
                <w:color w:val="auto"/>
              </w:rPr>
            </w:pPr>
          </w:p>
        </w:tc>
        <w:tc>
          <w:tcPr>
            <w:tcW w:w="640" w:type="dxa"/>
            <w:vAlign w:val="bottom"/>
            <w:tcBorders>
              <w:top w:val="single" w:sz="8" w:color="auto"/>
              <w:bottom w:val="single" w:sz="8" w:color="auto"/>
            </w:tcBorders>
          </w:tcPr>
          <w:p>
            <w:pPr>
              <w:spacing w:after="0"/>
              <w:rPr>
                <w:sz w:val="7"/>
                <w:szCs w:val="7"/>
                <w:color w:val="auto"/>
              </w:rPr>
            </w:pPr>
          </w:p>
        </w:tc>
        <w:tc>
          <w:tcPr>
            <w:tcW w:w="302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360" w:type="dxa"/>
            <w:vAlign w:val="bottom"/>
            <w:tcBorders>
              <w:top w:val="single" w:sz="8" w:color="auto"/>
              <w:bottom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r>
      <w:tr>
        <w:trPr>
          <w:trHeight w:val="257"/>
        </w:trPr>
        <w:tc>
          <w:tcPr>
            <w:tcW w:w="6680" w:type="dxa"/>
            <w:vAlign w:val="bottom"/>
            <w:tcBorders>
              <w:left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CEO</w:t>
            </w:r>
          </w:p>
        </w:tc>
        <w:tc>
          <w:tcPr>
            <w:tcW w:w="300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Up to 8 months</w:t>
            </w:r>
          </w:p>
        </w:tc>
      </w:tr>
      <w:tr>
        <w:trPr>
          <w:trHeight w:val="61"/>
        </w:trPr>
        <w:tc>
          <w:tcPr>
            <w:tcW w:w="3020" w:type="dxa"/>
            <w:vAlign w:val="bottom"/>
            <w:tcBorders>
              <w:left w:val="single" w:sz="8" w:color="auto"/>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02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r>
      <w:tr>
        <w:trPr>
          <w:trHeight w:val="257"/>
        </w:trPr>
        <w:tc>
          <w:tcPr>
            <w:tcW w:w="6680" w:type="dxa"/>
            <w:vAlign w:val="bottom"/>
            <w:tcBorders>
              <w:left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Office holders</w:t>
            </w:r>
          </w:p>
        </w:tc>
        <w:tc>
          <w:tcPr>
            <w:tcW w:w="300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Up to 6 months</w:t>
            </w:r>
          </w:p>
        </w:tc>
      </w:tr>
      <w:tr>
        <w:trPr>
          <w:trHeight w:val="61"/>
        </w:trPr>
        <w:tc>
          <w:tcPr>
            <w:tcW w:w="3020" w:type="dxa"/>
            <w:vAlign w:val="bottom"/>
            <w:tcBorders>
              <w:left w:val="single" w:sz="8" w:color="auto"/>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02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r>
    </w:tbl>
    <w:p>
      <w:pPr>
        <w:spacing w:after="0" w:line="198" w:lineRule="exact"/>
        <w:rPr>
          <w:sz w:val="20"/>
          <w:szCs w:val="20"/>
          <w:color w:val="auto"/>
        </w:rPr>
      </w:pPr>
    </w:p>
    <w:p>
      <w:pPr>
        <w:jc w:val="both"/>
        <w:ind w:left="1300" w:hanging="836"/>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The prior notice period will be determined according to the relevant considerations and criteria in Sections 2, 3, and 5 above, and will be approved by the Company’s competent organs, according to the provisions of any applicable law.</w:t>
      </w:r>
    </w:p>
    <w:p>
      <w:pPr>
        <w:spacing w:after="0" w:line="162" w:lineRule="exact"/>
        <w:rPr>
          <w:sz w:val="20"/>
          <w:szCs w:val="20"/>
          <w:color w:val="auto"/>
        </w:rPr>
      </w:pPr>
    </w:p>
    <w:p>
      <w:pPr>
        <w:jc w:val="both"/>
        <w:ind w:left="1300" w:hanging="836"/>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The Company’s office holders may be entitled to all benefits under their respective employment agreements or to the redemption of such benefits, as though they had continued being Company employees, even if the prior notice period (or part of it) is redeemed.</w:t>
      </w:r>
    </w:p>
    <w:p>
      <w:pPr>
        <w:spacing w:after="0" w:line="162" w:lineRule="exact"/>
        <w:rPr>
          <w:sz w:val="20"/>
          <w:szCs w:val="20"/>
          <w:color w:val="auto"/>
        </w:rPr>
      </w:pPr>
    </w:p>
    <w:p>
      <w:pPr>
        <w:jc w:val="both"/>
        <w:ind w:left="1300" w:hanging="836"/>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During the prior notice period, the office holder must continue to perform such office holder’s job at the Company (subject to the Company’s decision).</w:t>
      </w:r>
    </w:p>
    <w:p>
      <w:pPr>
        <w:spacing w:after="0" w:line="162" w:lineRule="exact"/>
        <w:rPr>
          <w:sz w:val="20"/>
          <w:szCs w:val="20"/>
          <w:color w:val="auto"/>
        </w:rPr>
      </w:pPr>
    </w:p>
    <w:p>
      <w:pPr>
        <w:jc w:val="both"/>
        <w:ind w:left="1300" w:hanging="836"/>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The office holders’ terms of office and employment will include a provision under which the Company may dismiss the office holder without prior notice in cases that revoke such officer holder’s entitlement to severance pay, which include embezzlement, theft, a criminal offense involving moral turpitude, a violation of the duty of confidence and/or noncompete clause, a severe disciplinary violation, a breach of trust, and a fundamental breach of the agreement (“Dismissal Under Serious Circumstances”).</w:t>
      </w:r>
    </w:p>
    <w:p>
      <w:pPr>
        <w:spacing w:after="0" w:line="180" w:lineRule="exact"/>
        <w:rPr>
          <w:sz w:val="20"/>
          <w:szCs w:val="20"/>
          <w:color w:val="auto"/>
        </w:rPr>
      </w:pPr>
    </w:p>
    <w:p>
      <w:pPr>
        <w:ind w:left="460"/>
        <w:spacing w:after="0"/>
        <w:tabs>
          <w:tab w:leader="none" w:pos="128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u w:val="single" w:color="auto"/>
          <w:color w:val="auto"/>
        </w:rPr>
        <w:t>Retirement bonus</w:t>
      </w:r>
    </w:p>
    <w:p>
      <w:pPr>
        <w:spacing w:after="0" w:line="225" w:lineRule="exact"/>
        <w:rPr>
          <w:sz w:val="20"/>
          <w:szCs w:val="20"/>
          <w:color w:val="auto"/>
        </w:rPr>
      </w:pPr>
    </w:p>
    <w:p>
      <w:pPr>
        <w:jc w:val="both"/>
        <w:ind w:left="1940" w:hanging="1160"/>
        <w:spacing w:after="0" w:line="258" w:lineRule="auto"/>
        <w:tabs>
          <w:tab w:leader="none" w:pos="1920" w:val="left"/>
        </w:tabs>
        <w:rPr>
          <w:sz w:val="20"/>
          <w:szCs w:val="20"/>
          <w:color w:val="auto"/>
        </w:rPr>
      </w:pPr>
      <w:r>
        <w:rPr>
          <w:rFonts w:ascii="Times New Roman" w:cs="Times New Roman" w:eastAsia="Times New Roman" w:hAnsi="Times New Roman"/>
          <w:sz w:val="18"/>
          <w:szCs w:val="18"/>
          <w:color w:val="auto"/>
        </w:rPr>
        <w:t>11.5.1.</w:t>
      </w:r>
      <w:r>
        <w:rPr>
          <w:sz w:val="20"/>
          <w:szCs w:val="20"/>
          <w:color w:val="auto"/>
        </w:rPr>
        <w:tab/>
      </w:r>
      <w:r>
        <w:rPr>
          <w:rFonts w:ascii="Times New Roman" w:cs="Times New Roman" w:eastAsia="Times New Roman" w:hAnsi="Times New Roman"/>
          <w:sz w:val="18"/>
          <w:szCs w:val="18"/>
          <w:color w:val="auto"/>
        </w:rPr>
        <w:t>In addition to the prior notice period, the Company may approve a retirement/adjustment bonus to the CEO and/or office holders, in an amount not to exceed six monthly salaries, in the event of dismissal by the Company (excluding Dismissal Under Serious Circumstances), or their resignation, as the case may be. Only an office holder’s monthly salary will be taken into consideration for the purpose of a retirement bonus (i.e. benefits, other grants and bonuses, etc. are excluded), multiplied by the number of months granted to that office holder.</w:t>
      </w:r>
    </w:p>
    <w:p>
      <w:pPr>
        <w:spacing w:after="0" w:line="197" w:lineRule="exact"/>
        <w:rPr>
          <w:sz w:val="20"/>
          <w:szCs w:val="20"/>
          <w:color w:val="auto"/>
        </w:rPr>
      </w:pPr>
    </w:p>
    <w:p>
      <w:pPr>
        <w:jc w:val="both"/>
        <w:ind w:left="1940" w:hanging="1160"/>
        <w:spacing w:after="0" w:line="261" w:lineRule="auto"/>
        <w:tabs>
          <w:tab w:leader="none" w:pos="1920" w:val="left"/>
        </w:tabs>
        <w:rPr>
          <w:sz w:val="20"/>
          <w:szCs w:val="20"/>
          <w:color w:val="auto"/>
        </w:rPr>
      </w:pPr>
      <w:r>
        <w:rPr>
          <w:rFonts w:ascii="Times New Roman" w:cs="Times New Roman" w:eastAsia="Times New Roman" w:hAnsi="Times New Roman"/>
          <w:sz w:val="18"/>
          <w:szCs w:val="18"/>
          <w:color w:val="auto"/>
        </w:rPr>
        <w:t>11.5.2.</w:t>
      </w:r>
      <w:r>
        <w:rPr>
          <w:sz w:val="20"/>
          <w:szCs w:val="20"/>
          <w:color w:val="auto"/>
        </w:rPr>
        <w:tab/>
      </w:r>
      <w:r>
        <w:rPr>
          <w:rFonts w:ascii="Times New Roman" w:cs="Times New Roman" w:eastAsia="Times New Roman" w:hAnsi="Times New Roman"/>
          <w:sz w:val="18"/>
          <w:szCs w:val="18"/>
          <w:color w:val="auto"/>
        </w:rPr>
        <w:t>The retirement bonuses will be brought before the Company’s competent organs for approval, in accordance with applicable law, before entry into the employment agreement or the service agreement, and they will be determined according to the relevant considerations and criteria set forth in Sections 2, 3, 5 above, and subject to the office holders’ satisfaction of all the following conditions:</w:t>
      </w:r>
    </w:p>
    <w:p>
      <w:pPr>
        <w:spacing w:after="0" w:line="193" w:lineRule="exact"/>
        <w:rPr>
          <w:sz w:val="20"/>
          <w:szCs w:val="20"/>
          <w:color w:val="auto"/>
        </w:rPr>
      </w:pPr>
    </w:p>
    <w:p>
      <w:pPr>
        <w:ind w:left="1960"/>
        <w:spacing w:after="0"/>
        <w:tabs>
          <w:tab w:leader="none" w:pos="3100" w:val="left"/>
        </w:tabs>
        <w:rPr>
          <w:sz w:val="20"/>
          <w:szCs w:val="20"/>
          <w:color w:val="auto"/>
        </w:rPr>
      </w:pPr>
      <w:r>
        <w:rPr>
          <w:rFonts w:ascii="Times New Roman" w:cs="Times New Roman" w:eastAsia="Times New Roman" w:hAnsi="Times New Roman"/>
          <w:sz w:val="18"/>
          <w:szCs w:val="18"/>
          <w:color w:val="auto"/>
        </w:rPr>
        <w:t>11.5.2.1.</w:t>
      </w:r>
      <w:r>
        <w:rPr>
          <w:sz w:val="20"/>
          <w:szCs w:val="20"/>
          <w:color w:val="auto"/>
        </w:rPr>
        <w:tab/>
      </w:r>
      <w:r>
        <w:rPr>
          <w:rFonts w:ascii="Times New Roman" w:cs="Times New Roman" w:eastAsia="Times New Roman" w:hAnsi="Times New Roman"/>
          <w:sz w:val="17"/>
          <w:szCs w:val="17"/>
          <w:color w:val="auto"/>
        </w:rPr>
        <w:t>They have been a Company employee or have been providing services to the Company for at least 3 years;</w:t>
      </w:r>
    </w:p>
    <w:p>
      <w:pPr>
        <w:spacing w:after="0" w:line="27" w:lineRule="exact"/>
        <w:rPr>
          <w:sz w:val="20"/>
          <w:szCs w:val="20"/>
          <w:color w:val="auto"/>
        </w:rPr>
      </w:pPr>
    </w:p>
    <w:p>
      <w:pPr>
        <w:ind w:left="3120" w:hanging="1160"/>
        <w:spacing w:after="0" w:line="250" w:lineRule="auto"/>
        <w:tabs>
          <w:tab w:leader="none" w:pos="3100" w:val="left"/>
        </w:tabs>
        <w:rPr>
          <w:sz w:val="20"/>
          <w:szCs w:val="20"/>
          <w:color w:val="auto"/>
        </w:rPr>
      </w:pPr>
      <w:r>
        <w:rPr>
          <w:rFonts w:ascii="Times New Roman" w:cs="Times New Roman" w:eastAsia="Times New Roman" w:hAnsi="Times New Roman"/>
          <w:sz w:val="18"/>
          <w:szCs w:val="18"/>
          <w:color w:val="auto"/>
        </w:rPr>
        <w:t>11.5.2.2.</w:t>
      </w:r>
      <w:r>
        <w:rPr>
          <w:sz w:val="20"/>
          <w:szCs w:val="20"/>
          <w:color w:val="auto"/>
        </w:rPr>
        <w:tab/>
      </w:r>
      <w:r>
        <w:rPr>
          <w:rFonts w:ascii="Times New Roman" w:cs="Times New Roman" w:eastAsia="Times New Roman" w:hAnsi="Times New Roman"/>
          <w:sz w:val="18"/>
          <w:szCs w:val="18"/>
          <w:color w:val="auto"/>
        </w:rPr>
        <w:t>During such office holder’s employment period, the office holder made a material contribution to advance the Company's business and to maximize its profits.</w:t>
      </w:r>
    </w:p>
    <w:p>
      <w:pPr>
        <w:spacing w:after="0" w:line="1" w:lineRule="exact"/>
        <w:rPr>
          <w:sz w:val="20"/>
          <w:szCs w:val="20"/>
          <w:color w:val="auto"/>
        </w:rPr>
      </w:pPr>
    </w:p>
    <w:p>
      <w:pPr>
        <w:ind w:left="1960"/>
        <w:spacing w:after="0"/>
        <w:tabs>
          <w:tab w:leader="none" w:pos="3100" w:val="left"/>
        </w:tabs>
        <w:rPr>
          <w:sz w:val="20"/>
          <w:szCs w:val="20"/>
          <w:color w:val="auto"/>
        </w:rPr>
      </w:pPr>
      <w:r>
        <w:rPr>
          <w:rFonts w:ascii="Times New Roman" w:cs="Times New Roman" w:eastAsia="Times New Roman" w:hAnsi="Times New Roman"/>
          <w:sz w:val="18"/>
          <w:szCs w:val="18"/>
          <w:color w:val="auto"/>
        </w:rPr>
        <w:t>11.5.2.3.</w:t>
      </w:r>
      <w:r>
        <w:rPr>
          <w:sz w:val="20"/>
          <w:szCs w:val="20"/>
          <w:color w:val="auto"/>
        </w:rPr>
        <w:tab/>
      </w:r>
      <w:r>
        <w:rPr>
          <w:rFonts w:ascii="Times New Roman" w:cs="Times New Roman" w:eastAsia="Times New Roman" w:hAnsi="Times New Roman"/>
          <w:sz w:val="17"/>
          <w:szCs w:val="17"/>
          <w:color w:val="auto"/>
        </w:rPr>
        <w:t>The circumstances of the office holder’s retirement do not justify revoking such office holder’s severance.</w:t>
      </w:r>
    </w:p>
    <w:p>
      <w:pPr>
        <w:spacing w:after="0" w:line="9" w:lineRule="exact"/>
        <w:rPr>
          <w:sz w:val="20"/>
          <w:szCs w:val="20"/>
          <w:color w:val="auto"/>
        </w:rPr>
      </w:pPr>
    </w:p>
    <w:p>
      <w:pPr>
        <w:ind w:left="3120" w:hanging="1160"/>
        <w:spacing w:after="0" w:line="260" w:lineRule="auto"/>
        <w:tabs>
          <w:tab w:leader="none" w:pos="3100" w:val="left"/>
        </w:tabs>
        <w:rPr>
          <w:sz w:val="20"/>
          <w:szCs w:val="20"/>
          <w:color w:val="auto"/>
        </w:rPr>
      </w:pPr>
      <w:r>
        <w:rPr>
          <w:rFonts w:ascii="Times New Roman" w:cs="Times New Roman" w:eastAsia="Times New Roman" w:hAnsi="Times New Roman"/>
          <w:sz w:val="18"/>
          <w:szCs w:val="18"/>
          <w:color w:val="auto"/>
        </w:rPr>
        <w:t>11.5.2.4.</w:t>
      </w:r>
      <w:r>
        <w:rPr>
          <w:sz w:val="20"/>
          <w:szCs w:val="20"/>
          <w:color w:val="auto"/>
        </w:rPr>
        <w:tab/>
      </w:r>
      <w:r>
        <w:rPr>
          <w:rFonts w:ascii="Times New Roman" w:cs="Times New Roman" w:eastAsia="Times New Roman" w:hAnsi="Times New Roman"/>
          <w:sz w:val="18"/>
          <w:szCs w:val="18"/>
          <w:color w:val="auto"/>
        </w:rPr>
        <w:t>The Company’s CEO (or the Chairman of the Board of Directors, if the CEO is retiring) recommended paying the retirement bonus based on the Company’s performance in the relevant period.</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7" w:name="page48"/>
    <w:bookmarkEnd w:id="47"/>
    <w:p>
      <w:pPr>
        <w:ind w:left="460" w:hanging="452"/>
        <w:spacing w:after="0"/>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Commercial Protections</w:t>
      </w:r>
    </w:p>
    <w:p>
      <w:pPr>
        <w:spacing w:after="0" w:line="242" w:lineRule="exact"/>
        <w:rPr>
          <w:rFonts w:ascii="Times New Roman" w:cs="Times New Roman" w:eastAsia="Times New Roman" w:hAnsi="Times New Roman"/>
          <w:sz w:val="18"/>
          <w:szCs w:val="18"/>
          <w:color w:val="auto"/>
        </w:rPr>
      </w:pPr>
    </w:p>
    <w:p>
      <w:pPr>
        <w:jc w:val="both"/>
        <w:ind w:left="460" w:right="68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agreements and the services agreements entered into with office holders will include provisions intended to protect the Company’s intellectual property rights, and confidentiality and noncompete clauses, which will be adapted to the relevant office holder according to the position’s sensitivity and the importance for the Company.</w:t>
      </w:r>
    </w:p>
    <w:p>
      <w:pPr>
        <w:spacing w:after="0" w:line="17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Other General Provisions</w:t>
      </w:r>
    </w:p>
    <w:p>
      <w:pPr>
        <w:spacing w:after="0" w:line="242" w:lineRule="exact"/>
        <w:rPr>
          <w:rFonts w:ascii="Times New Roman" w:cs="Times New Roman" w:eastAsia="Times New Roman" w:hAnsi="Times New Roman"/>
          <w:sz w:val="18"/>
          <w:szCs w:val="18"/>
          <w:color w:val="auto"/>
        </w:rPr>
      </w:pPr>
    </w:p>
    <w:p>
      <w:pPr>
        <w:ind w:left="1300" w:hanging="837"/>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13.1.The office holders to whom the Compensation Policy applies may be Company employees or independent contractors providing services to it. If the office holder provides services to the Company as an independent contractor, the provisions of the Compensation Policy will apply, mutatis mutandis, and the compensation to the office holder will be paid against invoices, and the compensation components will be normalized, so that overall, they will financially match the provisions of this policy, provided that the foregoing does not adversely affect the Company’s best interest, condition, and plans.</w:t>
      </w:r>
    </w:p>
    <w:p>
      <w:pPr>
        <w:spacing w:after="0" w:line="183" w:lineRule="exact"/>
        <w:rPr>
          <w:rFonts w:ascii="Times New Roman" w:cs="Times New Roman" w:eastAsia="Times New Roman" w:hAnsi="Times New Roman"/>
          <w:sz w:val="18"/>
          <w:szCs w:val="18"/>
          <w:color w:val="auto"/>
        </w:rPr>
      </w:pPr>
    </w:p>
    <w:p>
      <w:pPr>
        <w:ind w:left="1300" w:hanging="837"/>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13.2.The provisions of this Compensation Policy shall not derogate from any present and/or future provision of any applicable law, including, without derogating from the generality of the foregoing, the provisions of the Companies Law, and/or the regulations and/or orders promulgated thereunder, and any relief, exemption and/or additional discretion granted to any of the Company organs, as set forth in any such statutory provision, including provisions adopted into law after the approval of this policy, they will apply to the Company and be considered part of this Compensation Policy, after the Compensation Committee or the Company Board of Directors decide to add them, in whole or in part, to this policy – without requiring shareholders approval therefor.</w:t>
      </w:r>
    </w:p>
    <w:p>
      <w:pPr>
        <w:spacing w:after="0" w:line="187" w:lineRule="exact"/>
        <w:rPr>
          <w:rFonts w:ascii="Times New Roman" w:cs="Times New Roman" w:eastAsia="Times New Roman" w:hAnsi="Times New Roman"/>
          <w:sz w:val="18"/>
          <w:szCs w:val="18"/>
          <w:color w:val="auto"/>
        </w:rPr>
      </w:pPr>
    </w:p>
    <w:p>
      <w:pPr>
        <w:ind w:left="1300" w:hanging="837"/>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13.3.The Compensation Committee and Board of Directors may approve a deviation of up to 5% per calendar year, from any maximum amount, limitation, or other provisions stated in this policy, and such a deviation will be considered compliant with the Compensation Policy. The foregoing does not apply to sections of the Compensation Policy with respect to which a specific deviation threshold has been determined.</w:t>
      </w:r>
    </w:p>
    <w:p>
      <w:pPr>
        <w:spacing w:after="0" w:line="179" w:lineRule="exact"/>
        <w:rPr>
          <w:rFonts w:ascii="Times New Roman" w:cs="Times New Roman" w:eastAsia="Times New Roman" w:hAnsi="Times New Roman"/>
          <w:sz w:val="18"/>
          <w:szCs w:val="18"/>
          <w:color w:val="auto"/>
        </w:rPr>
      </w:pPr>
    </w:p>
    <w:p>
      <w:pPr>
        <w:ind w:left="1300" w:hanging="837"/>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13.4.Immaterial changes to the office and employment terms of office holders who report directly to the CEO and who are not controlling shareholders shall require only the Compensation Committee’s prior approval, provided that the Compensation Committee determines that the change to the employment terms is immaterial. For that purpose, it has been determined that the total immaterial changes in the office and employment terms of such office holder, which will be approved by the Compensation Committee for any reporting year, may not exceed 5% (in real terms), relative to all office and employment terms of the office holder’s which were approved by the Company’s competent organs, for that reporting year.</w:t>
      </w:r>
    </w:p>
    <w:p>
      <w:pPr>
        <w:spacing w:after="0" w:line="18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Validity</w:t>
      </w:r>
    </w:p>
    <w:p>
      <w:pPr>
        <w:spacing w:after="0" w:line="31" w:lineRule="exact"/>
        <w:rPr>
          <w:rFonts w:ascii="Times New Roman" w:cs="Times New Roman" w:eastAsia="Times New Roman" w:hAnsi="Times New Roman"/>
          <w:sz w:val="18"/>
          <w:szCs w:val="18"/>
          <w:color w:val="auto"/>
        </w:rPr>
      </w:pPr>
    </w:p>
    <w:p>
      <w:pPr>
        <w:ind w:left="460" w:right="68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Policy will be valid for three years from the date of its approval by the general meeting, as set forth above, in accordance with Section 267A(D) of the Law.</w:t>
      </w:r>
    </w:p>
    <w:p>
      <w:pPr>
        <w:spacing w:after="0" w:line="180" w:lineRule="exact"/>
        <w:rPr>
          <w:rFonts w:ascii="Times New Roman" w:cs="Times New Roman" w:eastAsia="Times New Roman" w:hAnsi="Times New Roman"/>
          <w:sz w:val="18"/>
          <w:szCs w:val="18"/>
          <w:color w:val="auto"/>
        </w:rPr>
      </w:pPr>
    </w:p>
    <w:p>
      <w:pPr>
        <w:jc w:val="both"/>
        <w:ind w:left="460" w:right="68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notwithstanding, the Company Board of Directors will occasionally, and at least once per year, review the Compensation Policy and its compliance with applicable law, provided there has been a material change to the circumstances existing at the date of the policy’s adoption, or for other reasons. Subject to Section </w:t>
      </w:r>
      <w:r>
        <w:rPr>
          <w:rFonts w:ascii="Times New Roman" w:cs="Times New Roman" w:eastAsia="Times New Roman" w:hAnsi="Times New Roman"/>
          <w:sz w:val="18"/>
          <w:szCs w:val="18"/>
          <w:color w:val="auto"/>
          <w:strike w:val="1"/>
        </w:rPr>
        <w:t>14.2</w:t>
      </w:r>
      <w:r>
        <w:rPr>
          <w:rFonts w:ascii="Times New Roman" w:cs="Times New Roman" w:eastAsia="Times New Roman" w:hAnsi="Times New Roman"/>
          <w:sz w:val="18"/>
          <w:szCs w:val="18"/>
          <w:u w:val="single" w:color="auto"/>
          <w:color w:val="auto"/>
        </w:rPr>
        <w:t>13.2</w:t>
      </w:r>
      <w:r>
        <w:rPr>
          <w:rFonts w:ascii="Times New Roman" w:cs="Times New Roman" w:eastAsia="Times New Roman" w:hAnsi="Times New Roman"/>
          <w:sz w:val="18"/>
          <w:szCs w:val="18"/>
          <w:color w:val="auto"/>
        </w:rPr>
        <w:t xml:space="preserve"> above, changes to the Compensation Policy, if any, will be approved in accordance with applicable law.</w:t>
      </w:r>
    </w:p>
    <w:p>
      <w:pPr>
        <w:spacing w:after="0" w:line="2" w:lineRule="exact"/>
        <w:rPr>
          <w:rFonts w:ascii="Times New Roman" w:cs="Times New Roman" w:eastAsia="Times New Roman" w:hAnsi="Times New Roman"/>
          <w:sz w:val="18"/>
          <w:szCs w:val="18"/>
          <w:color w:val="auto"/>
        </w:rPr>
      </w:pPr>
    </w:p>
    <w:p>
      <w:pPr>
        <w:jc w:val="both"/>
        <w:ind w:left="460" w:right="68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Compensation Committee will review from time to time the implementation of the Compensation Policy, and if the Compensation Committee deems it appropriate, the Compensation Committee will recommend to the Board of Directors to update the Compensation Policy.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8" w:name="page49"/>
    <w:bookmarkEnd w:id="48"/>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600075"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0075" cy="18859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182880</wp:posOffset>
            </wp:positionV>
            <wp:extent cx="2820035" cy="6940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2003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8200"/>
        <w:spacing w:after="0" w:line="263" w:lineRule="auto"/>
        <w:rPr>
          <w:sz w:val="20"/>
          <w:szCs w:val="20"/>
          <w:color w:val="auto"/>
        </w:rPr>
      </w:pPr>
      <w:r>
        <w:rPr>
          <w:rFonts w:ascii="Times New Roman" w:cs="Times New Roman" w:eastAsia="Times New Roman" w:hAnsi="Times New Roman"/>
          <w:sz w:val="18"/>
          <w:szCs w:val="18"/>
          <w:i w:val="1"/>
          <w:iCs w:val="1"/>
          <w:color w:val="231F20"/>
        </w:rPr>
        <w:t>ENLIGHT RENEWABLE ENERGY LTD. 13 AMAL ST., AFEK INDUSTRIAL PARK ROSH HA’AYIN 4809249, ISRAEL</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231F20"/>
        </w:rPr>
        <w:t xml:space="preserve">VOTE BY INTERNET - </w:t>
      </w:r>
      <w:r>
        <w:rPr>
          <w:rFonts w:ascii="Times New Roman" w:cs="Times New Roman" w:eastAsia="Times New Roman" w:hAnsi="Times New Roman"/>
          <w:sz w:val="18"/>
          <w:szCs w:val="18"/>
          <w:b w:val="1"/>
          <w:bCs w:val="1"/>
          <w:u w:val="single" w:color="auto"/>
          <w:color w:val="231F20"/>
        </w:rPr>
        <w:t>www.proxyvote.com</w:t>
      </w:r>
      <w:r>
        <w:rPr>
          <w:rFonts w:ascii="Times New Roman" w:cs="Times New Roman" w:eastAsia="Times New Roman" w:hAnsi="Times New Roman"/>
          <w:sz w:val="18"/>
          <w:szCs w:val="18"/>
          <w:b w:val="1"/>
          <w:bCs w:val="1"/>
          <w:color w:val="231F20"/>
        </w:rPr>
        <w:t xml:space="preserve"> or scan the QR Barcode</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231F20"/>
        </w:rPr>
        <w:t>above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231F20"/>
        </w:rPr>
        <w:t>Use the Internet to transmit your voting instructions and for electronic</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231F20"/>
        </w:rPr>
        <w:t>delivery of information up until 11:59 p.m. Eastern Time the day before the</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231F20"/>
        </w:rPr>
        <w:t>cut-off date or meeting date. Have your proxy card in hand when you access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231F20"/>
        </w:rPr>
        <w:t>the web site and follow the instructions to obtain your records and to create</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231F20"/>
        </w:rPr>
        <w:t>an electronic voting instruction form.</w:t>
      </w:r>
    </w:p>
    <w:p>
      <w:pPr>
        <w:spacing w:after="0" w:line="2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231F20"/>
        </w:rPr>
        <w:t>ELECTRONIC DELIVERY OF FUTURE PROXY MATERIALS</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231F20"/>
        </w:rPr>
        <w:t>If you would like to reduce the costs incurred by our company in mailing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231F20"/>
        </w:rPr>
        <w:t>proxy materials, you can consent to receiving all future proxy statements,</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231F20"/>
        </w:rPr>
        <w:t>proxy cards and annual reports electronically via e-mail or the Internet. To</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231F20"/>
        </w:rPr>
        <w:t>sign up for electronic delivery, please follow the instructions above to vote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231F20"/>
        </w:rPr>
        <w:t>using the Internet and, when prompted, indicate that you agree to receive or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231F20"/>
        </w:rPr>
        <w:t>access proxy materials electronically in future years.</w:t>
      </w:r>
    </w:p>
    <w:p>
      <w:pPr>
        <w:spacing w:after="0" w:line="2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221E1F"/>
        </w:rPr>
        <w:t>VOTE BY PHONE - 1-800-690-6903</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231F20"/>
        </w:rPr>
        <w:t>Use any touch-tone telephone to transmit your voting instructions up until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231F20"/>
        </w:rPr>
        <w:t>11:59 p.m. Eastern Time the day before the cut-off date or meeting date.</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231F20"/>
        </w:rPr>
        <w:t>Have your proxy card in hand when you call and then follow the instructions.</w:t>
      </w:r>
    </w:p>
    <w:p>
      <w:pPr>
        <w:spacing w:after="0" w:line="2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221E1F"/>
        </w:rPr>
        <w:t>VOTE BY MAIL</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231F20"/>
        </w:rPr>
        <w:t>Mark, sign and date your proxy card and return it in the postage-paid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231F20"/>
        </w:rPr>
        <w:t>envelope we have provided or return it to Vote Processing, c/o Broadridge, 51</w:t>
      </w:r>
    </w:p>
    <w:p>
      <w:pPr>
        <w:spacing w:after="0" w:line="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231F20"/>
        </w:rPr>
        <w:t>Mercedes Way, Edgewood, NY 11717.</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VOTE, MARK BLOCKS BELOW IN BLUE OR BLACK INK AS FOLLOWS:</w:t>
      </w:r>
    </w:p>
    <w:p>
      <w:pPr>
        <w:spacing w:after="0" w:line="27" w:lineRule="exact"/>
        <w:rPr>
          <w:sz w:val="20"/>
          <w:szCs w:val="20"/>
          <w:color w:val="auto"/>
        </w:rPr>
      </w:pPr>
    </w:p>
    <w:p>
      <w:pPr>
        <w:jc w:val="right"/>
        <w:spacing w:after="0"/>
        <w:tabs>
          <w:tab w:leader="none" w:pos="3520" w:val="left"/>
        </w:tabs>
        <w:rPr>
          <w:sz w:val="20"/>
          <w:szCs w:val="20"/>
          <w:color w:val="auto"/>
        </w:rPr>
      </w:pPr>
      <w:r>
        <w:rPr>
          <w:rFonts w:ascii="Times New Roman" w:cs="Times New Roman" w:eastAsia="Times New Roman" w:hAnsi="Times New Roman"/>
          <w:sz w:val="18"/>
          <w:szCs w:val="18"/>
          <w:color w:val="221E1F"/>
        </w:rPr>
        <w:t>V</w:t>
      </w:r>
      <w:r>
        <w:rPr>
          <w:rFonts w:ascii="Times New Roman" w:cs="Times New Roman" w:eastAsia="Times New Roman" w:hAnsi="Times New Roman"/>
          <w:sz w:val="18"/>
          <w:szCs w:val="18"/>
          <w:color w:val="000000"/>
        </w:rPr>
        <w:t>77552-P37357</w:t>
      </w:r>
      <w:r>
        <w:rPr>
          <w:sz w:val="20"/>
          <w:szCs w:val="20"/>
          <w:color w:val="auto"/>
        </w:rPr>
        <w:tab/>
      </w:r>
      <w:r>
        <w:rPr>
          <w:rFonts w:ascii="Times New Roman" w:cs="Times New Roman" w:eastAsia="Times New Roman" w:hAnsi="Times New Roman"/>
          <w:sz w:val="17"/>
          <w:szCs w:val="17"/>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7"/>
          <w:szCs w:val="17"/>
          <w:color w:val="auto"/>
        </w:rPr>
        <w:t>DETACH AND RETURN THIS PORTION ONLY</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4728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4728845"/>
                    </a:xfrm>
                    <a:prstGeom prst="rect">
                      <a:avLst/>
                    </a:prstGeom>
                    <a:noFill/>
                  </pic:spPr>
                </pic:pic>
              </a:graphicData>
            </a:graphic>
          </wp:anchor>
        </w:drawing>
      </w:r>
    </w:p>
    <w:p>
      <w:pPr>
        <w:sectPr>
          <w:pgSz w:w="11900" w:h="16950" w:orient="portrait"/>
          <w:cols w:equalWidth="0" w:num="1">
            <w:col w:w="11240"/>
          </w:cols>
          <w:pgMar w:left="320" w:top="414" w:right="339" w:bottom="0" w:gutter="0" w:footer="0" w:header="0"/>
        </w:sectPr>
      </w:pPr>
    </w:p>
    <w:p>
      <w:pPr>
        <w:spacing w:after="0" w:line="200" w:lineRule="exact"/>
        <w:rPr>
          <w:sz w:val="20"/>
          <w:szCs w:val="20"/>
          <w:color w:val="auto"/>
        </w:rPr>
      </w:pPr>
    </w:p>
    <w:p>
      <w:pPr>
        <w:spacing w:after="0" w:line="282" w:lineRule="exact"/>
        <w:rPr>
          <w:sz w:val="20"/>
          <w:szCs w:val="20"/>
          <w:color w:val="auto"/>
        </w:rPr>
      </w:pPr>
    </w:p>
    <w:p>
      <w:pPr>
        <w:ind w:left="120" w:right="760" w:firstLine="45"/>
        <w:spacing w:after="0" w:line="334" w:lineRule="auto"/>
        <w:rPr>
          <w:sz w:val="20"/>
          <w:szCs w:val="20"/>
          <w:color w:val="auto"/>
        </w:rPr>
      </w:pPr>
      <w:r>
        <w:rPr>
          <w:rFonts w:ascii="Times New Roman" w:cs="Times New Roman" w:eastAsia="Times New Roman" w:hAnsi="Times New Roman"/>
          <w:sz w:val="17"/>
          <w:szCs w:val="17"/>
          <w:b w:val="1"/>
          <w:bCs w:val="1"/>
          <w:color w:val="221E1F"/>
        </w:rPr>
        <w:t>ENLIGHT RENEWABLE ENERGY LTD.</w:t>
      </w:r>
    </w:p>
    <w:p>
      <w:pPr>
        <w:spacing w:after="0" w:line="117" w:lineRule="exact"/>
        <w:rPr>
          <w:sz w:val="20"/>
          <w:szCs w:val="20"/>
          <w:color w:val="auto"/>
        </w:rPr>
      </w:pPr>
    </w:p>
    <w:p>
      <w:pPr>
        <w:jc w:val="both"/>
        <w:ind w:left="260"/>
        <w:spacing w:after="0" w:line="276" w:lineRule="auto"/>
        <w:rPr>
          <w:sz w:val="20"/>
          <w:szCs w:val="20"/>
          <w:color w:val="auto"/>
        </w:rPr>
      </w:pPr>
      <w:r>
        <w:rPr>
          <w:rFonts w:ascii="Times New Roman" w:cs="Times New Roman" w:eastAsia="Times New Roman" w:hAnsi="Times New Roman"/>
          <w:sz w:val="18"/>
          <w:szCs w:val="18"/>
          <w:b w:val="1"/>
          <w:bCs w:val="1"/>
          <w:color w:val="221E1F"/>
        </w:rPr>
        <w:t>The Board of Directors recommends you vote FOR the following proposals:</w:t>
      </w:r>
    </w:p>
    <w:p>
      <w:pPr>
        <w:spacing w:after="0" w:line="181" w:lineRule="exact"/>
        <w:rPr>
          <w:sz w:val="20"/>
          <w:szCs w:val="20"/>
          <w:color w:val="auto"/>
        </w:rPr>
      </w:pPr>
    </w:p>
    <w:p>
      <w:pPr>
        <w:jc w:val="both"/>
        <w:ind w:left="480" w:right="20" w:hanging="229"/>
        <w:spacing w:after="0" w:line="262" w:lineRule="auto"/>
        <w:tabs>
          <w:tab w:leader="none" w:pos="4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Approve the re-appointment of Somekh Chaikin, a member firm of KPMG International, as the</w:t>
      </w:r>
    </w:p>
    <w:p>
      <w:pPr>
        <w:spacing w:after="0" w:line="1" w:lineRule="exact"/>
        <w:rPr>
          <w:rFonts w:ascii="Times New Roman" w:cs="Times New Roman" w:eastAsia="Times New Roman" w:hAnsi="Times New Roman"/>
          <w:sz w:val="18"/>
          <w:szCs w:val="18"/>
          <w:color w:val="auto"/>
        </w:rPr>
      </w:pPr>
    </w:p>
    <w:p>
      <w:pPr>
        <w:jc w:val="both"/>
        <w:ind w:left="480" w:right="2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Company’s independent registered public accounting firm for the year ending December 31, 2025, and until the next annual general meeting of shareholders, and to authorize the Company’s Board of Directors, following the approval of the Audit Committee, to approve and ratify the remuneration of such firm in accordance with the volume and nature of their services.</w:t>
      </w:r>
    </w:p>
    <w:p>
      <w:pPr>
        <w:spacing w:after="0" w:line="213" w:lineRule="exact"/>
        <w:rPr>
          <w:rFonts w:ascii="Times New Roman" w:cs="Times New Roman" w:eastAsia="Times New Roman" w:hAnsi="Times New Roman"/>
          <w:sz w:val="18"/>
          <w:szCs w:val="18"/>
          <w:color w:val="auto"/>
        </w:rPr>
      </w:pPr>
    </w:p>
    <w:p>
      <w:pPr>
        <w:jc w:val="both"/>
        <w:ind w:left="480" w:hanging="229"/>
        <w:spacing w:after="0" w:line="257" w:lineRule="auto"/>
        <w:tabs>
          <w:tab w:leader="none" w:pos="4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each of the following nominees to the Board of the Company, to hold office until</w:t>
      </w:r>
    </w:p>
    <w:p>
      <w:pPr>
        <w:spacing w:after="0" w:line="1" w:lineRule="exact"/>
        <w:rPr>
          <w:sz w:val="20"/>
          <w:szCs w:val="20"/>
          <w:color w:val="auto"/>
        </w:rPr>
      </w:pPr>
    </w:p>
    <w:p>
      <w:pPr>
        <w:jc w:val="both"/>
        <w:ind w:left="480"/>
        <w:spacing w:after="0" w:line="252" w:lineRule="auto"/>
        <w:rPr>
          <w:sz w:val="20"/>
          <w:szCs w:val="20"/>
          <w:color w:val="auto"/>
        </w:rPr>
      </w:pPr>
      <w:r>
        <w:rPr>
          <w:rFonts w:ascii="Times New Roman" w:cs="Times New Roman" w:eastAsia="Times New Roman" w:hAnsi="Times New Roman"/>
          <w:sz w:val="18"/>
          <w:szCs w:val="18"/>
          <w:color w:val="auto"/>
        </w:rPr>
        <w:t>close of the Company's annual general meeting to be held in2026, and until his or her successor has been duly elected or appointed, or until his or her office has been vacated: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740" w:val="left"/>
          <w:tab w:leader="none" w:pos="1680" w:val="left"/>
        </w:tabs>
        <w:rPr>
          <w:sz w:val="20"/>
          <w:szCs w:val="20"/>
          <w:color w:val="auto"/>
        </w:rPr>
      </w:pPr>
      <w:r>
        <w:rPr>
          <w:rFonts w:ascii="Times New Roman" w:cs="Times New Roman" w:eastAsia="Times New Roman" w:hAnsi="Times New Roman"/>
          <w:sz w:val="18"/>
          <w:szCs w:val="18"/>
          <w:b w:val="1"/>
          <w:bCs w:val="1"/>
          <w:color w:val="221E1F"/>
        </w:rPr>
        <w:t>For</w:t>
      </w:r>
      <w:r>
        <w:rPr>
          <w:sz w:val="20"/>
          <w:szCs w:val="20"/>
          <w:color w:val="auto"/>
        </w:rPr>
        <w:tab/>
      </w:r>
      <w:r>
        <w:rPr>
          <w:rFonts w:ascii="Times New Roman" w:cs="Times New Roman" w:eastAsia="Times New Roman" w:hAnsi="Times New Roman"/>
          <w:sz w:val="18"/>
          <w:szCs w:val="18"/>
          <w:b w:val="1"/>
          <w:bCs w:val="1"/>
          <w:color w:val="221E1F"/>
        </w:rPr>
        <w:t>Against</w:t>
      </w:r>
      <w:r>
        <w:rPr>
          <w:sz w:val="20"/>
          <w:szCs w:val="20"/>
          <w:color w:val="auto"/>
        </w:rPr>
        <w:tab/>
      </w:r>
      <w:r>
        <w:rPr>
          <w:rFonts w:ascii="Times New Roman" w:cs="Times New Roman" w:eastAsia="Times New Roman" w:hAnsi="Times New Roman"/>
          <w:sz w:val="17"/>
          <w:szCs w:val="17"/>
          <w:b w:val="1"/>
          <w:bCs w:val="1"/>
          <w:color w:val="auto"/>
        </w:rPr>
        <w:t>Abstain</w:t>
      </w:r>
    </w:p>
    <w:p>
      <w:pPr>
        <w:spacing w:after="0" w:line="202" w:lineRule="exact"/>
        <w:rPr>
          <w:sz w:val="20"/>
          <w:szCs w:val="20"/>
          <w:color w:val="auto"/>
        </w:rPr>
      </w:pPr>
    </w:p>
    <w:p>
      <w:pPr>
        <w:ind w:left="40"/>
        <w:spacing w:after="0" w:line="181" w:lineRule="exact"/>
        <w:tabs>
          <w:tab w:leader="none" w:pos="960" w:val="left"/>
          <w:tab w:leader="none" w:pos="1900" w:val="left"/>
        </w:tabs>
        <w:rPr>
          <w:sz w:val="20"/>
          <w:szCs w:val="20"/>
          <w:color w:val="auto"/>
        </w:rPr>
      </w:pPr>
      <w:r>
        <w:rPr>
          <w:rFonts w:ascii="MS PGothic" w:cs="MS PGothic" w:eastAsia="MS PGothic" w:hAnsi="MS PGothic"/>
          <w:sz w:val="18"/>
          <w:szCs w:val="18"/>
          <w:color w:val="auto"/>
          <w:highlight w:val="black"/>
        </w:rPr>
        <w: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MS PGothic" w:cs="MS PGothic" w:eastAsia="MS PGothic" w:hAnsi="MS PGothic"/>
          <w:sz w:val="16"/>
          <w:szCs w:val="16"/>
          <w:color w:val="auto"/>
          <w:highlight w:val="black"/>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2680" w:right="20" w:hanging="221"/>
        <w:spacing w:after="0" w:line="270" w:lineRule="auto"/>
        <w:tabs>
          <w:tab w:leader="none" w:pos="2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Approve amendments to the Company’s Compensation Policy for executive officers and directors, substantially in the form attached to the proxy statement as </w:t>
      </w:r>
      <w:r>
        <w:rPr>
          <w:rFonts w:ascii="Times New Roman" w:cs="Times New Roman" w:eastAsia="Times New Roman" w:hAnsi="Times New Roman"/>
          <w:sz w:val="18"/>
          <w:szCs w:val="18"/>
          <w:u w:val="single" w:color="auto"/>
          <w:color w:val="231F20"/>
        </w:rPr>
        <w:t>Exhibit A</w:t>
      </w:r>
      <w:r>
        <w:rPr>
          <w:rFonts w:ascii="Times New Roman" w:cs="Times New Roman" w:eastAsia="Times New Roman" w:hAnsi="Times New Roman"/>
          <w:sz w:val="18"/>
          <w:szCs w:val="18"/>
          <w:color w:val="231F20"/>
        </w:rPr>
        <w:t>.</w:t>
      </w:r>
    </w:p>
    <w:p>
      <w:pPr>
        <w:spacing w:after="0" w:line="249" w:lineRule="exact"/>
        <w:rPr>
          <w:sz w:val="20"/>
          <w:szCs w:val="20"/>
          <w:color w:val="auto"/>
        </w:rPr>
      </w:pPr>
    </w:p>
    <w:p>
      <w:pPr>
        <w:spacing w:after="0"/>
        <w:tabs>
          <w:tab w:leader="none" w:pos="740" w:val="left"/>
          <w:tab w:leader="none" w:pos="1680" w:val="left"/>
        </w:tabs>
        <w:rPr>
          <w:sz w:val="20"/>
          <w:szCs w:val="20"/>
          <w:color w:val="auto"/>
        </w:rPr>
      </w:pPr>
      <w:r>
        <w:rPr>
          <w:rFonts w:ascii="Times New Roman" w:cs="Times New Roman" w:eastAsia="Times New Roman" w:hAnsi="Times New Roman"/>
          <w:sz w:val="18"/>
          <w:szCs w:val="18"/>
          <w:b w:val="1"/>
          <w:bCs w:val="1"/>
          <w:color w:val="221E1F"/>
        </w:rPr>
        <w:t>For</w:t>
      </w:r>
      <w:r>
        <w:rPr>
          <w:sz w:val="20"/>
          <w:szCs w:val="20"/>
          <w:color w:val="auto"/>
        </w:rPr>
        <w:tab/>
      </w:r>
      <w:r>
        <w:rPr>
          <w:rFonts w:ascii="Times New Roman" w:cs="Times New Roman" w:eastAsia="Times New Roman" w:hAnsi="Times New Roman"/>
          <w:sz w:val="18"/>
          <w:szCs w:val="18"/>
          <w:b w:val="1"/>
          <w:bCs w:val="1"/>
          <w:color w:val="221E1F"/>
        </w:rPr>
        <w:t>Against</w:t>
      </w:r>
      <w:r>
        <w:rPr>
          <w:sz w:val="20"/>
          <w:szCs w:val="20"/>
          <w:color w:val="auto"/>
        </w:rPr>
        <w:tab/>
      </w:r>
      <w:r>
        <w:rPr>
          <w:rFonts w:ascii="Times New Roman" w:cs="Times New Roman" w:eastAsia="Times New Roman" w:hAnsi="Times New Roman"/>
          <w:sz w:val="17"/>
          <w:szCs w:val="17"/>
          <w:b w:val="1"/>
          <w:bCs w:val="1"/>
          <w:color w:val="auto"/>
        </w:rPr>
        <w:t>Abstain</w:t>
      </w:r>
    </w:p>
    <w:p>
      <w:pPr>
        <w:spacing w:after="0" w:line="54" w:lineRule="exact"/>
        <w:rPr>
          <w:sz w:val="20"/>
          <w:szCs w:val="20"/>
          <w:color w:val="auto"/>
        </w:rPr>
      </w:pPr>
    </w:p>
    <w:p>
      <w:pPr>
        <w:ind w:left="2680" w:hanging="221"/>
        <w:spacing w:after="0"/>
        <w:tabs>
          <w:tab w:leader="none" w:pos="2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363434"/>
        </w:rPr>
        <w:t>Approve the  compensation of  Ms</w:t>
      </w:r>
    </w:p>
    <w:p>
      <w:pPr>
        <w:spacing w:after="0" w:line="27" w:lineRule="exact"/>
        <w:rPr>
          <w:sz w:val="20"/>
          <w:szCs w:val="20"/>
          <w:color w:val="auto"/>
        </w:rPr>
      </w:pPr>
    </w:p>
    <w:p>
      <w:pPr>
        <w:jc w:val="both"/>
        <w:ind w:left="2680"/>
        <w:spacing w:after="0"/>
        <w:tabs>
          <w:tab w:leader="none" w:pos="3220" w:val="left"/>
          <w:tab w:leader="none" w:pos="4360" w:val="left"/>
          <w:tab w:leader="none" w:pos="4900" w:val="left"/>
        </w:tabs>
        <w:rPr>
          <w:sz w:val="20"/>
          <w:szCs w:val="20"/>
          <w:color w:val="auto"/>
        </w:rPr>
      </w:pPr>
      <w:r>
        <w:rPr>
          <w:rFonts w:ascii="Times New Roman" w:cs="Times New Roman" w:eastAsia="Times New Roman" w:hAnsi="Times New Roman"/>
          <w:sz w:val="18"/>
          <w:szCs w:val="18"/>
          <w:color w:val="363434"/>
        </w:rPr>
        <w:t>Adi</w:t>
      </w:r>
      <w:r>
        <w:rPr>
          <w:sz w:val="20"/>
          <w:szCs w:val="20"/>
          <w:color w:val="auto"/>
        </w:rPr>
        <w:tab/>
      </w:r>
      <w:r>
        <w:rPr>
          <w:rFonts w:ascii="Times New Roman" w:cs="Times New Roman" w:eastAsia="Times New Roman" w:hAnsi="Times New Roman"/>
          <w:sz w:val="18"/>
          <w:szCs w:val="18"/>
          <w:color w:val="363434"/>
        </w:rPr>
        <w:t>Leviatan</w:t>
      </w:r>
      <w:r>
        <w:rPr>
          <w:sz w:val="20"/>
          <w:szCs w:val="20"/>
          <w:color w:val="auto"/>
        </w:rPr>
        <w:tab/>
      </w:r>
      <w:r>
        <w:rPr>
          <w:rFonts w:ascii="Times New Roman" w:cs="Times New Roman" w:eastAsia="Times New Roman" w:hAnsi="Times New Roman"/>
          <w:sz w:val="18"/>
          <w:szCs w:val="18"/>
          <w:color w:val="363434"/>
        </w:rPr>
        <w:t>our</w:t>
      </w:r>
      <w:r>
        <w:rPr>
          <w:sz w:val="20"/>
          <w:szCs w:val="20"/>
          <w:color w:val="auto"/>
        </w:rPr>
        <w:tab/>
      </w:r>
      <w:r>
        <w:rPr>
          <w:rFonts w:ascii="Times New Roman" w:cs="Times New Roman" w:eastAsia="Times New Roman" w:hAnsi="Times New Roman"/>
          <w:sz w:val="18"/>
          <w:szCs w:val="18"/>
          <w:color w:val="363434"/>
        </w:rPr>
        <w:t>newly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760" w:val="left"/>
          <w:tab w:leader="none" w:pos="1560" w:val="left"/>
        </w:tabs>
        <w:rPr>
          <w:sz w:val="20"/>
          <w:szCs w:val="20"/>
          <w:color w:val="auto"/>
        </w:rPr>
      </w:pPr>
      <w:r>
        <w:rPr>
          <w:rFonts w:ascii="Times New Roman" w:cs="Times New Roman" w:eastAsia="Times New Roman" w:hAnsi="Times New Roman"/>
          <w:sz w:val="18"/>
          <w:szCs w:val="18"/>
          <w:b w:val="1"/>
          <w:bCs w:val="1"/>
          <w:color w:val="221E1F"/>
        </w:rPr>
        <w:t>For</w:t>
      </w:r>
      <w:r>
        <w:rPr>
          <w:sz w:val="20"/>
          <w:szCs w:val="20"/>
          <w:color w:val="auto"/>
        </w:rPr>
        <w:tab/>
      </w:r>
      <w:r>
        <w:rPr>
          <w:rFonts w:ascii="Times New Roman" w:cs="Times New Roman" w:eastAsia="Times New Roman" w:hAnsi="Times New Roman"/>
          <w:sz w:val="18"/>
          <w:szCs w:val="18"/>
          <w:b w:val="1"/>
          <w:bCs w:val="1"/>
          <w:color w:val="221E1F"/>
        </w:rPr>
        <w:t>Against</w:t>
      </w:r>
      <w:r>
        <w:rPr>
          <w:sz w:val="20"/>
          <w:szCs w:val="20"/>
          <w:color w:val="auto"/>
        </w:rPr>
        <w:tab/>
      </w:r>
      <w:r>
        <w:rPr>
          <w:rFonts w:ascii="Times New Roman" w:cs="Times New Roman" w:eastAsia="Times New Roman" w:hAnsi="Times New Roman"/>
          <w:sz w:val="17"/>
          <w:szCs w:val="17"/>
          <w:b w:val="1"/>
          <w:bCs w:val="1"/>
          <w:color w:val="auto"/>
        </w:rPr>
        <w:t>Abstain</w:t>
      </w:r>
    </w:p>
    <w:p>
      <w:pPr>
        <w:spacing w:after="0" w:line="200" w:lineRule="exact"/>
        <w:rPr>
          <w:sz w:val="20"/>
          <w:szCs w:val="20"/>
          <w:color w:val="auto"/>
        </w:rPr>
      </w:pPr>
    </w:p>
    <w:p>
      <w:pPr>
        <w:spacing w:after="0" w:line="380" w:lineRule="exact"/>
        <w:rPr>
          <w:sz w:val="20"/>
          <w:szCs w:val="20"/>
          <w:color w:val="auto"/>
        </w:rPr>
      </w:pPr>
    </w:p>
    <w:p>
      <w:pPr>
        <w:ind w:left="60"/>
        <w:spacing w:after="0" w:line="181" w:lineRule="exact"/>
        <w:tabs>
          <w:tab w:leader="none" w:pos="980" w:val="left"/>
          <w:tab w:leader="none" w:pos="1780" w:val="left"/>
        </w:tabs>
        <w:rPr>
          <w:sz w:val="20"/>
          <w:szCs w:val="20"/>
          <w:color w:val="auto"/>
        </w:rPr>
      </w:pPr>
      <w:r>
        <w:rPr>
          <w:rFonts w:ascii="MS PGothic" w:cs="MS PGothic" w:eastAsia="MS PGothic" w:hAnsi="MS PGothic"/>
          <w:sz w:val="18"/>
          <w:szCs w:val="18"/>
          <w:color w:val="auto"/>
          <w:highlight w:val="black"/>
        </w:rPr>
        <w: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MS PGothic" w:cs="MS PGothic" w:eastAsia="MS PGothic" w:hAnsi="MS PGothic"/>
          <w:sz w:val="16"/>
          <w:szCs w:val="16"/>
          <w:color w:val="auto"/>
          <w:highlight w:val="black"/>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line="181" w:lineRule="exact"/>
        <w:tabs>
          <w:tab w:leader="none" w:pos="980" w:val="left"/>
          <w:tab w:leader="none" w:pos="1760" w:val="left"/>
        </w:tabs>
        <w:rPr>
          <w:sz w:val="20"/>
          <w:szCs w:val="20"/>
          <w:color w:val="auto"/>
        </w:rPr>
      </w:pPr>
      <w:r>
        <w:rPr>
          <w:rFonts w:ascii="MS PGothic" w:cs="MS PGothic" w:eastAsia="MS PGothic" w:hAnsi="MS PGothic"/>
          <w:sz w:val="18"/>
          <w:szCs w:val="18"/>
          <w:color w:val="auto"/>
          <w:highlight w:val="black"/>
        </w:rPr>
        <w: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MS PGothic" w:cs="MS PGothic" w:eastAsia="MS PGothic" w:hAnsi="MS PGothic"/>
          <w:sz w:val="16"/>
          <w:szCs w:val="16"/>
          <w:color w:val="auto"/>
          <w:highlight w:val="black"/>
        </w:rPr>
        <w:t>☐</w:t>
      </w:r>
    </w:p>
    <w:p>
      <w:pPr>
        <w:sectPr>
          <w:pgSz w:w="11900" w:h="16950" w:orient="portrait"/>
          <w:cols w:equalWidth="0" w:num="3">
            <w:col w:w="2960" w:space="340"/>
            <w:col w:w="5360" w:space="320"/>
            <w:col w:w="2260"/>
          </w:cols>
          <w:pgMar w:left="320" w:top="414" w:right="339" w:bottom="0" w:gutter="0" w:footer="0" w:header="0"/>
          <w:type w:val="continuous"/>
        </w:sectPr>
      </w:pPr>
    </w:p>
    <w:bookmarkStart w:id="49" w:name="page50"/>
    <w:bookmarkEnd w:id="49"/>
    <w:tbl>
      <w:tblPr>
        <w:tblLayout w:type="fixed"/>
        <w:tblInd w:w="480" w:type="dxa"/>
        <w:tblCellMar>
          <w:top w:w="0" w:type="dxa"/>
          <w:left w:w="0" w:type="dxa"/>
          <w:bottom w:w="0" w:type="dxa"/>
          <w:right w:w="0" w:type="dxa"/>
        </w:tblCellMar>
      </w:tblPr>
      <w:tr>
        <w:trPr>
          <w:trHeight w:val="234"/>
        </w:trPr>
        <w:tc>
          <w:tcPr>
            <w:tcW w:w="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2a.</w:t>
            </w:r>
          </w:p>
        </w:tc>
        <w:tc>
          <w:tcPr>
            <w:tcW w:w="20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Mr. Gilad Yavetz</w:t>
            </w:r>
          </w:p>
        </w:tc>
        <w:tc>
          <w:tcPr>
            <w:tcW w:w="1020" w:type="dxa"/>
            <w:vAlign w:val="bottom"/>
            <w:vMerge w:val="restart"/>
          </w:tcPr>
          <w:p>
            <w:pPr>
              <w:ind w:left="48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940" w:type="dxa"/>
            <w:vAlign w:val="bottom"/>
            <w:vMerge w:val="restart"/>
          </w:tcPr>
          <w:p>
            <w:pPr>
              <w:ind w:left="4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740" w:type="dxa"/>
            <w:vAlign w:val="bottom"/>
            <w:vMerge w:val="restart"/>
          </w:tcPr>
          <w:p>
            <w:pPr>
              <w:ind w:left="4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11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363434"/>
              </w:rPr>
              <w:t>appointed</w:t>
            </w:r>
          </w:p>
        </w:tc>
        <w:tc>
          <w:tcPr>
            <w:tcW w:w="192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color w:val="363434"/>
              </w:rPr>
              <w:t>Chief Executive Officer.</w:t>
            </w:r>
          </w:p>
        </w:tc>
        <w:tc>
          <w:tcPr>
            <w:tcW w:w="0" w:type="dxa"/>
            <w:vAlign w:val="bottom"/>
          </w:tcPr>
          <w:p>
            <w:pPr>
              <w:spacing w:after="0"/>
              <w:rPr>
                <w:sz w:val="1"/>
                <w:szCs w:val="1"/>
                <w:color w:val="auto"/>
              </w:rPr>
            </w:pPr>
          </w:p>
        </w:tc>
      </w:tr>
      <w:tr>
        <w:trPr>
          <w:trHeight w:val="257"/>
        </w:trPr>
        <w:tc>
          <w:tcPr>
            <w:tcW w:w="300" w:type="dxa"/>
            <w:vAlign w:val="bottom"/>
            <w:vMerge w:val="continue"/>
          </w:tcPr>
          <w:p>
            <w:pPr>
              <w:spacing w:after="0"/>
              <w:rPr>
                <w:sz w:val="22"/>
                <w:szCs w:val="22"/>
                <w:color w:val="auto"/>
              </w:rPr>
            </w:pPr>
          </w:p>
        </w:tc>
        <w:tc>
          <w:tcPr>
            <w:tcW w:w="208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14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color w:val="363434"/>
              </w:rPr>
              <w:t>Approve the</w:t>
            </w:r>
          </w:p>
        </w:tc>
        <w:tc>
          <w:tcPr>
            <w:tcW w:w="13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363434"/>
              </w:rPr>
              <w:t>compensation of</w:t>
            </w:r>
          </w:p>
        </w:tc>
        <w:tc>
          <w:tcPr>
            <w:tcW w:w="3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363434"/>
                <w:w w:val="99"/>
              </w:rPr>
              <w:t>Mr</w:t>
            </w: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ind w:left="420"/>
              <w:spacing w:after="0"/>
              <w:rPr>
                <w:sz w:val="20"/>
                <w:szCs w:val="20"/>
                <w:color w:val="auto"/>
              </w:rPr>
            </w:pPr>
            <w:r>
              <w:rPr>
                <w:rFonts w:ascii="Times New Roman" w:cs="Times New Roman" w:eastAsia="Times New Roman" w:hAnsi="Times New Roman"/>
                <w:sz w:val="18"/>
                <w:szCs w:val="18"/>
                <w:color w:val="363434"/>
              </w:rPr>
              <w:t>Gilad</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363434"/>
                <w:w w:val="97"/>
              </w:rPr>
              <w:t>Yavetz, our</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363434"/>
              </w:rPr>
              <w:t>newly appointed</w:t>
            </w:r>
          </w:p>
        </w:tc>
        <w:tc>
          <w:tcPr>
            <w:tcW w:w="0" w:type="dxa"/>
            <w:vAlign w:val="bottom"/>
          </w:tcPr>
          <w:p>
            <w:pPr>
              <w:spacing w:after="0"/>
              <w:rPr>
                <w:sz w:val="1"/>
                <w:szCs w:val="1"/>
                <w:color w:val="auto"/>
              </w:rPr>
            </w:pPr>
          </w:p>
        </w:tc>
      </w:tr>
      <w:tr>
        <w:trPr>
          <w:trHeight w:val="230"/>
        </w:trPr>
        <w:tc>
          <w:tcPr>
            <w:tcW w:w="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2b.</w:t>
            </w:r>
          </w:p>
        </w:tc>
        <w:tc>
          <w:tcPr>
            <w:tcW w:w="20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Mr. Yair Seroussi</w:t>
            </w:r>
          </w:p>
        </w:tc>
        <w:tc>
          <w:tcPr>
            <w:tcW w:w="1020" w:type="dxa"/>
            <w:vAlign w:val="bottom"/>
            <w:vMerge w:val="restart"/>
          </w:tcPr>
          <w:p>
            <w:pPr>
              <w:ind w:left="48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940" w:type="dxa"/>
            <w:vAlign w:val="bottom"/>
            <w:vMerge w:val="restart"/>
          </w:tcPr>
          <w:p>
            <w:pPr>
              <w:ind w:left="4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740" w:type="dxa"/>
            <w:vAlign w:val="bottom"/>
            <w:vMerge w:val="restart"/>
          </w:tcPr>
          <w:p>
            <w:pPr>
              <w:ind w:left="4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10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363434"/>
              </w:rPr>
              <w:t>full-time Executive Chairman of the</w:t>
            </w:r>
          </w:p>
        </w:tc>
        <w:tc>
          <w:tcPr>
            <w:tcW w:w="0" w:type="dxa"/>
            <w:vAlign w:val="bottom"/>
          </w:tcPr>
          <w:p>
            <w:pPr>
              <w:spacing w:after="0"/>
              <w:rPr>
                <w:sz w:val="1"/>
                <w:szCs w:val="1"/>
                <w:color w:val="auto"/>
              </w:rPr>
            </w:pPr>
          </w:p>
        </w:tc>
      </w:tr>
      <w:tr>
        <w:trPr>
          <w:trHeight w:val="154"/>
        </w:trPr>
        <w:tc>
          <w:tcPr>
            <w:tcW w:w="300" w:type="dxa"/>
            <w:vAlign w:val="bottom"/>
            <w:vMerge w:val="continue"/>
          </w:tcPr>
          <w:p>
            <w:pPr>
              <w:spacing w:after="0"/>
              <w:rPr>
                <w:sz w:val="13"/>
                <w:szCs w:val="13"/>
                <w:color w:val="auto"/>
              </w:rPr>
            </w:pPr>
          </w:p>
        </w:tc>
        <w:tc>
          <w:tcPr>
            <w:tcW w:w="208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800" w:type="dxa"/>
            <w:vAlign w:val="bottom"/>
            <w:gridSpan w:val="4"/>
            <w:vMerge w:val="restart"/>
          </w:tcPr>
          <w:p>
            <w:pPr>
              <w:ind w:left="420"/>
              <w:spacing w:after="0"/>
              <w:rPr>
                <w:sz w:val="20"/>
                <w:szCs w:val="20"/>
                <w:color w:val="auto"/>
              </w:rPr>
            </w:pPr>
            <w:r>
              <w:rPr>
                <w:rFonts w:ascii="Times New Roman" w:cs="Times New Roman" w:eastAsia="Times New Roman" w:hAnsi="Times New Roman"/>
                <w:sz w:val="18"/>
                <w:szCs w:val="18"/>
                <w:color w:val="363434"/>
                <w:w w:val="97"/>
              </w:rPr>
              <w:t>Board of Directors.</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30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1"/>
        </w:trPr>
        <w:tc>
          <w:tcPr>
            <w:tcW w:w="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2c.</w:t>
            </w:r>
          </w:p>
        </w:tc>
        <w:tc>
          <w:tcPr>
            <w:tcW w:w="20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Ms. Liat Benyamini</w:t>
            </w:r>
          </w:p>
        </w:tc>
        <w:tc>
          <w:tcPr>
            <w:tcW w:w="1020" w:type="dxa"/>
            <w:vAlign w:val="bottom"/>
            <w:vMerge w:val="restart"/>
          </w:tcPr>
          <w:p>
            <w:pPr>
              <w:ind w:left="48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940" w:type="dxa"/>
            <w:vAlign w:val="bottom"/>
            <w:vMerge w:val="restart"/>
          </w:tcPr>
          <w:p>
            <w:pPr>
              <w:ind w:left="4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740" w:type="dxa"/>
            <w:vAlign w:val="bottom"/>
            <w:vMerge w:val="restart"/>
          </w:tcPr>
          <w:p>
            <w:pPr>
              <w:ind w:left="4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1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color w:val="363434"/>
              </w:rPr>
              <w:t>Approve the</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363434"/>
              </w:rPr>
              <w:t>compensation of</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363434"/>
                <w:w w:val="97"/>
              </w:rPr>
              <w:t>Mr.</w:t>
            </w:r>
          </w:p>
        </w:tc>
        <w:tc>
          <w:tcPr>
            <w:tcW w:w="0" w:type="dxa"/>
            <w:vAlign w:val="bottom"/>
          </w:tcPr>
          <w:p>
            <w:pPr>
              <w:spacing w:after="0"/>
              <w:rPr>
                <w:sz w:val="1"/>
                <w:szCs w:val="1"/>
                <w:color w:val="auto"/>
              </w:rPr>
            </w:pPr>
          </w:p>
        </w:tc>
      </w:tr>
      <w:tr>
        <w:trPr>
          <w:trHeight w:val="141"/>
        </w:trPr>
        <w:tc>
          <w:tcPr>
            <w:tcW w:w="300" w:type="dxa"/>
            <w:vAlign w:val="bottom"/>
            <w:vMerge w:val="continue"/>
          </w:tcPr>
          <w:p>
            <w:pPr>
              <w:spacing w:after="0"/>
              <w:rPr>
                <w:sz w:val="12"/>
                <w:szCs w:val="12"/>
                <w:color w:val="auto"/>
              </w:rPr>
            </w:pPr>
          </w:p>
        </w:tc>
        <w:tc>
          <w:tcPr>
            <w:tcW w:w="208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44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363434"/>
                <w:w w:val="98"/>
              </w:rPr>
              <w:t>Yair Seroussi,</w:t>
            </w: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363434"/>
                <w:w w:val="99"/>
              </w:rPr>
              <w:t>our</w:t>
            </w: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363434"/>
              </w:rPr>
              <w:t>newly appointed</w:t>
            </w:r>
          </w:p>
        </w:tc>
        <w:tc>
          <w:tcPr>
            <w:tcW w:w="0" w:type="dxa"/>
            <w:vAlign w:val="bottom"/>
          </w:tcPr>
          <w:p>
            <w:pPr>
              <w:spacing w:after="0"/>
              <w:rPr>
                <w:sz w:val="1"/>
                <w:szCs w:val="1"/>
                <w:color w:val="auto"/>
              </w:rPr>
            </w:pPr>
          </w:p>
        </w:tc>
      </w:tr>
      <w:tr>
        <w:trPr>
          <w:trHeight w:val="75"/>
        </w:trPr>
        <w:tc>
          <w:tcPr>
            <w:tcW w:w="30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0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363434"/>
              </w:rPr>
              <w:t>Vice  Chairman  of  the  Board  of</w:t>
            </w:r>
          </w:p>
        </w:tc>
        <w:tc>
          <w:tcPr>
            <w:tcW w:w="0" w:type="dxa"/>
            <w:vAlign w:val="bottom"/>
          </w:tcPr>
          <w:p>
            <w:pPr>
              <w:spacing w:after="0"/>
              <w:rPr>
                <w:sz w:val="1"/>
                <w:szCs w:val="1"/>
                <w:color w:val="auto"/>
              </w:rPr>
            </w:pPr>
          </w:p>
        </w:tc>
      </w:tr>
      <w:tr>
        <w:trPr>
          <w:trHeight w:val="234"/>
        </w:trPr>
        <w:tc>
          <w:tcPr>
            <w:tcW w:w="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2d.</w:t>
            </w:r>
          </w:p>
        </w:tc>
        <w:tc>
          <w:tcPr>
            <w:tcW w:w="20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Ms. Michal Tzuk</w:t>
            </w:r>
          </w:p>
        </w:tc>
        <w:tc>
          <w:tcPr>
            <w:tcW w:w="1020" w:type="dxa"/>
            <w:vAlign w:val="bottom"/>
            <w:vMerge w:val="restart"/>
          </w:tcPr>
          <w:p>
            <w:pPr>
              <w:ind w:left="48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940" w:type="dxa"/>
            <w:vAlign w:val="bottom"/>
            <w:vMerge w:val="restart"/>
          </w:tcPr>
          <w:p>
            <w:pPr>
              <w:ind w:left="4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740" w:type="dxa"/>
            <w:vAlign w:val="bottom"/>
            <w:vMerge w:val="restart"/>
          </w:tcPr>
          <w:p>
            <w:pPr>
              <w:ind w:left="4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11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363434"/>
              </w:rPr>
              <w:t>Directors.</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00" w:type="dxa"/>
            <w:vAlign w:val="bottom"/>
            <w:vMerge w:val="continue"/>
          </w:tcPr>
          <w:p>
            <w:pPr>
              <w:spacing w:after="0"/>
              <w:rPr>
                <w:sz w:val="22"/>
                <w:szCs w:val="22"/>
                <w:color w:val="auto"/>
              </w:rPr>
            </w:pPr>
          </w:p>
        </w:tc>
        <w:tc>
          <w:tcPr>
            <w:tcW w:w="208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22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Should  any</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other  matter</w:t>
            </w: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20" w:type="dxa"/>
            <w:vAlign w:val="bottom"/>
            <w:vMerge w:val="restart"/>
          </w:tcPr>
          <w:p>
            <w:pPr>
              <w:ind w:left="48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940" w:type="dxa"/>
            <w:vAlign w:val="bottom"/>
            <w:vMerge w:val="restart"/>
          </w:tcPr>
          <w:p>
            <w:pPr>
              <w:ind w:left="4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740" w:type="dxa"/>
            <w:vAlign w:val="bottom"/>
            <w:vMerge w:val="restart"/>
          </w:tcPr>
          <w:p>
            <w:pPr>
              <w:ind w:left="3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86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2e.</w:t>
            </w: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Ms. Alla Felder</w:t>
            </w:r>
          </w:p>
        </w:tc>
        <w:tc>
          <w:tcPr>
            <w:tcW w:w="102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310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requiring a vote of the shareholders</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0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arise,  the  proxies  named  herein  are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0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authorized to vote in accordance with</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0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their best judgment in the interest of the</w:t>
            </w:r>
          </w:p>
        </w:tc>
        <w:tc>
          <w:tcPr>
            <w:tcW w:w="0" w:type="dxa"/>
            <w:vAlign w:val="bottom"/>
          </w:tcPr>
          <w:p>
            <w:pPr>
              <w:spacing w:after="0"/>
              <w:rPr>
                <w:sz w:val="1"/>
                <w:szCs w:val="1"/>
                <w:color w:val="auto"/>
              </w:rPr>
            </w:pPr>
          </w:p>
        </w:tc>
      </w:tr>
      <w:tr>
        <w:trPr>
          <w:trHeight w:val="234"/>
        </w:trPr>
        <w:tc>
          <w:tcPr>
            <w:tcW w:w="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2f.</w:t>
            </w:r>
          </w:p>
        </w:tc>
        <w:tc>
          <w:tcPr>
            <w:tcW w:w="20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Dr. Shai Weil</w:t>
            </w:r>
          </w:p>
        </w:tc>
        <w:tc>
          <w:tcPr>
            <w:tcW w:w="1020" w:type="dxa"/>
            <w:vAlign w:val="bottom"/>
            <w:vMerge w:val="restart"/>
          </w:tcPr>
          <w:p>
            <w:pPr>
              <w:ind w:left="4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940" w:type="dxa"/>
            <w:vAlign w:val="bottom"/>
            <w:vMerge w:val="restart"/>
          </w:tcPr>
          <w:p>
            <w:pPr>
              <w:ind w:left="38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740" w:type="dxa"/>
            <w:vAlign w:val="bottom"/>
            <w:vMerge w:val="restart"/>
          </w:tcPr>
          <w:p>
            <w:pPr>
              <w:ind w:left="3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Company.</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00" w:type="dxa"/>
            <w:vAlign w:val="bottom"/>
            <w:vMerge w:val="continue"/>
          </w:tcPr>
          <w:p>
            <w:pPr>
              <w:spacing w:after="0"/>
              <w:rPr>
                <w:sz w:val="21"/>
                <w:szCs w:val="21"/>
                <w:color w:val="auto"/>
              </w:rPr>
            </w:pPr>
          </w:p>
        </w:tc>
        <w:tc>
          <w:tcPr>
            <w:tcW w:w="208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3100" w:type="dxa"/>
            <w:vAlign w:val="bottom"/>
            <w:gridSpan w:val="7"/>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PLEASE NOTE that by signing and</w:t>
            </w:r>
          </w:p>
        </w:tc>
        <w:tc>
          <w:tcPr>
            <w:tcW w:w="0" w:type="dxa"/>
            <w:vAlign w:val="bottom"/>
          </w:tcPr>
          <w:p>
            <w:pPr>
              <w:spacing w:after="0"/>
              <w:rPr>
                <w:sz w:val="1"/>
                <w:szCs w:val="1"/>
                <w:color w:val="auto"/>
              </w:rPr>
            </w:pPr>
          </w:p>
        </w:tc>
      </w:tr>
      <w:tr>
        <w:trPr>
          <w:trHeight w:val="166"/>
        </w:trPr>
        <w:tc>
          <w:tcPr>
            <w:tcW w:w="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0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submitting</w:t>
            </w:r>
          </w:p>
        </w:tc>
        <w:tc>
          <w:tcPr>
            <w:tcW w:w="62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proxy  card,you</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declare</w:t>
            </w: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that</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you have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 "personal</w:t>
            </w:r>
          </w:p>
        </w:tc>
        <w:tc>
          <w:tcPr>
            <w:tcW w:w="0" w:type="dxa"/>
            <w:vAlign w:val="bottom"/>
          </w:tcPr>
          <w:p>
            <w:pPr>
              <w:spacing w:after="0"/>
              <w:rPr>
                <w:sz w:val="1"/>
                <w:szCs w:val="1"/>
                <w:color w:val="auto"/>
              </w:rPr>
            </w:pPr>
          </w:p>
        </w:tc>
      </w:tr>
      <w:tr>
        <w:trPr>
          <w:trHeight w:val="265"/>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2g.</w:t>
            </w: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Mr. Yitzhak Betzalel</w:t>
            </w:r>
          </w:p>
        </w:tc>
        <w:tc>
          <w:tcPr>
            <w:tcW w:w="10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9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7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276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interest" in any of the items that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are</w:t>
            </w: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00" w:type="dxa"/>
            <w:vAlign w:val="bottom"/>
            <w:gridSpan w:val="7"/>
          </w:tcPr>
          <w:p>
            <w:pPr>
              <w:ind w:left="200"/>
              <w:spacing w:after="0" w:line="167" w:lineRule="exact"/>
              <w:rPr>
                <w:sz w:val="20"/>
                <w:szCs w:val="20"/>
                <w:color w:val="auto"/>
              </w:rPr>
            </w:pPr>
            <w:r>
              <w:rPr>
                <w:rFonts w:ascii="Times New Roman" w:cs="Times New Roman" w:eastAsia="Times New Roman" w:hAnsi="Times New Roman"/>
                <w:sz w:val="18"/>
                <w:szCs w:val="18"/>
                <w:b w:val="1"/>
                <w:bCs w:val="1"/>
                <w:color w:val="auto"/>
              </w:rPr>
              <w:t>proposed for approval at the Special</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00" w:type="dxa"/>
            <w:vAlign w:val="bottom"/>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and  Annual  General  Meeting  of</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00" w:type="dxa"/>
            <w:vAlign w:val="bottom"/>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shareholders, except for a "personal</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00" w:type="dxa"/>
            <w:vAlign w:val="bottom"/>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interest" of which you have notified</w:t>
            </w: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2h.</w:t>
            </w:r>
          </w:p>
        </w:tc>
        <w:tc>
          <w:tcPr>
            <w:tcW w:w="20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Mr. Zvi Furman</w:t>
            </w:r>
          </w:p>
        </w:tc>
        <w:tc>
          <w:tcPr>
            <w:tcW w:w="1020" w:type="dxa"/>
            <w:vAlign w:val="bottom"/>
            <w:vMerge w:val="restart"/>
          </w:tcPr>
          <w:p>
            <w:pPr>
              <w:ind w:left="48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940" w:type="dxa"/>
            <w:vAlign w:val="bottom"/>
            <w:vMerge w:val="restart"/>
          </w:tcPr>
          <w:p>
            <w:pPr>
              <w:ind w:left="4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740" w:type="dxa"/>
            <w:vAlign w:val="bottom"/>
            <w:vMerge w:val="restart"/>
          </w:tcPr>
          <w:p>
            <w:pPr>
              <w:ind w:left="4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100" w:type="dxa"/>
            <w:vAlign w:val="bottom"/>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the Company about in writing, as</w:t>
            </w: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208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w w:val="95"/>
              </w:rPr>
              <w:t>required</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1"/>
              </w:rPr>
              <w:t>the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Israeli</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6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Companies  law  5759-1999.</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00" w:type="dxa"/>
            <w:vAlign w:val="bottom"/>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further information, please see the</w:t>
            </w: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proxy statement.</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145"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14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-4302760</wp:posOffset>
            </wp:positionV>
            <wp:extent cx="7132320" cy="5726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5726430"/>
                    </a:xfrm>
                    <a:prstGeom prst="rect">
                      <a:avLst/>
                    </a:prstGeom>
                    <a:noFill/>
                  </pic:spPr>
                </pic:pic>
              </a:graphicData>
            </a:graphic>
          </wp:anchor>
        </w:drawing>
      </w:r>
    </w:p>
    <w:p>
      <w:pPr>
        <w:spacing w:after="0" w:line="178" w:lineRule="exact"/>
        <w:rPr>
          <w:sz w:val="20"/>
          <w:szCs w:val="20"/>
          <w:color w:val="auto"/>
        </w:rPr>
      </w:pPr>
    </w:p>
    <w:p>
      <w:pPr>
        <w:jc w:val="both"/>
        <w:ind w:left="240" w:right="100"/>
        <w:spacing w:after="0" w:line="266" w:lineRule="auto"/>
        <w:rPr>
          <w:sz w:val="20"/>
          <w:szCs w:val="20"/>
          <w:color w:val="auto"/>
        </w:rPr>
      </w:pPr>
      <w:r>
        <w:rPr>
          <w:rFonts w:ascii="Times New Roman" w:cs="Times New Roman" w:eastAsia="Times New Roman" w:hAnsi="Times New Roman"/>
          <w:sz w:val="18"/>
          <w:szCs w:val="18"/>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line="181" w:lineRule="exact"/>
        <w:tabs>
          <w:tab w:leader="none" w:pos="940" w:val="left"/>
          <w:tab w:leader="none" w:pos="1740" w:val="left"/>
        </w:tabs>
        <w:rPr>
          <w:sz w:val="20"/>
          <w:szCs w:val="20"/>
          <w:color w:val="auto"/>
        </w:rPr>
      </w:pPr>
      <w:r>
        <w:rPr>
          <w:rFonts w:ascii="MS PGothic" w:cs="MS PGothic" w:eastAsia="MS PGothic" w:hAnsi="MS PGothic"/>
          <w:sz w:val="18"/>
          <w:szCs w:val="18"/>
          <w:color w:val="auto"/>
          <w:highlight w:val="black"/>
        </w:rPr>
        <w: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MS PGothic" w:cs="MS PGothic" w:eastAsia="MS PGothic" w:hAnsi="MS PGothic"/>
          <w:sz w:val="16"/>
          <w:szCs w:val="16"/>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1392555</wp:posOffset>
            </wp:positionH>
            <wp:positionV relativeFrom="paragraph">
              <wp:posOffset>-462280</wp:posOffset>
            </wp:positionV>
            <wp:extent cx="17145"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line="181" w:lineRule="exact"/>
        <w:tabs>
          <w:tab w:leader="none" w:pos="940" w:val="left"/>
          <w:tab w:leader="none" w:pos="1740" w:val="left"/>
        </w:tabs>
        <w:rPr>
          <w:sz w:val="20"/>
          <w:szCs w:val="20"/>
          <w:color w:val="auto"/>
        </w:rPr>
      </w:pPr>
      <w:r>
        <w:rPr>
          <w:rFonts w:ascii="MS PGothic" w:cs="MS PGothic" w:eastAsia="MS PGothic" w:hAnsi="MS PGothic"/>
          <w:sz w:val="18"/>
          <w:szCs w:val="18"/>
          <w:color w:val="auto"/>
          <w:highlight w:val="black"/>
        </w:rPr>
        <w: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MS PGothic" w:cs="MS PGothic" w:eastAsia="MS PGothic" w:hAnsi="MS PGothic"/>
          <w:sz w:val="16"/>
          <w:szCs w:val="16"/>
          <w:color w:val="auto"/>
          <w:highlight w:val="black"/>
        </w:rPr>
        <w:t>☐</w:t>
      </w:r>
    </w:p>
    <w:p>
      <w:pPr>
        <w:spacing w:after="0" w:line="6271" w:lineRule="exact"/>
        <w:rPr>
          <w:sz w:val="20"/>
          <w:szCs w:val="20"/>
          <w:color w:val="auto"/>
        </w:rPr>
      </w:pPr>
    </w:p>
    <w:p>
      <w:pPr>
        <w:sectPr>
          <w:pgSz w:w="11900" w:h="16838" w:orient="portrait"/>
          <w:cols w:equalWidth="0" w:num="2">
            <w:col w:w="8660" w:space="360"/>
            <w:col w:w="2220"/>
          </w:cols>
          <w:pgMar w:left="320" w:top="175" w:right="339" w:bottom="1440" w:gutter="0" w:footer="0" w:header="0"/>
        </w:sectPr>
      </w:pPr>
    </w:p>
    <w:tbl>
      <w:tblPr>
        <w:tblLayout w:type="fixed"/>
        <w:tblInd w:w="0" w:type="dxa"/>
        <w:tblCellMar>
          <w:top w:w="0" w:type="dxa"/>
          <w:left w:w="0" w:type="dxa"/>
          <w:bottom w:w="0" w:type="dxa"/>
          <w:right w:w="0" w:type="dxa"/>
        </w:tblCellMar>
      </w:tblPr>
      <w:tr>
        <w:trPr>
          <w:trHeight w:val="466"/>
        </w:trPr>
        <w:tc>
          <w:tcPr>
            <w:tcW w:w="260" w:type="dxa"/>
            <w:vAlign w:val="bottom"/>
            <w:tcBorders>
              <w:right w:val="single" w:sz="8" w:color="auto"/>
            </w:tcBorders>
          </w:tcPr>
          <w:p>
            <w:pPr>
              <w:spacing w:after="0"/>
              <w:rPr>
                <w:sz w:val="24"/>
                <w:szCs w:val="24"/>
                <w:color w:val="auto"/>
              </w:rPr>
            </w:pPr>
          </w:p>
        </w:tc>
        <w:tc>
          <w:tcPr>
            <w:tcW w:w="2460" w:type="dxa"/>
            <w:vAlign w:val="bottom"/>
            <w:tcBorders>
              <w:top w:val="single" w:sz="8" w:color="auto"/>
              <w:bottom w:val="single" w:sz="8" w:color="auto"/>
              <w:right w:val="single" w:sz="8" w:color="auto"/>
            </w:tcBorders>
          </w:tcPr>
          <w:p>
            <w:pPr>
              <w:spacing w:after="0"/>
              <w:rPr>
                <w:sz w:val="24"/>
                <w:szCs w:val="24"/>
                <w:color w:val="auto"/>
              </w:rPr>
            </w:pPr>
          </w:p>
        </w:tc>
        <w:tc>
          <w:tcPr>
            <w:tcW w:w="900" w:type="dxa"/>
            <w:vAlign w:val="bottom"/>
            <w:tcBorders>
              <w:top w:val="single" w:sz="8" w:color="auto"/>
              <w:bottom w:val="single" w:sz="8" w:color="auto"/>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2440" w:type="dxa"/>
            <w:vAlign w:val="bottom"/>
            <w:tcBorders>
              <w:top w:val="single" w:sz="8" w:color="auto"/>
              <w:bottom w:val="single" w:sz="8" w:color="auto"/>
              <w:right w:val="single" w:sz="8" w:color="auto"/>
            </w:tcBorders>
          </w:tcPr>
          <w:p>
            <w:pPr>
              <w:spacing w:after="0"/>
              <w:rPr>
                <w:sz w:val="24"/>
                <w:szCs w:val="24"/>
                <w:color w:val="auto"/>
              </w:rPr>
            </w:pPr>
          </w:p>
        </w:tc>
        <w:tc>
          <w:tcPr>
            <w:tcW w:w="900" w:type="dxa"/>
            <w:vAlign w:val="bottom"/>
            <w:tcBorders>
              <w:top w:val="single" w:sz="8" w:color="auto"/>
              <w:bottom w:val="single" w:sz="8" w:color="auto"/>
              <w:right w:val="single" w:sz="8" w:color="auto"/>
            </w:tcBorders>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2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Signature [PLEASE SIGN</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1600" w:type="dxa"/>
            <w:vAlign w:val="bottom"/>
          </w:tcPr>
          <w:p>
            <w:pPr>
              <w:spacing w:after="0"/>
              <w:rPr>
                <w:sz w:val="17"/>
                <w:szCs w:val="17"/>
                <w:color w:val="auto"/>
              </w:rPr>
            </w:pPr>
          </w:p>
        </w:tc>
        <w:tc>
          <w:tcPr>
            <w:tcW w:w="2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Signature (Joint Owners)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2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60" w:type="dxa"/>
            <w:vAlign w:val="bottom"/>
          </w:tcPr>
          <w:p>
            <w:pPr>
              <w:spacing w:after="0"/>
              <w:rPr>
                <w:sz w:val="10"/>
                <w:szCs w:val="10"/>
                <w:color w:val="auto"/>
              </w:rPr>
            </w:pPr>
          </w:p>
        </w:tc>
        <w:tc>
          <w:tcPr>
            <w:tcW w:w="2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WITHIN BOX]</w:t>
            </w:r>
          </w:p>
        </w:tc>
        <w:tc>
          <w:tcPr>
            <w:tcW w:w="90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24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246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1"/>
        </w:trPr>
        <w:tc>
          <w:tcPr>
            <w:tcW w:w="2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75" w:right="339" w:bottom="1440" w:gutter="0" w:footer="0" w:header="0"/>
          <w:type w:val="continuous"/>
        </w:sectPr>
      </w:pPr>
    </w:p>
    <w:bookmarkStart w:id="50" w:name="page51"/>
    <w:bookmarkEnd w:id="50"/>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Special and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Annual General Meeting:</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Notice and Proxy Statement is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297180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21E1F"/>
        </w:rPr>
        <w:t>V</w:t>
      </w:r>
      <w:r>
        <w:rPr>
          <w:rFonts w:ascii="Times New Roman" w:cs="Times New Roman" w:eastAsia="Times New Roman" w:hAnsi="Times New Roman"/>
          <w:sz w:val="18"/>
          <w:szCs w:val="18"/>
          <w:color w:val="000000"/>
        </w:rPr>
        <w:t>77552-P37357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165100</wp:posOffset>
            </wp:positionV>
            <wp:extent cx="7179310" cy="2935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9310" cy="293560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ENLIGHT RENEWABLE ENERGY LTD.</w:t>
      </w:r>
    </w:p>
    <w:p>
      <w:pPr>
        <w:spacing w:after="0" w:line="31" w:lineRule="exact"/>
        <w:rPr>
          <w:sz w:val="20"/>
          <w:szCs w:val="20"/>
          <w:color w:val="auto"/>
        </w:rPr>
      </w:pPr>
    </w:p>
    <w:p>
      <w:pPr>
        <w:jc w:val="center"/>
        <w:ind w:right="340"/>
        <w:spacing w:after="0" w:line="271" w:lineRule="auto"/>
        <w:rPr>
          <w:sz w:val="20"/>
          <w:szCs w:val="20"/>
          <w:color w:val="auto"/>
        </w:rPr>
      </w:pPr>
      <w:r>
        <w:rPr>
          <w:rFonts w:ascii="Times New Roman" w:cs="Times New Roman" w:eastAsia="Times New Roman" w:hAnsi="Times New Roman"/>
          <w:sz w:val="18"/>
          <w:szCs w:val="18"/>
          <w:b w:val="1"/>
          <w:bCs w:val="1"/>
          <w:color w:val="231F20"/>
        </w:rPr>
        <w:t>SPECIAL AND ANNUAL GENERAL MEETING OF SHAREHOLDERS To be held on September 30, 2025 4:00 p.m. Israel Time This Proxy Is Solicited On Behalf Of The Board Of Directors</w:t>
      </w:r>
    </w:p>
    <w:p>
      <w:pPr>
        <w:spacing w:after="0" w:line="17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231F20"/>
        </w:rPr>
        <w:t>The undersigned shareholder(s) hereby appoint(s) Ms. Lisa Haimovitz and Ms. Helit Megido, or either of them, as proxies, each with the power to appoint her substitute, and hereby authorize(s) them to represent and to vote, as designated on the reverse side of this ballot, all of the ordinary shares of ENLIGHT RENEWABLE ENERGY LTD. that the shareholder(s) is/are entitled to vote as of the close of business on August 26, 2025 at the Special and Annual General Meeting of Shareholders to be held at 4:00 p.m. Israel time, on September 30, 2025, at 13 Amal St., Afek Industrial Park, Rosh Ha’ayin 4809249, Israel, and any adjournment or postponement thereof.</w:t>
      </w:r>
    </w:p>
    <w:p>
      <w:pPr>
        <w:spacing w:after="0" w:line="182"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b w:val="1"/>
          <w:bCs w:val="1"/>
          <w:color w:val="231F20"/>
        </w:rPr>
        <w:t>This proxy, when properly executed, will be voted in the manner directed herein. To the extent permitted by law and applicable stock exchange requirements, if no such direction is made, this proxy will be voted in accordance with the Board of Directors' recommendations.</w:t>
      </w:r>
    </w:p>
    <w:p>
      <w:pPr>
        <w:spacing w:after="0" w:line="158"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231F20"/>
        </w:rPr>
        <w:t>Should any other matter requiring a vote of the shareholders arise, the proxies named above are authorized to vote in accordance with their best judgment in the interest of the Company. Any and all proxies given by the undersigned prior to this proxy are hereby revoked.</w:t>
      </w:r>
    </w:p>
    <w:p>
      <w:pPr>
        <w:spacing w:after="0" w:line="1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414020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508635</wp:posOffset>
            </wp:positionV>
            <wp:extent cx="71323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140"/>
      </w:cols>
      <w:pgMar w:left="4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1)"/>
      <w:numFmt w:val="lowerRoman"/>
      <w:start w:val="1"/>
    </w:lvl>
  </w:abstractNum>
  <w:abstractNum w:abstractNumId="1">
    <w:nsid w:val="6CEAF087"/>
    <w:multiLevelType w:val="hybridMultilevel"/>
    <w:lvl w:ilvl="0">
      <w:lvlJc w:val="left"/>
      <w:lvlText w:val="%1."/>
      <w:numFmt w:val="decimal"/>
      <w:start w:val="1"/>
    </w:lvl>
    <w:lvl w:ilvl="1">
      <w:lvlJc w:val="left"/>
      <w:lvlText w:val="%2."/>
      <w:numFmt w:val="lowerLetter"/>
      <w:start w:val="1"/>
    </w:lvl>
  </w:abstractNum>
  <w:abstractNum w:abstractNumId="2">
    <w:nsid w:val="22221A70"/>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3">
    <w:nsid w:val="4516DD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abstractNum>
  <w:abstractNum w:abstractNumId="4">
    <w:nsid w:val="3006C83E"/>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1)"/>
      <w:numFmt w:val="lowerLetter"/>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1)"/>
      <w:numFmt w:val="decimal"/>
      <w:start w:val="1"/>
    </w:lvl>
  </w:abstractNum>
  <w:abstractNum w:abstractNumId="12">
    <w:nsid w:val="7724C67E"/>
    <w:multiLevelType w:val="hybridMultilevel"/>
    <w:lvl w:ilvl="0">
      <w:lvlJc w:val="left"/>
      <w:lvlText w:val="(%1)"/>
      <w:numFmt w:val="decimal"/>
      <w:start w:val="5"/>
    </w:lvl>
  </w:abstractNum>
  <w:abstractNum w:abstractNumId="13">
    <w:nsid w:val="5C482A97"/>
    <w:multiLevelType w:val="hybridMultilevel"/>
    <w:lvl w:ilvl="0">
      <w:lvlJc w:val="left"/>
      <w:lvlText w:val="(%1)"/>
      <w:numFmt w:val="decimal"/>
      <w:start w:val="1"/>
    </w:lvl>
  </w:abstractNum>
  <w:abstractNum w:abstractNumId="14">
    <w:nsid w:val="2463B9EA"/>
    <w:multiLevelType w:val="hybridMultilevel"/>
    <w:lvl w:ilvl="0">
      <w:lvlJc w:val="left"/>
      <w:lvlText w:val="%1."/>
      <w:numFmt w:val="lowerLetter"/>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1"/>
      <w:numFmt w:val="bullet"/>
      <w:start w:val="1"/>
    </w:lvl>
  </w:abstractNum>
  <w:abstractNum w:abstractNumId="17">
    <w:nsid w:val="2D517796"/>
    <w:multiLevelType w:val="hybridMultilevel"/>
    <w:lvl w:ilvl="0">
      <w:lvlJc w:val="left"/>
      <w:lvlText w:val="(%1)"/>
      <w:numFmt w:val="lowerLetter"/>
      <w:start w:val="1"/>
    </w:lvl>
  </w:abstractNum>
  <w:abstractNum w:abstractNumId="18">
    <w:nsid w:val="580BD78F"/>
    <w:multiLevelType w:val="hybridMultilevel"/>
    <w:lvl w:ilvl="0">
      <w:lvlJc w:val="left"/>
      <w:lvlText w:val="(%1)"/>
      <w:numFmt w:val="lowerLetter"/>
      <w:start w:val="1"/>
    </w:lvl>
    <w:lvl w:ilvl="1">
      <w:lvlJc w:val="left"/>
      <w:lvlText w:val="%2."/>
      <w:numFmt w:val="decimal"/>
      <w:start w:val="1"/>
    </w:lvl>
  </w:abstractNum>
  <w:abstractNum w:abstractNumId="19">
    <w:nsid w:val="153EA438"/>
    <w:multiLevelType w:val="hybridMultilevel"/>
    <w:lvl w:ilvl="0">
      <w:lvlJc w:val="left"/>
      <w:lvlText w:val="%1"/>
      <w:numFmt w:val="lowerLetter"/>
      <w:start w:val="1"/>
    </w:lvl>
    <w:lvl w:ilvl="1">
      <w:lvlJc w:val="left"/>
      <w:lvlText w:val="%2."/>
      <w:numFmt w:val="decimal"/>
      <w:start w:val="4"/>
    </w:lvl>
  </w:abstractNum>
  <w:abstractNum w:abstractNumId="20">
    <w:nsid w:val="3855585C"/>
    <w:multiLevelType w:val="hybridMultilevel"/>
    <w:lvl w:ilvl="0">
      <w:lvlJc w:val="left"/>
      <w:lvlText w:val="(%1)"/>
      <w:numFmt w:val="lowerLetter"/>
      <w:start w:val="2"/>
    </w:lvl>
    <w:lvl w:ilvl="1">
      <w:lvlJc w:val="left"/>
      <w:lvlText w:val="%2."/>
      <w:numFmt w:val="decimal"/>
      <w:start w:val="1"/>
    </w:lvl>
  </w:abstractNum>
  <w:abstractNum w:abstractNumId="21">
    <w:nsid w:val="70A64E2A"/>
    <w:multiLevelType w:val="hybridMultilevel"/>
    <w:lvl w:ilvl="0">
      <w:lvlJc w:val="left"/>
      <w:lvlText w:val="1"/>
      <w:numFmt w:val="bullet"/>
      <w:start w:val="1"/>
    </w:lvl>
  </w:abstractNum>
  <w:abstractNum w:abstractNumId="22">
    <w:nsid w:val="6A2342EC"/>
    <w:multiLevelType w:val="hybridMultilevel"/>
    <w:lvl w:ilvl="0">
      <w:lvlJc w:val="left"/>
      <w:lvlText w:val="2"/>
      <w:numFmt w:val="bullet"/>
      <w:start w:val="1"/>
    </w:lvl>
  </w:abstractNum>
  <w:abstractNum w:abstractNumId="23">
    <w:nsid w:val="2A487CB0"/>
    <w:multiLevelType w:val="hybridMultilevel"/>
    <w:lvl w:ilvl="0">
      <w:lvlJc w:val="left"/>
      <w:lvlText w:val="3"/>
      <w:numFmt w:val="bullet"/>
      <w:start w:val="1"/>
    </w:lvl>
  </w:abstractNum>
  <w:abstractNum w:abstractNumId="24">
    <w:nsid w:val="1D4ED43B"/>
    <w:multiLevelType w:val="hybridMultilevel"/>
    <w:lvl w:ilvl="0">
      <w:lvlJc w:val="left"/>
      <w:lvlText w:val="%1."/>
      <w:numFmt w:val="decimal"/>
      <w:start w:val="1"/>
    </w:lvl>
  </w:abstractNum>
  <w:abstractNum w:abstractNumId="25">
    <w:nsid w:val="725A06FB"/>
    <w:multiLevelType w:val="hybridMultilevel"/>
    <w:lvl w:ilvl="0">
      <w:lvlJc w:val="left"/>
      <w:lvlText w:val="2"/>
      <w:numFmt w:val="bullet"/>
      <w:start w:val="1"/>
    </w:lvl>
  </w:abstractNum>
  <w:abstractNum w:abstractNumId="26">
    <w:nsid w:val="2CD89A32"/>
    <w:multiLevelType w:val="hybridMultilevel"/>
    <w:lvl w:ilvl="0">
      <w:lvlJc w:val="left"/>
      <w:lvlText w:val="%1."/>
      <w:numFmt w:val="decimal"/>
      <w:start w:val="4"/>
    </w:lvl>
  </w:abstractNum>
  <w:abstractNum w:abstractNumId="27">
    <w:nsid w:val="57E4CCAF"/>
    <w:multiLevelType w:val="hybridMultilevel"/>
    <w:lvl w:ilvl="0">
      <w:lvlJc w:val="left"/>
      <w:lvlText w:val="(%1)"/>
      <w:numFmt w:val="lowerLetter"/>
      <w:start w:val="1"/>
    </w:lvl>
  </w:abstractNum>
  <w:abstractNum w:abstractNumId="28">
    <w:nsid w:val="7A6D8D3C"/>
    <w:multiLevelType w:val="hybridMultilevel"/>
    <w:lvl w:ilvl="0">
      <w:lvlJc w:val="left"/>
      <w:lvlText w:val="(%1)"/>
      <w:numFmt w:val="lowerLetter"/>
      <w:start w:val="1"/>
    </w:lvl>
    <w:lvl w:ilvl="1">
      <w:lvlJc w:val="left"/>
      <w:lvlText w:val="%2."/>
      <w:numFmt w:val="decimal"/>
      <w:start w:val="1"/>
    </w:lvl>
  </w:abstractNum>
  <w:abstractNum w:abstractNumId="29">
    <w:nsid w:val="4B588F54"/>
    <w:multiLevelType w:val="hybridMultilevel"/>
    <w:lvl w:ilvl="0">
      <w:lvlJc w:val="left"/>
      <w:lvlText w:val="%1."/>
      <w:numFmt w:val="decimal"/>
      <w:start w:val="4"/>
    </w:lvl>
  </w:abstractNum>
  <w:abstractNum w:abstractNumId="30">
    <w:nsid w:val="542289EC"/>
    <w:multiLevelType w:val="hybridMultilevel"/>
    <w:lvl w:ilvl="0">
      <w:lvlJc w:val="left"/>
      <w:lvlText w:val="%1."/>
      <w:numFmt w:val="decimal"/>
      <w:start w:val="1"/>
    </w:lvl>
  </w:abstractNum>
  <w:abstractNum w:abstractNumId="31">
    <w:nsid w:val="6DE91B18"/>
    <w:multiLevelType w:val="hybridMultilevel"/>
    <w:lvl w:ilvl="0">
      <w:lvlJc w:val="left"/>
      <w:lvlText w:val="3"/>
      <w:numFmt w:val="bullet"/>
      <w:start w:val="1"/>
    </w:lvl>
  </w:abstractNum>
  <w:abstractNum w:abstractNumId="32">
    <w:nsid w:val="38437FDB"/>
    <w:multiLevelType w:val="hybridMultilevel"/>
    <w:lvl w:ilvl="0">
      <w:lvlJc w:val="left"/>
      <w:lvlText w:val="%1."/>
      <w:numFmt w:val="decimal"/>
      <w:start w:val="8"/>
    </w:lvl>
  </w:abstractNum>
  <w:abstractNum w:abstractNumId="33">
    <w:nsid w:val="7644A45C"/>
    <w:multiLevelType w:val="hybridMultilevel"/>
    <w:lvl w:ilvl="0">
      <w:lvlJc w:val="left"/>
      <w:lvlText w:val="1"/>
      <w:numFmt w:val="bullet"/>
      <w:start w:val="1"/>
    </w:lvl>
  </w:abstractNum>
  <w:abstractNum w:abstractNumId="34">
    <w:nsid w:val="32FFF902"/>
    <w:multiLevelType w:val="hybridMultilevel"/>
    <w:lvl w:ilvl="0">
      <w:lvlJc w:val="left"/>
      <w:lvlText w:val="(%1)"/>
      <w:numFmt w:val="lowerLetter"/>
      <w:start w:val="1"/>
    </w:lvl>
    <w:lvl w:ilvl="1">
      <w:lvlJc w:val="left"/>
      <w:lvlText w:val="%2."/>
      <w:numFmt w:val="decimal"/>
      <w:start w:val="1"/>
    </w:lvl>
  </w:abstractNum>
  <w:abstractNum w:abstractNumId="35">
    <w:nsid w:val="684A481A"/>
    <w:multiLevelType w:val="hybridMultilevel"/>
    <w:lvl w:ilvl="0">
      <w:lvlJc w:val="left"/>
      <w:lvlText w:val="%1."/>
      <w:numFmt w:val="decimal"/>
      <w:start w:val="9"/>
    </w:lvl>
  </w:abstractNum>
  <w:abstractNum w:abstractNumId="36">
    <w:nsid w:val="579478FE"/>
    <w:multiLevelType w:val="hybridMultilevel"/>
    <w:lvl w:ilvl="0">
      <w:lvlJc w:val="left"/>
      <w:lvlText w:val="%1."/>
      <w:numFmt w:val="decimal"/>
      <w:start w:val="1"/>
    </w:lvl>
  </w:abstractNum>
  <w:abstractNum w:abstractNumId="37">
    <w:nsid w:val="749ABB43"/>
    <w:multiLevelType w:val="hybridMultilevel"/>
    <w:lvl w:ilvl="0">
      <w:lvlJc w:val="left"/>
      <w:lvlText w:val="1"/>
      <w:numFmt w:val="bullet"/>
      <w:start w:val="1"/>
    </w:lvl>
  </w:abstractNum>
  <w:abstractNum w:abstractNumId="38">
    <w:nsid w:val="3DC240FB"/>
    <w:multiLevelType w:val="hybridMultilevel"/>
    <w:lvl w:ilvl="0">
      <w:lvlJc w:val="left"/>
      <w:lvlText w:val="1"/>
      <w:numFmt w:val="bullet"/>
      <w:start w:val="1"/>
    </w:lvl>
  </w:abstractNum>
  <w:abstractNum w:abstractNumId="39">
    <w:nsid w:val="1BA026FA"/>
    <w:multiLevelType w:val="hybridMultilevel"/>
    <w:lvl w:ilvl="0">
      <w:lvlJc w:val="left"/>
      <w:lvlText w:val="%1."/>
      <w:numFmt w:val="decimal"/>
      <w:start w:val="1"/>
    </w:lvl>
  </w:abstractNum>
  <w:abstractNum w:abstractNumId="40">
    <w:nsid w:val="79A1DEAA"/>
    <w:multiLevelType w:val="hybridMultilevel"/>
    <w:lvl w:ilvl="0">
      <w:lvlJc w:val="left"/>
      <w:lvlText w:val="%1."/>
      <w:numFmt w:val="decimal"/>
      <w:start w:val="3"/>
    </w:lvl>
  </w:abstractNum>
  <w:abstractNum w:abstractNumId="41">
    <w:nsid w:val="75C6C33A"/>
    <w:multiLevelType w:val="hybridMultilevel"/>
    <w:lvl w:ilvl="0">
      <w:lvlJc w:val="left"/>
      <w:lvlText w:val="%1."/>
      <w:numFmt w:val="decimal"/>
      <w:start w:val="4"/>
    </w:lvl>
  </w:abstractNum>
  <w:abstractNum w:abstractNumId="42">
    <w:nsid w:val="12E685FB"/>
    <w:multiLevelType w:val="hybridMultilevel"/>
    <w:lvl w:ilvl="0">
      <w:lvlJc w:val="left"/>
      <w:lvlText w:val="(%1)"/>
      <w:numFmt w:val="lowerLetter"/>
      <w:start w:val="1"/>
    </w:lvl>
  </w:abstractNum>
  <w:abstractNum w:abstractNumId="43">
    <w:nsid w:val="70C6A529"/>
    <w:multiLevelType w:val="hybridMultilevel"/>
    <w:lvl w:ilvl="0">
      <w:lvlJc w:val="left"/>
      <w:lvlText w:val="%1."/>
      <w:numFmt w:val="decimal"/>
      <w:start w:val="5"/>
    </w:lvl>
  </w:abstractNum>
  <w:abstractNum w:abstractNumId="44">
    <w:nsid w:val="520EEDD1"/>
    <w:multiLevelType w:val="hybridMultilevel"/>
    <w:lvl w:ilvl="0">
      <w:lvlJc w:val="left"/>
      <w:lvlText w:val="%1."/>
      <w:numFmt w:val="decimal"/>
      <w:start w:val="6"/>
    </w:lvl>
  </w:abstractNum>
  <w:abstractNum w:abstractNumId="45">
    <w:nsid w:val="374A3FE6"/>
    <w:multiLevelType w:val="hybridMultilevel"/>
    <w:lvl w:ilvl="0">
      <w:lvlJc w:val="left"/>
      <w:lvlText w:val="6"/>
      <w:numFmt w:val="bullet"/>
      <w:start w:val="1"/>
    </w:lvl>
  </w:abstractNum>
  <w:abstractNum w:abstractNumId="46">
    <w:nsid w:val="4F4EF005"/>
    <w:multiLevelType w:val="hybridMultilevel"/>
    <w:lvl w:ilvl="0">
      <w:lvlJc w:val="left"/>
      <w:lvlText w:val="8"/>
      <w:numFmt w:val="bullet"/>
      <w:start w:val="1"/>
    </w:lvl>
  </w:abstractNum>
  <w:abstractNum w:abstractNumId="47">
    <w:nsid w:val="23F9C13C"/>
    <w:multiLevelType w:val="hybridMultilevel"/>
    <w:lvl w:ilvl="0">
      <w:lvlJc w:val="left"/>
      <w:lvlText w:val="%1."/>
      <w:numFmt w:val="decimal"/>
      <w:start w:val="7"/>
    </w:lvl>
  </w:abstractNum>
  <w:abstractNum w:abstractNumId="48">
    <w:nsid w:val="649BB77C"/>
    <w:multiLevelType w:val="hybridMultilevel"/>
    <w:lvl w:ilvl="0">
      <w:lvlJc w:val="left"/>
      <w:lvlText w:val="%1"/>
      <w:numFmt w:val="lowerLetter"/>
      <w:start w:val="1"/>
    </w:lvl>
    <w:lvl w:ilvl="1">
      <w:lvlJc w:val="left"/>
      <w:lvlText w:val="%2."/>
      <w:numFmt w:val="lowerLetter"/>
      <w:start w:val="1"/>
    </w:lvl>
  </w:abstractNum>
  <w:abstractNum w:abstractNumId="49">
    <w:nsid w:val="275AC794"/>
    <w:multiLevelType w:val="hybridMultilevel"/>
    <w:lvl w:ilvl="0">
      <w:lvlJc w:val="left"/>
      <w:lvlText w:val="%1."/>
      <w:numFmt w:val="lowerLetter"/>
      <w:start w:val="7"/>
    </w:lvl>
    <w:lvl w:ilvl="1">
      <w:lvlJc w:val="left"/>
      <w:lvlText w:val="%2"/>
      <w:numFmt w:val="lowerLetter"/>
      <w:start w:val="1"/>
    </w:lvl>
  </w:abstractNum>
  <w:abstractNum w:abstractNumId="50">
    <w:nsid w:val="39386575"/>
    <w:multiLevelType w:val="hybridMultilevel"/>
    <w:lvl w:ilvl="0">
      <w:lvlJc w:val="left"/>
      <w:lvlText w:val="%1."/>
      <w:numFmt w:val="lowerLetter"/>
      <w:start w:val="10"/>
    </w:lvl>
  </w:abstractNum>
  <w:abstractNum w:abstractNumId="51">
    <w:nsid w:val="1CF10FD8"/>
    <w:multiLevelType w:val="hybridMultilevel"/>
    <w:lvl w:ilvl="0">
      <w:lvlJc w:val="left"/>
      <w:lvlText w:val="%1."/>
      <w:numFmt w:val="lowerLetter"/>
      <w:start w:val="1"/>
    </w:lvl>
  </w:abstractNum>
  <w:abstractNum w:abstractNumId="52">
    <w:nsid w:val="180115BE"/>
    <w:multiLevelType w:val="hybridMultilevel"/>
    <w:lvl w:ilvl="0">
      <w:lvlJc w:val="left"/>
      <w:lvlText w:val=" "/>
      <w:numFmt w:val="bullet"/>
      <w:start w:val="1"/>
    </w:lvl>
  </w:abstractNum>
  <w:abstractNum w:abstractNumId="53">
    <w:nsid w:val="235BA861"/>
    <w:multiLevelType w:val="hybridMultilevel"/>
    <w:lvl w:ilvl="0">
      <w:lvlJc w:val="left"/>
      <w:lvlText w:val=" "/>
      <w:numFmt w:val="bullet"/>
      <w:start w:val="1"/>
    </w:lvl>
  </w:abstractNum>
  <w:abstractNum w:abstractNumId="54">
    <w:nsid w:val="47398C89"/>
    <w:multiLevelType w:val="hybridMultilevel"/>
    <w:lvl w:ilvl="0">
      <w:lvlJc w:val="left"/>
      <w:lvlText w:val="(%1)"/>
      <w:numFmt w:val="lowerLetter"/>
      <w:start w:val="1"/>
    </w:lvl>
  </w:abstractNum>
  <w:abstractNum w:abstractNumId="55">
    <w:nsid w:val="354FE9F9"/>
    <w:multiLevelType w:val="hybridMultilevel"/>
    <w:lvl w:ilvl="0">
      <w:lvlJc w:val="left"/>
      <w:lvlText w:val="%1."/>
      <w:numFmt w:val="decimal"/>
      <w:start w:val="8"/>
    </w:lvl>
  </w:abstractNum>
  <w:abstractNum w:abstractNumId="56">
    <w:nsid w:val="15B5AF5C"/>
    <w:multiLevelType w:val="hybridMultilevel"/>
    <w:lvl w:ilvl="0">
      <w:lvlJc w:val="left"/>
      <w:lvlText w:val="%1."/>
      <w:numFmt w:val="decimal"/>
      <w:start w:val="10"/>
    </w:lvl>
  </w:abstractNum>
  <w:abstractNum w:abstractNumId="57">
    <w:nsid w:val="741226BB"/>
    <w:multiLevelType w:val="hybridMultilevel"/>
    <w:lvl w:ilvl="0">
      <w:lvlJc w:val="left"/>
      <w:lvlText w:val="%1."/>
      <w:numFmt w:val="decimal"/>
      <w:start w:val="11"/>
    </w:lvl>
  </w:abstractNum>
  <w:abstractNum w:abstractNumId="58">
    <w:nsid w:val="D34B6A8"/>
    <w:multiLevelType w:val="hybridMultilevel"/>
    <w:lvl w:ilvl="0">
      <w:lvlJc w:val="left"/>
      <w:lvlText w:val="%1."/>
      <w:numFmt w:val="decimal"/>
      <w:start w:val="12"/>
    </w:lvl>
  </w:abstractNum>
  <w:abstractNum w:abstractNumId="59">
    <w:nsid w:val="10233C99"/>
    <w:multiLevelType w:val="hybridMultilevel"/>
    <w:lvl w:ilvl="0">
      <w:lvlJc w:val="left"/>
      <w:lvlText w:val="%1."/>
      <w:numFmt w:val="decimal"/>
      <w:start w:val="1"/>
    </w:lvl>
  </w:abstractNum>
  <w:abstractNum w:abstractNumId="60">
    <w:nsid w:val="3F6AB60F"/>
    <w:multiLevelType w:val="hybridMultilevel"/>
    <w:lvl w:ilvl="0">
      <w:lvlJc w:val="left"/>
      <w:lvlText w:val="%1."/>
      <w:numFmt w:val="decimal"/>
      <w:start w:val="3"/>
    </w:lvl>
  </w:abstractNum>
  <w:abstractNum w:abstractNumId="61">
    <w:nsid w:val="61574095"/>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2025-08-07T13:32:39Z</dcterms:created>
  <dcterms:modified xsi:type="dcterms:W3CDTF">2025-08-07T13:32:39Z</dcterms:modified>
</cp:coreProperties>
</file>