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23"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59" w:right="1440" w:bottom="1440" w:gutter="0" w:footer="0" w:header="0"/>
        </w:sectPr>
      </w:pPr>
    </w:p>
    <w:bookmarkStart w:id="1" w:name="page2"/>
    <w:bookmarkEnd w:id="1"/>
    <w:p>
      <w:pPr>
        <w:ind w:left="2520"/>
        <w:spacing w:after="0"/>
        <w:rPr>
          <w:sz w:val="20"/>
          <w:szCs w:val="20"/>
          <w:color w:val="auto"/>
        </w:rPr>
      </w:pPr>
      <w:r>
        <w:rPr>
          <w:rFonts w:ascii="Times New Roman" w:cs="Times New Roman" w:eastAsia="Times New Roman" w:hAnsi="Times New Roman"/>
          <w:sz w:val="22"/>
          <w:szCs w:val="22"/>
          <w:b w:val="1"/>
          <w:bCs w:val="1"/>
          <w:u w:val="single" w:color="auto"/>
          <w:color w:val="auto"/>
        </w:rPr>
        <w:t>Enlight Announces the Financial Close for Project Quail Ranch</w:t>
      </w:r>
    </w:p>
    <w:p>
      <w:pPr>
        <w:spacing w:after="0" w:line="23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Enlight Renewable Energy Ltd. (“Enlight” or the “Company”) announces that the Company has entered into a debt financing (the “Debt Financing”) for its Quail Ranch project (the “Project” or “Quail Ranch”), located outside Albuquerque, New Mexico, USA.</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Debt Financing, Enlight, through its subsidiary, Clenera Holdings LLC, has secured construction financing commitments with a consortium of four leading global banks including, BNP Paribas Securities Corp, Crédit Agricole, Natixis Corporate &amp; Investment Banking, and Norddeutsche Landesbank Girozentrale (Nord/LB), totaling $243 million. Upon the Project’s commercial operation date (“COD”), part of the construction loan is expected to convert into a $120 million term loan with the rest of the construction loans expected to be repaid with tax equity. The term loan is structured with an amortization tenor of 25 years and is to be fully repaid 5 years from the Project’s COD (mini perm). The loans are subject to an all-in interest rate of 5.5%-6.0%. The Company serves as the parent guarantor for certain obligations as defined under the financing agreements. The Project has a 20-year busbar power purchase agreement for the solar generation and energy storage capacity with the Public Service Company of New Mexico (“PNM”). The Company expects to conclude a tax equity transaction during 2025, noting that the Project has met the terms required to achieve safe harbor status for beginning of construction. The Company expects the Project to be eligible for the 10% Energy Community Bonus Credit.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summarize the Project’s financial information as expected at COD:</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314"/>
        </w:trPr>
        <w:tc>
          <w:tcPr>
            <w:tcW w:w="3420" w:type="dxa"/>
            <w:vAlign w:val="bottom"/>
            <w:tcBorders>
              <w:top w:val="single" w:sz="8" w:color="auto"/>
              <w:left w:val="single" w:sz="8" w:color="auto"/>
              <w:bottom w:val="single" w:sz="8" w:color="auto"/>
              <w:right w:val="single" w:sz="8" w:color="auto"/>
            </w:tcBorders>
          </w:tcPr>
          <w:p>
            <w:pPr>
              <w:jc w:val="center"/>
              <w:spacing w:after="0" w:line="294" w:lineRule="exact"/>
              <w:rPr>
                <w:sz w:val="20"/>
                <w:szCs w:val="20"/>
                <w:color w:val="auto"/>
              </w:rPr>
            </w:pPr>
            <w:r>
              <w:rPr>
                <w:rFonts w:ascii="Times New Roman" w:cs="Times New Roman" w:eastAsia="Times New Roman" w:hAnsi="Times New Roman"/>
                <w:sz w:val="18"/>
                <w:szCs w:val="18"/>
                <w:b w:val="1"/>
                <w:bCs w:val="1"/>
                <w:color w:val="auto"/>
                <w:w w:val="97"/>
              </w:rPr>
              <w:t>Total Project cost</w:t>
            </w:r>
            <w:r>
              <w:rPr>
                <w:rFonts w:ascii="Times New Roman" w:cs="Times New Roman" w:eastAsia="Times New Roman" w:hAnsi="Times New Roman"/>
                <w:sz w:val="29"/>
                <w:szCs w:val="29"/>
                <w:b w:val="1"/>
                <w:bCs w:val="1"/>
                <w:color w:val="auto"/>
                <w:w w:val="97"/>
                <w:vertAlign w:val="superscript"/>
              </w:rPr>
              <w:t>1</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debt</w:t>
            </w:r>
          </w:p>
        </w:tc>
        <w:tc>
          <w:tcPr>
            <w:tcW w:w="4220" w:type="dxa"/>
            <w:vAlign w:val="bottom"/>
            <w:tcBorders>
              <w:top w:val="single" w:sz="8" w:color="auto"/>
              <w:bottom w:val="single" w:sz="8" w:color="auto"/>
              <w:right w:val="single" w:sz="8" w:color="auto"/>
            </w:tcBorders>
          </w:tcPr>
          <w:p>
            <w:pPr>
              <w:jc w:val="center"/>
              <w:spacing w:after="0" w:line="294" w:lineRule="exact"/>
              <w:rPr>
                <w:sz w:val="20"/>
                <w:szCs w:val="20"/>
                <w:color w:val="auto"/>
              </w:rPr>
            </w:pPr>
            <w:r>
              <w:rPr>
                <w:rFonts w:ascii="Times New Roman" w:cs="Times New Roman" w:eastAsia="Times New Roman" w:hAnsi="Times New Roman"/>
                <w:sz w:val="18"/>
                <w:szCs w:val="18"/>
                <w:b w:val="1"/>
                <w:bCs w:val="1"/>
                <w:color w:val="auto"/>
                <w:w w:val="99"/>
              </w:rPr>
              <w:t>Estimated tax equity proceeds</w:t>
            </w:r>
            <w:r>
              <w:rPr>
                <w:rFonts w:ascii="Times New Roman" w:cs="Times New Roman" w:eastAsia="Times New Roman" w:hAnsi="Times New Roman"/>
                <w:sz w:val="29"/>
                <w:szCs w:val="29"/>
                <w:b w:val="1"/>
                <w:bCs w:val="1"/>
                <w:color w:val="auto"/>
                <w:w w:val="99"/>
                <w:vertAlign w:val="superscript"/>
              </w:rPr>
              <w:t>2</w:t>
            </w:r>
          </w:p>
        </w:tc>
      </w:tr>
      <w:tr>
        <w:trPr>
          <w:trHeight w:val="220"/>
        </w:trPr>
        <w:tc>
          <w:tcPr>
            <w:tcW w:w="3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$265-310 million</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 million</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$135-155 million</w:t>
            </w:r>
          </w:p>
        </w:tc>
      </w:tr>
      <w:tr>
        <w:trPr>
          <w:trHeight w:val="37"/>
        </w:trPr>
        <w:tc>
          <w:tcPr>
            <w:tcW w:w="34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4225" cy="387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38798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3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Project cost net of tax equity</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Projected revenues in first full year</w:t>
            </w:r>
          </w:p>
        </w:tc>
      </w:tr>
      <w:tr>
        <w:trPr>
          <w:trHeight w:val="35"/>
        </w:trPr>
        <w:tc>
          <w:tcPr>
            <w:tcW w:w="34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240"/>
        </w:trPr>
        <w:tc>
          <w:tcPr>
            <w:tcW w:w="3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$130-155 million</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$22-24 million</w:t>
            </w:r>
          </w:p>
        </w:tc>
      </w:tr>
      <w:tr>
        <w:trPr>
          <w:trHeight w:val="41"/>
        </w:trPr>
        <w:tc>
          <w:tcPr>
            <w:tcW w:w="34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auto"/>
        </w:rPr>
        <w:t>Projected EBITDA in first full year</w:t>
      </w:r>
      <w:r>
        <w:rPr>
          <w:rFonts w:ascii="Times New Roman" w:cs="Times New Roman" w:eastAsia="Times New Roman" w:hAnsi="Times New Roman"/>
          <w:sz w:val="28"/>
          <w:szCs w:val="28"/>
          <w:b w:val="1"/>
          <w:bCs w:val="1"/>
          <w:color w:val="auto"/>
          <w:vertAlign w:val="superscript"/>
        </w:rPr>
        <w:t>3</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$17-19 million</w:t>
      </w:r>
    </w:p>
    <w:p>
      <w:pPr>
        <w:spacing w:after="0" w:line="258" w:lineRule="exact"/>
        <w:rPr>
          <w:sz w:val="20"/>
          <w:szCs w:val="20"/>
          <w:color w:val="auto"/>
        </w:rPr>
      </w:pPr>
    </w:p>
    <w:p>
      <w:pPr>
        <w:sectPr>
          <w:pgSz w:w="11900" w:h="16838" w:orient="portrait"/>
          <w:cols w:equalWidth="0" w:num="2">
            <w:col w:w="7020" w:space="700"/>
            <w:col w:w="3520"/>
          </w:cols>
          <w:pgMar w:left="320" w:top="351" w:right="339" w:bottom="1440" w:gutter="0" w:footer="0" w:header="0"/>
          <w:type w:val="continuous"/>
        </w:sectPr>
      </w:pPr>
    </w:p>
    <w:p>
      <w:pPr>
        <w:jc w:val="both"/>
        <w:spacing w:after="0" w:line="297" w:lineRule="auto"/>
        <w:rPr>
          <w:sz w:val="20"/>
          <w:szCs w:val="20"/>
          <w:color w:val="auto"/>
        </w:rPr>
      </w:pPr>
      <w:r>
        <w:rPr>
          <w:rFonts w:ascii="Times New Roman" w:cs="Times New Roman" w:eastAsia="Times New Roman" w:hAnsi="Times New Roman"/>
          <w:sz w:val="18"/>
          <w:szCs w:val="18"/>
          <w:color w:val="auto"/>
        </w:rPr>
        <w:t>Quail Ranch consists of 128 MW solar generation and 400 MWh of energy storage capacity. The Project is expected to reach COD towards the end of 2025. Construction at the 506-acre site has already begun, and all procurement contracts have been signed.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filing presents EBITDA, which is a non-IFRS financial measure. 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For example, other companies in our industry may calculate the non-IFRS financial measures that we use differently or may use other measures to evaluate their performance. All of these limitations could reduce the usefulness of our non-IFRS financial measures as analytical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1142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399" w:lineRule="exact"/>
        <w:rPr>
          <w:sz w:val="20"/>
          <w:szCs w:val="20"/>
          <w:color w:val="auto"/>
        </w:rPr>
      </w:pPr>
    </w:p>
    <w:p>
      <w:pPr>
        <w:ind w:right="500" w:firstLine="8"/>
        <w:spacing w:after="0" w:line="201" w:lineRule="auto"/>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Project cost giving effect to the US tariffs recently announced, based on the Company’s best estimates using current available information. Actual Project costs could be materially different based on final tariffs and the Company’s mitigation efforts.</w:t>
      </w:r>
    </w:p>
    <w:p>
      <w:pPr>
        <w:spacing w:after="0" w:line="1" w:lineRule="exact"/>
        <w:rPr>
          <w:rFonts w:ascii="Times New Roman" w:cs="Times New Roman" w:eastAsia="Times New Roman" w:hAnsi="Times New Roman"/>
          <w:sz w:val="30"/>
          <w:szCs w:val="30"/>
          <w:color w:val="auto"/>
          <w:vertAlign w:val="superscript"/>
        </w:rPr>
      </w:pPr>
    </w:p>
    <w:p>
      <w:pPr>
        <w:jc w:val="both"/>
        <w:ind w:right="140"/>
        <w:spacing w:after="0" w:line="22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The estimated tax equity proceeds include the value of the ITC and 85% of the PTC. The remaining PTC will be paid annually to the Company, based on actual production, over the initial 10 years of the Project’s operation and is expected to total $12m. The estimated tax equity proceeds assume a tax equity partnership structure, 99% of tax benefits and 10%-20% of EBITDA for 10 years will be transferred to the tax partner. Expected tax equity is estimated to account for approximately 50% of total Project cost, in every scenario within the specified range provided.</w:t>
      </w:r>
    </w:p>
    <w:p>
      <w:pPr>
        <w:spacing w:after="0" w:line="1" w:lineRule="exact"/>
        <w:rPr>
          <w:rFonts w:ascii="Times New Roman" w:cs="Times New Roman" w:eastAsia="Times New Roman" w:hAnsi="Times New Roman"/>
          <w:sz w:val="30"/>
          <w:szCs w:val="30"/>
          <w:color w:val="auto"/>
          <w:vertAlign w:val="superscript"/>
        </w:rPr>
      </w:pPr>
    </w:p>
    <w:p>
      <w:pPr>
        <w:spacing w:after="0" w:line="19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EBITDA is a non-IFRS financial measure. This figure represents EBITDA from the sale of electricity and excludes all expected ITC and PTC proceeds as well as the impact of a potential tax equity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in this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expectations relating to the Project, plans, projections, predicted or anticipated future results, the PPA and the related interconnection agreement and lease option, and the completion timeline for the Project,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the impact of tariffs on the cost of construction (and our ability to mitigate such impact); construction delays, operational delays and supply chain disruptions leading to increased cost of materials required for the construction of our projects, as well as cost overruns and delays related to disputes with contractors;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Securities and Exchange Commission (the “SEC”) and our other documents filed with or furnished to the SEC.</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April 14, 2025</w:t>
      </w:r>
      <w:r>
        <w:rPr>
          <w:sz w:val="20"/>
          <w:szCs w:val="20"/>
          <w:color w:val="auto"/>
        </w:rPr>
        <w:tab/>
      </w:r>
      <w:r>
        <w:rPr>
          <w:rFonts w:ascii="Times New Roman" w:cs="Times New Roman" w:eastAsia="Times New Roman" w:hAnsi="Times New Roman"/>
          <w:sz w:val="18"/>
          <w:szCs w:val="18"/>
          <w:color w:val="auto"/>
        </w:rPr>
        <w:t>By:</w:t>
        <w:tab/>
        <w:t>/s/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Lisa Haimovitz</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3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2025-04-14T05:08:55Z</dcterms:created>
  <dcterms:modified xsi:type="dcterms:W3CDTF">2025-04-14T05:08:55Z</dcterms:modified>
</cp:coreProperties>
</file>