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Enlight Announces Entry into a Partnership with Institutional Investors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a Cluster of Projects Comprising 5% of its Israeli Portfolio</w:t>
      </w:r>
    </w:p>
    <w:p>
      <w:pPr>
        <w:spacing w:after="0" w:line="2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Enlight Renewable Energy Ltd. (“Enlight” or the “Company”) announces the signing of an agreement (the “Sale Agreement”) to sell 44% of a partnership (the “Partnership”) which holds the Sunlight cluster (the “Cluster”) of Israeli renewable energy projects to Harel Insurance Investments &amp; Financial Services Ltd. and Amitim Senior Pension Funds (the “Investors”), who will acquire a 25% and 19% stake respectively.</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Investors will purchase 44% of the Partnership for a total investment of $50 million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cash, of which $45 million will be paid upfront, and $5 million will be deferred consideration to be paid by the Investors upon fulfillment of certain conditions set forth in the Sale Agreement. Upon completion of the transaction, which is expected to occur during the first quarter of 2025, the Company will cease to consolidate the financial results of the Partnership in its financial statements and will accordingly recognize a profit of $94 million based on a valuation of $114 million for the entire Cluster of projects included in the Partnership.</w:t>
      </w:r>
    </w:p>
    <w:p>
      <w:pPr>
        <w:spacing w:after="0" w:line="2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Sunlight Cluster consists of operational and pre-construction projects totaling 69 MW of solar generation and 448 MWh of energy storage capacity, and accounts for 5% of the capacity of Enlight’s total portfolio in Israel and 1% of the capacity of Enlight's total global portfolio.</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Investors will acquire 44% of the Limited Partner rights in the Partnership and assume a proportionate amount of related shareholder loans. A wholly-owned subsidiary of the Company will act as the General Partner in the Partnership. Completion of the transaction is contingent upon obtaining approval of the Israeli Competition Authority.</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net equity value of the Sunlight Cluster (assets less bank debt) was $20 million as of the third quarter of 2024. Upon completion of the transaction, the Company will accordingly recognize a profit of $94 million. Projects currently operating within the Cluster are expected to generate revenues of $5 million and EBITDA of $4 million in 2024, and the Cluster is expected to generate revenues of $19 million and EBITDA of $16 million in the first year of full operation of all its projects (including those currently in the pre-construction stage).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completion of the Sale Agreement, the parties will enter into a number of additional commercial arrangements:</w:t>
      </w:r>
    </w:p>
    <w:p>
      <w:pPr>
        <w:spacing w:after="0" w:line="252" w:lineRule="exact"/>
        <w:rPr>
          <w:sz w:val="20"/>
          <w:szCs w:val="20"/>
          <w:color w:val="auto"/>
        </w:rPr>
      </w:pPr>
    </w:p>
    <w:p>
      <w:pPr>
        <w:ind w:left="840" w:hanging="184"/>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commit to future investments in projects under construction.</w:t>
      </w:r>
    </w:p>
    <w:p>
      <w:pPr>
        <w:spacing w:after="0" w:line="238" w:lineRule="exact"/>
        <w:rPr>
          <w:rFonts w:ascii="Times New Roman" w:cs="Times New Roman" w:eastAsia="Times New Roman" w:hAnsi="Times New Roman"/>
          <w:sz w:val="18"/>
          <w:szCs w:val="18"/>
          <w:color w:val="auto"/>
        </w:rPr>
      </w:pPr>
    </w:p>
    <w:p>
      <w:pPr>
        <w:ind w:left="660" w:right="80" w:hanging="4"/>
        <w:spacing w:after="0" w:line="297" w:lineRule="auto"/>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the exclusive right to purchase all the electricity produced by the Cluster under a 20-year availability agreement whose commercial terms were set between the parties.</w:t>
      </w:r>
    </w:p>
    <w:p>
      <w:pPr>
        <w:spacing w:after="0" w:line="16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commitment to the duration and minimal level of holdings in the Limited Partnership.</w:t>
      </w:r>
    </w:p>
    <w:p>
      <w:pPr>
        <w:spacing w:after="0" w:line="238" w:lineRule="exact"/>
        <w:rPr>
          <w:rFonts w:ascii="Times New Roman" w:cs="Times New Roman" w:eastAsia="Times New Roman" w:hAnsi="Times New Roman"/>
          <w:sz w:val="18"/>
          <w:szCs w:val="18"/>
          <w:color w:val="auto"/>
        </w:rPr>
      </w:pPr>
    </w:p>
    <w:p>
      <w:pPr>
        <w:ind w:left="660" w:right="560" w:hanging="4"/>
        <w:spacing w:after="0" w:line="297" w:lineRule="auto"/>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Investors to mandate the sale of 50% of the Company’s holdings in the General Partner to a third party and terminate the management agreements with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the completion of the Sale Agreement will occur, or, if it does occur, of its terms or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60" w:firstLine="8"/>
        <w:spacing w:after="0" w:line="214"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in U.S. dollars are calculated based on a U.S. dollar to Israeli Shekel conversion rate of 1 to 3.71, as reported in the Company’s financial statements for the period ending September 30, 2024, except for the financial results for projects in 2024, which are based on average exchange rates for the entire year.</w:t>
      </w:r>
    </w:p>
    <w:p>
      <w:pPr>
        <w:spacing w:after="0" w:line="3" w:lineRule="exact"/>
        <w:rPr>
          <w:rFonts w:ascii="Times New Roman" w:cs="Times New Roman" w:eastAsia="Times New Roman" w:hAnsi="Times New Roman"/>
          <w:sz w:val="30"/>
          <w:szCs w:val="30"/>
          <w:color w:val="auto"/>
          <w:vertAlign w:val="superscript"/>
        </w:rPr>
      </w:pPr>
    </w:p>
    <w:p>
      <w:pPr>
        <w:ind w:right="60"/>
        <w:spacing w:after="0" w:line="20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Enlight’s global projects consist of 19.2 GW of generation and 31.8 GWh of energy storage capacity, located in Israel, Europe, and the United States, and allocated into Mature, Advanced Development, and Development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 w:name="page3"/>
    <w:bookmarkEnd w:id="2"/>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Report of Foreign Private Issuer on Form 6-K shall not be deemed to be “filed” for purposes of Section 18 of the Securities Exchange Act, as amended (the “Exchange Act”), or otherwise subject to the liabilities of that section, nor shall it be deemed incorporated by reference in any filing under the Securities Act of 1933, as amended, or the Exchange 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5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This filing presents EBITDA, which is a non-IFRS financial measure. A reconciliation of the non-IFRS financial information to the most directly comparable IFRS financial measure is provided in the accompanying table found at the end of this release. 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 Investors are encouraged to review the related IFRS financial measure, Net Income, and the reconciliations of EBITDA provided below to Net Income and to not rely on any single financial measure to evaluate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filing other than statements of historical fact, including, without limitation, statements regarding the Company’s expectations relating to the Sale Agreement, the Partnership, the Cluster, operating projections, including revenue and EBITDA expectations,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and our other documents filed with or furnished to the SEC.</w:t>
      </w:r>
    </w:p>
    <w:p>
      <w:pPr>
        <w:spacing w:after="0" w:line="2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filing.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83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January 28, 2025</w:t>
      </w:r>
      <w:r>
        <w:rPr>
          <w:sz w:val="20"/>
          <w:szCs w:val="20"/>
          <w:color w:val="auto"/>
        </w:rPr>
        <w:tab/>
      </w:r>
      <w:r>
        <w:rPr>
          <w:rFonts w:ascii="Times New Roman" w:cs="Times New Roman" w:eastAsia="Times New Roman" w:hAnsi="Times New Roman"/>
          <w:sz w:val="18"/>
          <w:szCs w:val="18"/>
          <w:color w:val="auto"/>
        </w:rPr>
        <w:t>By:</w:t>
        <w:tab/>
        <w:t>/s/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2025-01-28T05:15:17Z</dcterms:created>
  <dcterms:modified xsi:type="dcterms:W3CDTF">2025-01-28T05:15:17Z</dcterms:modified>
</cp:coreProperties>
</file>