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214630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5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FORM 6-K</w:t>
      </w:r>
    </w:p>
    <w:p>
      <w:pPr>
        <w:spacing w:after="0" w:line="15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2"/>
          <w:szCs w:val="12"/>
          <w:b w:val="1"/>
          <w:bCs w:val="1"/>
          <w:color w:val="auto"/>
        </w:rPr>
        <w:t>REPORT OF FOREIGN PRIVATE ISSUER</w:t>
      </w:r>
    </w:p>
    <w:p>
      <w:pPr>
        <w:spacing w:after="0" w:line="21"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PURSUANT TO RULE 13A-16 OR 15D-16</w:t>
      </w:r>
    </w:p>
    <w:p>
      <w:pPr>
        <w:spacing w:after="0" w:line="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UNDER THE SECURITIES EXCHANGE ACT OF 1934</w:t>
      </w:r>
    </w:p>
    <w:p>
      <w:pPr>
        <w:spacing w:after="0" w:line="15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For the month of November 2025</w:t>
      </w:r>
    </w:p>
    <w:p>
      <w:pPr>
        <w:spacing w:after="0" w:line="16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Commission File Number: 001-41613</w:t>
      </w:r>
    </w:p>
    <w:p>
      <w:pPr>
        <w:spacing w:after="0" w:line="15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Enlight Renewable Energy Ltd.</w:t>
      </w:r>
    </w:p>
    <w:p>
      <w:pPr>
        <w:spacing w:after="0" w:line="3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(Translation of registrant’s name into English)</w:t>
      </w:r>
    </w:p>
    <w:p>
      <w:pPr>
        <w:spacing w:after="0" w:line="15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13 Amal St., Afek Industrial Park</w:t>
      </w:r>
    </w:p>
    <w:p>
      <w:pPr>
        <w:spacing w:after="0" w:line="2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Rosh Ha’ayin, Israel</w:t>
      </w:r>
    </w:p>
    <w:p>
      <w:pPr>
        <w:spacing w:after="0" w:line="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+ 972 (3) 900-8700</w:t>
      </w:r>
    </w:p>
    <w:p>
      <w:pPr>
        <w:spacing w:after="0" w:line="1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(Address of principal executive office)</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of Form 20-F or Form 40-F.</w:t>
      </w:r>
    </w:p>
    <w:p>
      <w:pPr>
        <w:spacing w:after="0" w:line="131" w:lineRule="exact"/>
        <w:rPr>
          <w:sz w:val="24"/>
          <w:szCs w:val="24"/>
          <w:color w:val="auto"/>
        </w:rPr>
      </w:pPr>
    </w:p>
    <w:p>
      <w:pPr>
        <w:ind w:left="4920"/>
        <w:spacing w:after="0" w:line="138" w:lineRule="exact"/>
        <w:tabs>
          <w:tab w:leader="none" w:pos="5700" w:val="left"/>
        </w:tabs>
        <w:rPr>
          <w:sz w:val="20"/>
          <w:szCs w:val="20"/>
          <w:color w:val="auto"/>
        </w:rPr>
      </w:pPr>
      <w:r>
        <w:rPr>
          <w:rFonts w:ascii="Times New Roman" w:cs="Times New Roman" w:eastAsia="Times New Roman" w:hAnsi="Times New Roman"/>
          <w:sz w:val="12"/>
          <w:szCs w:val="12"/>
          <w:color w:val="auto"/>
        </w:rPr>
        <w:t xml:space="preserve">Form 20-F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1"/>
          <w:szCs w:val="11"/>
          <w:color w:val="auto"/>
        </w:rPr>
        <w:t xml:space="preserve">Form 40-F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205740</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59"/>
          </w:cols>
          <w:pgMar w:left="300" w:top="544"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EXPLANATORY NOTE</w:t>
      </w:r>
    </w:p>
    <w:p>
      <w:pPr>
        <w:spacing w:after="0" w:line="15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2"/>
          <w:szCs w:val="12"/>
          <w:color w:val="auto"/>
        </w:rPr>
        <w:t>On November 12, 2025, Enlight Renewable Energy Ltd.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issued a press release titled: “Enlight Renewable Energy Reports Third Quarter 2025 Financial Results” and will conduct a conference call using a presentation titled: “Enlight Earnings Presentation Third Quarter 2025.” Details of the conference call are provided in the press release. A copy of the press release, as well as supplemental appendices containing further information regarding the Company’s financial results for the nine-month period ended September 30, 2025, and other operational updates, is furnished as Exhibit 99.1 herewith and a copy of the presentation is furnished as Exhibit 99.2 herewith.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Incorporation by Reference</w:t>
      </w:r>
    </w:p>
    <w:p>
      <w:pPr>
        <w:spacing w:after="0" w:line="159"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2"/>
          <w:szCs w:val="12"/>
          <w:color w:val="auto"/>
        </w:rPr>
        <w:t>Other than as indicated below, the information in this Form 6-K (including in Exhibits 99.1 and 99.2) shall not be deemed “filed” for purposes of Section 18 of the Securities Exchange Act of 1934, as amended (the “</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or otherwise subject to the liabilities of that section, nor shall it be deemed incorporated by reference in any filing under the Securities Act of 1933, as amended, or the Exchange Act.</w:t>
      </w:r>
    </w:p>
    <w:p>
      <w:pPr>
        <w:spacing w:after="0" w:line="107"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2"/>
          <w:szCs w:val="12"/>
          <w:color w:val="auto"/>
        </w:rPr>
        <w:t>The IFRS financial information contained in the (i) consolidated statements of financial position, (ii) consolidated statements of income and (iii) consolidated statements of cash flows included in the press release attached as Exhibit 99.1 to this Report on Form 6-K is hereby incorporated by reference into the Company’s Registration Statement on Form S-8 (File No. 333-271297).</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EXHIBIT INDEX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exhibit is furnished as part of this Form 6-K:</w:t>
      </w:r>
    </w:p>
    <w:p>
      <w:pPr>
        <w:spacing w:after="0" w:line="15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u w:val="single" w:color="auto"/>
          <w:color w:val="auto"/>
        </w:rPr>
        <w:t>Exhibit</w:t>
      </w:r>
      <w:r>
        <w:rPr>
          <w:sz w:val="20"/>
          <w:szCs w:val="20"/>
          <w:color w:val="auto"/>
        </w:rPr>
        <w:tab/>
      </w:r>
      <w:r>
        <w:rPr>
          <w:rFonts w:ascii="Times New Roman" w:cs="Times New Roman" w:eastAsia="Times New Roman" w:hAnsi="Times New Roman"/>
          <w:sz w:val="12"/>
          <w:szCs w:val="12"/>
          <w:b w:val="1"/>
          <w:bCs w:val="1"/>
          <w:u w:val="single" w:color="auto"/>
          <w:color w:val="auto"/>
        </w:rPr>
        <w:t>Description</w:t>
      </w:r>
    </w:p>
    <w:p>
      <w:pPr>
        <w:spacing w:after="0" w:line="15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u w:val="single" w:color="auto"/>
          <w:color w:val="0000EE"/>
        </w:rPr>
        <w:t>99.1</w:t>
      </w:r>
      <w:r>
        <w:rPr>
          <w:sz w:val="20"/>
          <w:szCs w:val="20"/>
          <w:color w:val="auto"/>
        </w:rPr>
        <w:tab/>
      </w:r>
      <w:r>
        <w:rPr>
          <w:rFonts w:ascii="Times New Roman" w:cs="Times New Roman" w:eastAsia="Times New Roman" w:hAnsi="Times New Roman"/>
          <w:sz w:val="12"/>
          <w:szCs w:val="12"/>
          <w:u w:val="single" w:color="auto"/>
          <w:color w:val="0000EE"/>
        </w:rPr>
        <w:t>Press Release of Enlight Renewable Energy Ltd., dated November12, 2025, titled: “Enlight Renewable Energy Reports Third Quarter 2025 Financial Results”.</w:t>
      </w:r>
    </w:p>
    <w:p>
      <w:pPr>
        <w:spacing w:after="0" w:line="1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u w:val="single" w:color="auto"/>
          <w:color w:val="0000EE"/>
        </w:rPr>
        <w:t>99.2</w:t>
      </w:r>
      <w:r>
        <w:rPr>
          <w:sz w:val="20"/>
          <w:szCs w:val="20"/>
          <w:color w:val="auto"/>
        </w:rPr>
        <w:tab/>
      </w:r>
      <w:r>
        <w:rPr>
          <w:rFonts w:ascii="Times New Roman" w:cs="Times New Roman" w:eastAsia="Times New Roman" w:hAnsi="Times New Roman"/>
          <w:sz w:val="12"/>
          <w:szCs w:val="12"/>
          <w:u w:val="single" w:color="auto"/>
          <w:color w:val="0000EE"/>
        </w:rPr>
        <w:t>Enlight Earnings Presentation Third Quarter 2025.</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as amended, the registrant has duly caused this report to be signed on its behalf by the undersigned, thereunto duly authorized.</w:t>
      </w:r>
    </w:p>
    <w:p>
      <w:pPr>
        <w:spacing w:after="0" w:line="17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Enlight Renewable Energy Ltd.</w:t>
      </w:r>
    </w:p>
    <w:p>
      <w:pPr>
        <w:spacing w:after="0" w:line="163" w:lineRule="exact"/>
        <w:rPr>
          <w:sz w:val="20"/>
          <w:szCs w:val="20"/>
          <w:color w:val="auto"/>
        </w:rPr>
      </w:pPr>
    </w:p>
    <w:p>
      <w:pPr>
        <w:spacing w:after="0"/>
        <w:tabs>
          <w:tab w:leader="none" w:pos="5640" w:val="left"/>
          <w:tab w:leader="none" w:pos="5960" w:val="left"/>
        </w:tabs>
        <w:rPr>
          <w:sz w:val="20"/>
          <w:szCs w:val="20"/>
          <w:color w:val="auto"/>
        </w:rPr>
      </w:pPr>
      <w:r>
        <w:rPr>
          <w:rFonts w:ascii="Times New Roman" w:cs="Times New Roman" w:eastAsia="Times New Roman" w:hAnsi="Times New Roman"/>
          <w:sz w:val="12"/>
          <w:szCs w:val="12"/>
          <w:color w:val="auto"/>
        </w:rPr>
        <w:t>Date: November 12, 2025</w:t>
      </w:r>
      <w:r>
        <w:rPr>
          <w:sz w:val="20"/>
          <w:szCs w:val="20"/>
          <w:color w:val="auto"/>
        </w:rPr>
        <w:tab/>
      </w:r>
      <w:r>
        <w:rPr>
          <w:rFonts w:ascii="Times New Roman" w:cs="Times New Roman" w:eastAsia="Times New Roman" w:hAnsi="Times New Roman"/>
          <w:sz w:val="12"/>
          <w:szCs w:val="12"/>
          <w:color w:val="auto"/>
        </w:rPr>
        <w:t>By:</w:t>
        <w:tab/>
        <w:t>/s/ Lisa Haimovitz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16510</wp:posOffset>
            </wp:positionV>
            <wp:extent cx="337185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71850" cy="11430"/>
                    </a:xfrm>
                    <a:prstGeom prst="rect">
                      <a:avLst/>
                    </a:prstGeom>
                    <a:noFill/>
                  </pic:spPr>
                </pic:pic>
              </a:graphicData>
            </a:graphic>
          </wp:anchor>
        </w:drawing>
      </w:r>
    </w:p>
    <w:p>
      <w:pPr>
        <w:spacing w:after="0" w:line="1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Lisa Haimovitz</w:t>
      </w:r>
    </w:p>
    <w:p>
      <w:pPr>
        <w:spacing w:after="0" w:line="1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VP General Counsel</w:t>
      </w:r>
    </w:p>
    <w:p>
      <w:pPr>
        <w:spacing w:after="0" w:line="1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45085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107950</wp:posOffset>
            </wp:positionV>
            <wp:extent cx="7178040"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168910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6417945</wp:posOffset>
            </wp:positionH>
            <wp:positionV relativeFrom="paragraph">
              <wp:posOffset>104775</wp:posOffset>
            </wp:positionV>
            <wp:extent cx="760095" cy="302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0095" cy="30289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780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57" w:lineRule="exact"/>
        <w:rPr>
          <w:sz w:val="20"/>
          <w:szCs w:val="20"/>
          <w:color w:val="auto"/>
        </w:rPr>
      </w:pPr>
    </w:p>
    <w:p>
      <w:pPr>
        <w:ind w:left="4408"/>
        <w:spacing w:after="0"/>
        <w:rPr>
          <w:sz w:val="20"/>
          <w:szCs w:val="20"/>
          <w:color w:val="auto"/>
        </w:rPr>
      </w:pPr>
      <w:r>
        <w:rPr>
          <w:rFonts w:ascii="Times New Roman" w:cs="Times New Roman" w:eastAsia="Times New Roman" w:hAnsi="Times New Roman"/>
          <w:sz w:val="12"/>
          <w:szCs w:val="12"/>
          <w:b w:val="1"/>
          <w:bCs w:val="1"/>
          <w:color w:val="auto"/>
        </w:rPr>
        <w:t>ENLIGHT RENEWABLE ENERGY REPORTS</w:t>
      </w:r>
    </w:p>
    <w:p>
      <w:pPr>
        <w:spacing w:after="0" w:line="21" w:lineRule="exact"/>
        <w:rPr>
          <w:sz w:val="20"/>
          <w:szCs w:val="20"/>
          <w:color w:val="auto"/>
        </w:rPr>
      </w:pPr>
    </w:p>
    <w:p>
      <w:pPr>
        <w:ind w:left="4368"/>
        <w:spacing w:after="0"/>
        <w:rPr>
          <w:sz w:val="20"/>
          <w:szCs w:val="20"/>
          <w:color w:val="auto"/>
        </w:rPr>
      </w:pPr>
      <w:r>
        <w:rPr>
          <w:rFonts w:ascii="Times New Roman" w:cs="Times New Roman" w:eastAsia="Times New Roman" w:hAnsi="Times New Roman"/>
          <w:sz w:val="12"/>
          <w:szCs w:val="12"/>
          <w:b w:val="1"/>
          <w:bCs w:val="1"/>
          <w:color w:val="auto"/>
        </w:rPr>
        <w:t>THIRD QUARTER 2025 FINANCIAL RESULTS</w:t>
      </w:r>
    </w:p>
    <w:p>
      <w:pPr>
        <w:spacing w:after="0" w:line="1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All of the amounts disclosed in this press release are in U.S. dollars unless otherwise noted</w:t>
      </w:r>
    </w:p>
    <w:p>
      <w:pPr>
        <w:spacing w:after="0" w:line="170" w:lineRule="exact"/>
        <w:rPr>
          <w:sz w:val="20"/>
          <w:szCs w:val="20"/>
          <w:color w:val="auto"/>
        </w:rPr>
      </w:pPr>
    </w:p>
    <w:p>
      <w:pPr>
        <w:ind w:left="8" w:right="20"/>
        <w:spacing w:after="0" w:line="295" w:lineRule="auto"/>
        <w:rPr>
          <w:sz w:val="20"/>
          <w:szCs w:val="20"/>
          <w:color w:val="auto"/>
        </w:rPr>
      </w:pPr>
      <w:r>
        <w:rPr>
          <w:rFonts w:ascii="Times New Roman" w:cs="Times New Roman" w:eastAsia="Times New Roman" w:hAnsi="Times New Roman"/>
          <w:sz w:val="12"/>
          <w:szCs w:val="12"/>
          <w:color w:val="auto"/>
        </w:rPr>
        <w:t>TEL AVIV, ISRAEL, November 12, 2025 – Enlight Renewable Energy (NASDAQ: ENLT, TASE: ENLT) today reported financial results for the third quarter of 2025 ending September 30, 2025. Registration links for the Company’s earnings English and Hebrew conference call and webcasts can be found at the end of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185025" cy="2127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5025" cy="212725"/>
                    </a:xfrm>
                    <a:prstGeom prst="rect">
                      <a:avLst/>
                    </a:prstGeom>
                    <a:noFill/>
                  </pic:spPr>
                </pic:pic>
              </a:graphicData>
            </a:graphic>
          </wp:anchor>
        </w:drawing>
      </w:r>
    </w:p>
    <w:p>
      <w:pPr>
        <w:spacing w:after="0" w:line="110" w:lineRule="exact"/>
        <w:rPr>
          <w:sz w:val="20"/>
          <w:szCs w:val="20"/>
          <w:color w:val="auto"/>
        </w:rPr>
      </w:pPr>
    </w:p>
    <w:p>
      <w:pPr>
        <w:ind w:left="8" w:right="4060"/>
        <w:spacing w:after="0" w:line="468" w:lineRule="auto"/>
        <w:rPr>
          <w:sz w:val="20"/>
          <w:szCs w:val="20"/>
          <w:color w:val="auto"/>
        </w:rPr>
      </w:pPr>
      <w:r>
        <w:rPr>
          <w:sz w:val="1"/>
          <w:szCs w:val="1"/>
          <w:color w:val="auto"/>
        </w:rPr>
        <w:drawing>
          <wp:inline distT="0" distB="0" distL="0" distR="0">
            <wp:extent cx="12700" cy="2127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12725"/>
                    </a:xfrm>
                    <a:prstGeom prst="rect">
                      <a:avLst/>
                    </a:prstGeom>
                    <a:noFill/>
                    <a:ln>
                      <a:noFill/>
                    </a:ln>
                  </pic:spPr>
                </pic:pic>
              </a:graphicData>
            </a:graphic>
          </wp:inline>
        </w:drawing>
        <w:drawing>
          <wp:inline distT="0" distB="0" distL="0" distR="0">
            <wp:extent cx="12700" cy="13271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132715"/>
                    </a:xfrm>
                    <a:prstGeom prst="rect">
                      <a:avLst/>
                    </a:prstGeom>
                    <a:noFill/>
                    <a:ln>
                      <a:noFill/>
                    </a:ln>
                  </pic:spPr>
                </pic:pic>
              </a:graphicData>
            </a:graphic>
          </wp:inline>
        </w:drawing>
      </w:r>
      <w:r>
        <w:rPr>
          <w:rFonts w:ascii="Times New Roman" w:cs="Times New Roman" w:eastAsia="Times New Roman" w:hAnsi="Times New Roman"/>
          <w:sz w:val="12"/>
          <w:szCs w:val="12"/>
          <w:b w:val="1"/>
          <w:bCs w:val="1"/>
          <w:color w:val="auto"/>
        </w:rPr>
        <w:t>The entire suite of the Company’s 3Q25 financial results can be found on our IR website at https://enlightenergy.co.il/data/financial-reports/ Financial Highlights</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9 months ending September 30, 2025</w:t>
      </w:r>
    </w:p>
    <w:p>
      <w:pPr>
        <w:spacing w:after="0" w:line="161" w:lineRule="exact"/>
        <w:rPr>
          <w:sz w:val="20"/>
          <w:szCs w:val="20"/>
          <w:color w:val="auto"/>
        </w:rPr>
      </w:pPr>
    </w:p>
    <w:p>
      <w:pPr>
        <w:ind w:left="208" w:hanging="208"/>
        <w:spacing w:after="0"/>
        <w:tabs>
          <w:tab w:leader="none" w:pos="20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 and income of $430m, up 46% year over year</w:t>
      </w:r>
    </w:p>
    <w:p>
      <w:pPr>
        <w:spacing w:after="0" w:line="1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income of $140m, up 140% year over year</w:t>
      </w:r>
    </w:p>
    <w:p>
      <w:pPr>
        <w:spacing w:after="0" w:line="6" w:lineRule="exact"/>
        <w:rPr>
          <w:rFonts w:ascii="Times New Roman" w:cs="Times New Roman" w:eastAsia="Times New Roman" w:hAnsi="Times New Roman"/>
          <w:sz w:val="12"/>
          <w:szCs w:val="12"/>
          <w:color w:val="auto"/>
        </w:rPr>
      </w:pPr>
    </w:p>
    <w:p>
      <w:pPr>
        <w:ind w:left="208" w:hanging="208"/>
        <w:spacing w:after="0" w:line="189" w:lineRule="auto"/>
        <w:tabs>
          <w:tab w:leader="none" w:pos="208" w:val="left"/>
        </w:tabs>
        <w:numPr>
          <w:ilvl w:val="0"/>
          <w:numId w:val="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Adjusted EBITDA</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0"/>
          <w:szCs w:val="10"/>
          <w:color w:val="auto"/>
        </w:rPr>
        <w:t xml:space="preserve"> of $339m, up 52% year over year</w:t>
      </w:r>
    </w:p>
    <w:p>
      <w:pPr>
        <w:ind w:left="208" w:hanging="208"/>
        <w:spacing w:after="0"/>
        <w:tabs>
          <w:tab w:leader="none" w:pos="20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flow from operations of $162m, up 3% year over year</w:t>
      </w:r>
    </w:p>
    <w:p>
      <w:pPr>
        <w:spacing w:after="0" w:line="1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3 months ending September 30, 2025</w:t>
      </w:r>
    </w:p>
    <w:p>
      <w:pPr>
        <w:spacing w:after="0" w:line="161" w:lineRule="exact"/>
        <w:rPr>
          <w:sz w:val="20"/>
          <w:szCs w:val="20"/>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Revenues and income of $165m, up 46% year over year</w:t>
      </w:r>
    </w:p>
    <w:p>
      <w:pPr>
        <w:spacing w:after="0" w:line="1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Income of $32m, up 33% year over year</w:t>
      </w:r>
    </w:p>
    <w:p>
      <w:pPr>
        <w:spacing w:after="0" w:line="6" w:lineRule="exact"/>
        <w:rPr>
          <w:rFonts w:ascii="Times New Roman" w:cs="Times New Roman" w:eastAsia="Times New Roman" w:hAnsi="Times New Roman"/>
          <w:sz w:val="12"/>
          <w:szCs w:val="12"/>
          <w:color w:val="auto"/>
        </w:rPr>
      </w:pPr>
    </w:p>
    <w:p>
      <w:pPr>
        <w:ind w:left="208" w:hanging="208"/>
        <w:spacing w:after="0" w:line="189" w:lineRule="auto"/>
        <w:tabs>
          <w:tab w:leader="none" w:pos="208" w:val="left"/>
        </w:tabs>
        <w:numPr>
          <w:ilvl w:val="0"/>
          <w:numId w:val="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Adjusted EBITDA</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0"/>
          <w:szCs w:val="10"/>
          <w:color w:val="auto"/>
        </w:rPr>
        <w:t xml:space="preserve"> of $112m, up 23% year over year</w:t>
      </w: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flow from operations of $71m, up 7% year over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10972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253" w:lineRule="exact"/>
        <w:rPr>
          <w:sz w:val="20"/>
          <w:szCs w:val="20"/>
          <w:color w:val="auto"/>
        </w:rPr>
      </w:pPr>
    </w:p>
    <w:p>
      <w:pPr>
        <w:ind w:left="8" w:right="260" w:hanging="8"/>
        <w:spacing w:after="0" w:line="200" w:lineRule="auto"/>
        <w:tabs>
          <w:tab w:leader="none" w:pos="88"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The Company is unable to provide a reconciliation of Adjusted EBITDA to Net Income on a forward-looking basis without unreasonable effort because items that impact this IFRS financial measure are not within the Company’s control and/or cannot be reasonably predicted. Please refer to the reconciliation table in Appendix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23" w:right="299" w:bottom="1440" w:gutter="0" w:footer="0" w:header="0"/>
        </w:sectPr>
      </w:pPr>
    </w:p>
    <w:bookmarkStart w:id="4" w:name="page5"/>
    <w:bookmarkEnd w:id="4"/>
    <w:p>
      <w:pPr>
        <w:ind w:left="8"/>
        <w:spacing w:after="0"/>
        <w:rPr>
          <w:sz w:val="20"/>
          <w:szCs w:val="20"/>
          <w:color w:val="auto"/>
        </w:rPr>
      </w:pPr>
      <w:r>
        <w:rPr>
          <w:rFonts w:ascii="Times New Roman" w:cs="Times New Roman" w:eastAsia="Times New Roman" w:hAnsi="Times New Roman"/>
          <w:sz w:val="12"/>
          <w:szCs w:val="12"/>
          <w:b w:val="1"/>
          <w:bCs w:val="1"/>
          <w:color w:val="auto"/>
        </w:rPr>
        <w:t>Summary of key financial results for 3Q25 and 9M25</w:t>
      </w:r>
    </w:p>
    <w:p>
      <w:pPr>
        <w:spacing w:after="0" w:line="154" w:lineRule="exact"/>
        <w:rPr>
          <w:sz w:val="20"/>
          <w:szCs w:val="20"/>
          <w:color w:val="auto"/>
        </w:rPr>
      </w:pPr>
    </w:p>
    <w:tbl>
      <w:tblPr>
        <w:tblLayout w:type="fixed"/>
        <w:tblInd w:w="18" w:type="dxa"/>
        <w:tblCellMar>
          <w:top w:w="0" w:type="dxa"/>
          <w:left w:w="0" w:type="dxa"/>
          <w:bottom w:w="0" w:type="dxa"/>
          <w:right w:w="0" w:type="dxa"/>
        </w:tblCellMar>
      </w:tblPr>
      <w:tr>
        <w:trPr>
          <w:trHeight w:val="212"/>
        </w:trPr>
        <w:tc>
          <w:tcPr>
            <w:tcW w:w="2460" w:type="dxa"/>
            <w:vAlign w:val="bottom"/>
            <w:tcBorders>
              <w:top w:val="single" w:sz="8" w:color="auto"/>
              <w:left w:val="single" w:sz="8" w:color="auto"/>
              <w:bottom w:val="single" w:sz="8" w:color="BFBFBF"/>
              <w:right w:val="single" w:sz="8" w:color="BFBFBF"/>
            </w:tcBorders>
            <w:shd w:val="clear" w:color="auto" w:fill="BFBFBF"/>
          </w:tcPr>
          <w:p>
            <w:pPr>
              <w:spacing w:after="0"/>
              <w:rPr>
                <w:sz w:val="18"/>
                <w:szCs w:val="18"/>
                <w:color w:val="auto"/>
              </w:rPr>
            </w:pPr>
          </w:p>
        </w:tc>
        <w:tc>
          <w:tcPr>
            <w:tcW w:w="1360" w:type="dxa"/>
            <w:vAlign w:val="bottom"/>
            <w:tcBorders>
              <w:top w:val="single" w:sz="8" w:color="auto"/>
              <w:bottom w:val="single" w:sz="8" w:color="BFBFBF"/>
              <w:right w:val="single" w:sz="8" w:color="BFBFBF"/>
            </w:tcBorders>
            <w:shd w:val="clear" w:color="auto" w:fill="BFBFBF"/>
          </w:tcPr>
          <w:p>
            <w:pPr>
              <w:spacing w:after="0"/>
              <w:rPr>
                <w:sz w:val="18"/>
                <w:szCs w:val="18"/>
                <w:color w:val="auto"/>
              </w:rPr>
            </w:pPr>
          </w:p>
        </w:tc>
        <w:tc>
          <w:tcPr>
            <w:tcW w:w="1760" w:type="dxa"/>
            <w:vAlign w:val="bottom"/>
            <w:tcBorders>
              <w:top w:val="single" w:sz="8" w:color="auto"/>
              <w:bottom w:val="single" w:sz="8" w:color="BFBFBF"/>
            </w:tcBorders>
            <w:gridSpan w:val="2"/>
            <w:shd w:val="clear" w:color="auto" w:fill="BFBFBF"/>
          </w:tcPr>
          <w:p>
            <w:pPr>
              <w:ind w:left="100"/>
              <w:spacing w:after="0"/>
              <w:rPr>
                <w:sz w:val="20"/>
                <w:szCs w:val="20"/>
                <w:color w:val="auto"/>
              </w:rPr>
            </w:pPr>
            <w:r>
              <w:rPr>
                <w:rFonts w:ascii="Times New Roman" w:cs="Times New Roman" w:eastAsia="Times New Roman" w:hAnsi="Times New Roman"/>
                <w:sz w:val="12"/>
                <w:szCs w:val="12"/>
                <w:b w:val="1"/>
                <w:bCs w:val="1"/>
                <w:color w:val="auto"/>
              </w:rPr>
              <w:t>For the three months ended</w:t>
            </w:r>
          </w:p>
        </w:tc>
        <w:tc>
          <w:tcPr>
            <w:tcW w:w="1240" w:type="dxa"/>
            <w:vAlign w:val="bottom"/>
            <w:tcBorders>
              <w:top w:val="single" w:sz="8" w:color="auto"/>
              <w:bottom w:val="single" w:sz="8" w:color="BFBFBF"/>
              <w:right w:val="single" w:sz="8" w:color="BFBFBF"/>
            </w:tcBorders>
            <w:shd w:val="clear" w:color="auto" w:fill="BFBFBF"/>
          </w:tcPr>
          <w:p>
            <w:pPr>
              <w:spacing w:after="0"/>
              <w:rPr>
                <w:sz w:val="18"/>
                <w:szCs w:val="18"/>
                <w:color w:val="auto"/>
              </w:rPr>
            </w:pPr>
          </w:p>
        </w:tc>
        <w:tc>
          <w:tcPr>
            <w:tcW w:w="1480" w:type="dxa"/>
            <w:vAlign w:val="bottom"/>
            <w:tcBorders>
              <w:top w:val="single" w:sz="8" w:color="auto"/>
              <w:bottom w:val="single" w:sz="8" w:color="BFBFBF"/>
              <w:right w:val="single" w:sz="8" w:color="BFBFBF"/>
            </w:tcBorders>
            <w:shd w:val="clear" w:color="auto" w:fill="BFBFBF"/>
          </w:tcPr>
          <w:p>
            <w:pPr>
              <w:spacing w:after="0"/>
              <w:rPr>
                <w:sz w:val="18"/>
                <w:szCs w:val="18"/>
                <w:color w:val="auto"/>
              </w:rPr>
            </w:pPr>
          </w:p>
        </w:tc>
        <w:tc>
          <w:tcPr>
            <w:tcW w:w="1500" w:type="dxa"/>
            <w:vAlign w:val="bottom"/>
            <w:tcBorders>
              <w:top w:val="single" w:sz="8" w:color="auto"/>
              <w:bottom w:val="single" w:sz="8" w:color="BFBFBF"/>
              <w:right w:val="single" w:sz="8" w:color="BFBFBF"/>
            </w:tcBorders>
            <w:shd w:val="clear" w:color="auto" w:fill="BFBFB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For the nine months ended</w:t>
            </w:r>
          </w:p>
        </w:tc>
        <w:tc>
          <w:tcPr>
            <w:tcW w:w="1500" w:type="dxa"/>
            <w:vAlign w:val="bottom"/>
            <w:tcBorders>
              <w:top w:val="single" w:sz="8" w:color="auto"/>
              <w:bottom w:val="single" w:sz="8" w:color="BFBFBF"/>
              <w:right w:val="single" w:sz="8" w:color="auto"/>
            </w:tcBorders>
            <w:shd w:val="clear" w:color="auto" w:fill="BFBFBF"/>
          </w:tcPr>
          <w:p>
            <w:pPr>
              <w:spacing w:after="0"/>
              <w:rPr>
                <w:sz w:val="18"/>
                <w:szCs w:val="18"/>
                <w:color w:val="auto"/>
              </w:rPr>
            </w:pPr>
          </w:p>
        </w:tc>
      </w:tr>
      <w:tr>
        <w:trPr>
          <w:trHeight w:val="201"/>
        </w:trPr>
        <w:tc>
          <w:tcPr>
            <w:tcW w:w="2460" w:type="dxa"/>
            <w:vAlign w:val="bottom"/>
            <w:tcBorders>
              <w:top w:val="single" w:sz="8" w:color="auto"/>
              <w:left w:val="single" w:sz="8" w:color="auto"/>
              <w:bottom w:val="single" w:sz="8" w:color="BFBFBF"/>
              <w:right w:val="single" w:sz="8" w:color="BFBFBF"/>
            </w:tcBorders>
            <w:shd w:val="clear" w:color="auto" w:fill="BFBFBF"/>
          </w:tcPr>
          <w:p>
            <w:pPr>
              <w:ind w:left="960"/>
              <w:spacing w:after="0"/>
              <w:rPr>
                <w:sz w:val="20"/>
                <w:szCs w:val="20"/>
                <w:color w:val="auto"/>
              </w:rPr>
            </w:pPr>
            <w:r>
              <w:rPr>
                <w:rFonts w:ascii="Times New Roman" w:cs="Times New Roman" w:eastAsia="Times New Roman" w:hAnsi="Times New Roman"/>
                <w:sz w:val="12"/>
                <w:szCs w:val="12"/>
                <w:b w:val="1"/>
                <w:bCs w:val="1"/>
                <w:color w:val="auto"/>
              </w:rPr>
              <w:t>($ millions)</w:t>
            </w:r>
          </w:p>
        </w:tc>
        <w:tc>
          <w:tcPr>
            <w:tcW w:w="1360" w:type="dxa"/>
            <w:vAlign w:val="bottom"/>
            <w:tcBorders>
              <w:top w:val="single" w:sz="8" w:color="auto"/>
              <w:bottom w:val="single" w:sz="8" w:color="BFBFBF"/>
              <w:right w:val="single" w:sz="8" w:color="BFBFBF"/>
            </w:tcBorders>
            <w:shd w:val="clear" w:color="auto" w:fill="BFBFBF"/>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30/09/2025</w:t>
            </w:r>
          </w:p>
        </w:tc>
        <w:tc>
          <w:tcPr>
            <w:tcW w:w="1500" w:type="dxa"/>
            <w:vAlign w:val="bottom"/>
            <w:tcBorders>
              <w:top w:val="single" w:sz="8" w:color="auto"/>
              <w:bottom w:val="single" w:sz="8" w:color="BFBFBF"/>
              <w:right w:val="single" w:sz="8" w:color="BFBFBF"/>
            </w:tcBorders>
            <w:shd w:val="clear" w:color="auto" w:fill="BFBFBF"/>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30/09/2024</w:t>
            </w:r>
          </w:p>
        </w:tc>
        <w:tc>
          <w:tcPr>
            <w:tcW w:w="260" w:type="dxa"/>
            <w:vAlign w:val="bottom"/>
            <w:tcBorders>
              <w:top w:val="single" w:sz="8" w:color="auto"/>
              <w:bottom w:val="single" w:sz="8" w:color="BFBFBF"/>
            </w:tcBorders>
            <w:shd w:val="clear" w:color="auto" w:fill="BFBFBF"/>
          </w:tcPr>
          <w:p>
            <w:pPr>
              <w:spacing w:after="0"/>
              <w:rPr>
                <w:sz w:val="17"/>
                <w:szCs w:val="17"/>
                <w:color w:val="auto"/>
              </w:rPr>
            </w:pPr>
          </w:p>
        </w:tc>
        <w:tc>
          <w:tcPr>
            <w:tcW w:w="1240" w:type="dxa"/>
            <w:vAlign w:val="bottom"/>
            <w:tcBorders>
              <w:top w:val="single" w:sz="8" w:color="auto"/>
              <w:bottom w:val="single" w:sz="8" w:color="BFBFBF"/>
              <w:right w:val="single" w:sz="8" w:color="BFBFBF"/>
            </w:tcBorders>
            <w:shd w:val="clear" w:color="auto" w:fill="BFBFBF"/>
          </w:tcPr>
          <w:p>
            <w:pPr>
              <w:ind w:left="24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480" w:type="dxa"/>
            <w:vAlign w:val="bottom"/>
            <w:tcBorders>
              <w:top w:val="single" w:sz="8" w:color="auto"/>
              <w:bottom w:val="single" w:sz="8" w:color="BFBFBF"/>
              <w:right w:val="single" w:sz="8" w:color="BFBFBF"/>
            </w:tcBorders>
            <w:shd w:val="clear" w:color="auto" w:fill="BFBFBF"/>
          </w:tcPr>
          <w:p>
            <w:pPr>
              <w:jc w:val="center"/>
              <w:spacing w:after="0"/>
              <w:rPr>
                <w:sz w:val="20"/>
                <w:szCs w:val="20"/>
                <w:color w:val="auto"/>
              </w:rPr>
            </w:pPr>
            <w:r>
              <w:rPr>
                <w:rFonts w:ascii="Times New Roman" w:cs="Times New Roman" w:eastAsia="Times New Roman" w:hAnsi="Times New Roman"/>
                <w:sz w:val="12"/>
                <w:szCs w:val="12"/>
                <w:b w:val="1"/>
                <w:bCs w:val="1"/>
                <w:color w:val="auto"/>
              </w:rPr>
              <w:t>30/09/2025</w:t>
            </w:r>
          </w:p>
        </w:tc>
        <w:tc>
          <w:tcPr>
            <w:tcW w:w="1500" w:type="dxa"/>
            <w:vAlign w:val="bottom"/>
            <w:tcBorders>
              <w:top w:val="single" w:sz="8" w:color="auto"/>
              <w:bottom w:val="single" w:sz="8" w:color="BFBFBF"/>
              <w:right w:val="single" w:sz="8" w:color="BFBFBF"/>
            </w:tcBorders>
            <w:shd w:val="clear" w:color="auto" w:fill="BFBFBF"/>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30/09/2024</w:t>
            </w:r>
          </w:p>
        </w:tc>
        <w:tc>
          <w:tcPr>
            <w:tcW w:w="1500" w:type="dxa"/>
            <w:vAlign w:val="bottom"/>
            <w:tcBorders>
              <w:top w:val="single" w:sz="8" w:color="auto"/>
              <w:bottom w:val="single" w:sz="8" w:color="BFBFBF"/>
              <w:right w:val="single" w:sz="8" w:color="auto"/>
            </w:tcBorders>
            <w:shd w:val="clear" w:color="auto" w:fill="BFBFBF"/>
          </w:tcPr>
          <w:p>
            <w:pPr>
              <w:ind w:left="480"/>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160"/>
        </w:trPr>
        <w:tc>
          <w:tcPr>
            <w:tcW w:w="246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Revenues and Income</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165</w:t>
            </w:r>
          </w:p>
        </w:tc>
        <w:tc>
          <w:tcPr>
            <w:tcW w:w="1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113</w:t>
            </w:r>
          </w:p>
        </w:tc>
        <w:tc>
          <w:tcPr>
            <w:tcW w:w="260" w:type="dxa"/>
            <w:vAlign w:val="bottom"/>
            <w:tcBorders>
              <w:top w:val="single" w:sz="8" w:color="auto"/>
            </w:tcBorders>
          </w:tcPr>
          <w:p>
            <w:pPr>
              <w:spacing w:after="0"/>
              <w:rPr>
                <w:sz w:val="13"/>
                <w:szCs w:val="13"/>
                <w:color w:val="auto"/>
              </w:rPr>
            </w:pPr>
          </w:p>
        </w:tc>
        <w:tc>
          <w:tcPr>
            <w:tcW w:w="1240" w:type="dxa"/>
            <w:vAlign w:val="bottom"/>
            <w:tcBorders>
              <w:top w:val="single" w:sz="8" w:color="auto"/>
              <w:right w:val="single" w:sz="8" w:color="auto"/>
            </w:tcBorders>
          </w:tcPr>
          <w:p>
            <w:pPr>
              <w:jc w:val="center"/>
              <w:ind w:right="240"/>
              <w:spacing w:after="0"/>
              <w:rPr>
                <w:sz w:val="20"/>
                <w:szCs w:val="20"/>
                <w:color w:val="auto"/>
              </w:rPr>
            </w:pPr>
            <w:r>
              <w:rPr>
                <w:rFonts w:ascii="Times New Roman" w:cs="Times New Roman" w:eastAsia="Times New Roman" w:hAnsi="Times New Roman"/>
                <w:sz w:val="12"/>
                <w:szCs w:val="12"/>
                <w:color w:val="auto"/>
                <w:w w:val="99"/>
              </w:rPr>
              <w:t>46%</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430</w:t>
            </w:r>
          </w:p>
        </w:tc>
        <w:tc>
          <w:tcPr>
            <w:tcW w:w="1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295</w:t>
            </w:r>
          </w:p>
        </w:tc>
        <w:tc>
          <w:tcPr>
            <w:tcW w:w="1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46%</w:t>
            </w:r>
          </w:p>
        </w:tc>
      </w:tr>
      <w:tr>
        <w:trPr>
          <w:trHeight w:val="189"/>
        </w:trPr>
        <w:tc>
          <w:tcPr>
            <w:tcW w:w="24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32</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24</w:t>
            </w:r>
          </w:p>
        </w:tc>
        <w:tc>
          <w:tcPr>
            <w:tcW w:w="260" w:type="dxa"/>
            <w:vAlign w:val="bottom"/>
          </w:tcPr>
          <w:p>
            <w:pPr>
              <w:spacing w:after="0"/>
              <w:rPr>
                <w:sz w:val="16"/>
                <w:szCs w:val="16"/>
                <w:color w:val="auto"/>
              </w:rPr>
            </w:pPr>
          </w:p>
        </w:tc>
        <w:tc>
          <w:tcPr>
            <w:tcW w:w="1240" w:type="dxa"/>
            <w:vAlign w:val="bottom"/>
            <w:tcBorders>
              <w:right w:val="single" w:sz="8" w:color="auto"/>
            </w:tcBorders>
          </w:tcPr>
          <w:p>
            <w:pPr>
              <w:jc w:val="center"/>
              <w:ind w:right="240"/>
              <w:spacing w:after="0"/>
              <w:rPr>
                <w:sz w:val="20"/>
                <w:szCs w:val="20"/>
                <w:color w:val="auto"/>
              </w:rPr>
            </w:pPr>
            <w:r>
              <w:rPr>
                <w:rFonts w:ascii="Times New Roman" w:cs="Times New Roman" w:eastAsia="Times New Roman" w:hAnsi="Times New Roman"/>
                <w:sz w:val="12"/>
                <w:szCs w:val="12"/>
                <w:color w:val="auto"/>
                <w:w w:val="99"/>
              </w:rPr>
              <w:t>33%</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140</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58</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140%</w:t>
            </w:r>
          </w:p>
        </w:tc>
      </w:tr>
      <w:tr>
        <w:trPr>
          <w:trHeight w:val="189"/>
        </w:trPr>
        <w:tc>
          <w:tcPr>
            <w:tcW w:w="24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Adjusted EBITDA</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112</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91</w:t>
            </w:r>
          </w:p>
        </w:tc>
        <w:tc>
          <w:tcPr>
            <w:tcW w:w="260" w:type="dxa"/>
            <w:vAlign w:val="bottom"/>
          </w:tcPr>
          <w:p>
            <w:pPr>
              <w:spacing w:after="0"/>
              <w:rPr>
                <w:sz w:val="16"/>
                <w:szCs w:val="16"/>
                <w:color w:val="auto"/>
              </w:rPr>
            </w:pPr>
          </w:p>
        </w:tc>
        <w:tc>
          <w:tcPr>
            <w:tcW w:w="1240" w:type="dxa"/>
            <w:vAlign w:val="bottom"/>
            <w:tcBorders>
              <w:right w:val="single" w:sz="8" w:color="auto"/>
            </w:tcBorders>
          </w:tcPr>
          <w:p>
            <w:pPr>
              <w:jc w:val="center"/>
              <w:ind w:right="240"/>
              <w:spacing w:after="0"/>
              <w:rPr>
                <w:sz w:val="20"/>
                <w:szCs w:val="20"/>
                <w:color w:val="auto"/>
              </w:rPr>
            </w:pPr>
            <w:r>
              <w:rPr>
                <w:rFonts w:ascii="Times New Roman" w:cs="Times New Roman" w:eastAsia="Times New Roman" w:hAnsi="Times New Roman"/>
                <w:sz w:val="12"/>
                <w:szCs w:val="12"/>
                <w:color w:val="auto"/>
                <w:w w:val="99"/>
              </w:rPr>
              <w:t>23%</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339</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224</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52%</w:t>
            </w:r>
          </w:p>
        </w:tc>
      </w:tr>
      <w:tr>
        <w:trPr>
          <w:trHeight w:val="189"/>
        </w:trPr>
        <w:tc>
          <w:tcPr>
            <w:tcW w:w="24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Cash Flow from Operating Activities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71</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66</w:t>
            </w:r>
          </w:p>
        </w:tc>
        <w:tc>
          <w:tcPr>
            <w:tcW w:w="260" w:type="dxa"/>
            <w:vAlign w:val="bottom"/>
          </w:tcPr>
          <w:p>
            <w:pPr>
              <w:spacing w:after="0"/>
              <w:rPr>
                <w:sz w:val="16"/>
                <w:szCs w:val="16"/>
                <w:color w:val="auto"/>
              </w:rPr>
            </w:pPr>
          </w:p>
        </w:tc>
        <w:tc>
          <w:tcPr>
            <w:tcW w:w="1240" w:type="dxa"/>
            <w:vAlign w:val="bottom"/>
            <w:tcBorders>
              <w:right w:val="single" w:sz="8" w:color="auto"/>
            </w:tcBorders>
          </w:tcPr>
          <w:p>
            <w:pPr>
              <w:jc w:val="center"/>
              <w:ind w:right="220"/>
              <w:spacing w:after="0"/>
              <w:rPr>
                <w:sz w:val="20"/>
                <w:szCs w:val="20"/>
                <w:color w:val="auto"/>
              </w:rPr>
            </w:pPr>
            <w:r>
              <w:rPr>
                <w:rFonts w:ascii="Times New Roman" w:cs="Times New Roman" w:eastAsia="Times New Roman" w:hAnsi="Times New Roman"/>
                <w:sz w:val="12"/>
                <w:szCs w:val="12"/>
                <w:color w:val="auto"/>
                <w:w w:val="99"/>
              </w:rPr>
              <w:t>7%</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162</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158</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w:t>
            </w:r>
          </w:p>
        </w:tc>
      </w:tr>
      <w:tr>
        <w:trPr>
          <w:trHeight w:val="27"/>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bl>
    <w:p>
      <w:pPr>
        <w:spacing w:after="0" w:line="13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Raising full-year guidance ranges</w:t>
      </w:r>
    </w:p>
    <w:p>
      <w:pPr>
        <w:spacing w:after="0" w:line="163" w:lineRule="exact"/>
        <w:rPr>
          <w:sz w:val="20"/>
          <w:szCs w:val="20"/>
          <w:color w:val="auto"/>
        </w:rPr>
      </w:pPr>
    </w:p>
    <w:p>
      <w:pPr>
        <w:jc w:val="both"/>
        <w:ind w:left="208" w:hanging="208"/>
        <w:spacing w:after="0" w:line="256" w:lineRule="auto"/>
        <w:tabs>
          <w:tab w:leader="none" w:pos="20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back of strong 9M25 results, we are increasing full year 2025 guidance ranges. Revenue guidance rises to $555-565m from $520-535m previously, and Adjusted EBITDA guidance rises to $405-415m from $385-400m previously. This represents a 6.0% and 4.5% increase at the midpoint for both metrics, respectively. The increase in guidance and the narrowing of the range reflect our confidence in the continued robust growth across all parts of our business.</w:t>
      </w:r>
    </w:p>
    <w:p>
      <w:pPr>
        <w:spacing w:after="0" w:line="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detailed analysis of financial results appears below.</w:t>
      </w:r>
    </w:p>
    <w:p>
      <w:pPr>
        <w:spacing w:after="0" w:line="148" w:lineRule="exact"/>
        <w:rPr>
          <w:sz w:val="20"/>
          <w:szCs w:val="20"/>
          <w:color w:val="auto"/>
        </w:rPr>
      </w:pPr>
    </w:p>
    <w:p>
      <w:pPr>
        <w:jc w:val="both"/>
        <w:ind w:left="8"/>
        <w:spacing w:after="0" w:line="272" w:lineRule="auto"/>
        <w:rPr>
          <w:sz w:val="20"/>
          <w:szCs w:val="20"/>
          <w:color w:val="auto"/>
        </w:rPr>
      </w:pPr>
      <w:r>
        <w:rPr>
          <w:rFonts w:ascii="Times New Roman" w:cs="Times New Roman" w:eastAsia="Times New Roman" w:hAnsi="Times New Roman"/>
          <w:sz w:val="12"/>
          <w:szCs w:val="12"/>
          <w:color w:val="auto"/>
        </w:rPr>
        <w:t>Adi Leviatan, CEO of Enlight Renewable Energy: “The third quarter financial results reflect impressive achievements above our expectations, underscoring the Company's strength, the dedication of team, and our focused business strategy. Enlight is well positioned for continued accelerated global growth, capitalizing on opportunities in the renewable energy market, which continues to benefit from favorable fundamentals. We will continue to operate with innovation and responsibility to develop the clean energy sector and strengthen our position as a leading player in the global energy market.”</w:t>
      </w:r>
    </w:p>
    <w:p>
      <w:pPr>
        <w:spacing w:after="0" w:line="1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Portfolio Review</w:t>
      </w:r>
    </w:p>
    <w:p>
      <w:pPr>
        <w:spacing w:after="0" w:line="163" w:lineRule="exact"/>
        <w:rPr>
          <w:sz w:val="20"/>
          <w:szCs w:val="20"/>
          <w:color w:val="auto"/>
        </w:rPr>
      </w:pPr>
    </w:p>
    <w:p>
      <w:pPr>
        <w:jc w:val="both"/>
        <w:ind w:left="8" w:right="20"/>
        <w:spacing w:after="0" w:line="219" w:lineRule="auto"/>
        <w:rPr>
          <w:sz w:val="20"/>
          <w:szCs w:val="20"/>
          <w:color w:val="auto"/>
        </w:rPr>
      </w:pPr>
      <w:r>
        <w:rPr>
          <w:rFonts w:ascii="Times New Roman" w:cs="Times New Roman" w:eastAsia="Times New Roman" w:hAnsi="Times New Roman"/>
          <w:sz w:val="12"/>
          <w:szCs w:val="12"/>
          <w:color w:val="auto"/>
        </w:rPr>
        <w:t>This quarter we continued to expand our portfolio and advance our projects through the various phases of development. Enlight’s total portfolio is comprised of 20.4 GW of generation capacity and 58.1 GWh energy storage (totaling 37.0 FGW</w:t>
      </w:r>
      <w:r>
        <w:rPr>
          <w:rFonts w:ascii="Times New Roman" w:cs="Times New Roman" w:eastAsia="Times New Roman" w:hAnsi="Times New Roman"/>
          <w:sz w:val="19"/>
          <w:szCs w:val="19"/>
          <w:b w:val="1"/>
          <w:bCs w:val="1"/>
          <w:color w:val="auto"/>
          <w:vertAlign w:val="superscript"/>
        </w:rPr>
        <w:t>2</w:t>
      </w:r>
      <w:r>
        <w:rPr>
          <w:rFonts w:ascii="Times New Roman" w:cs="Times New Roman" w:eastAsia="Times New Roman" w:hAnsi="Times New Roman"/>
          <w:sz w:val="12"/>
          <w:szCs w:val="12"/>
          <w:color w:val="auto"/>
        </w:rPr>
        <w:t>), an increase of 23% from the total portfolio of 30.2 FGW at the end of 2024. Of this, the Mature portfolio component (including operating projects, projects under construction or in pre-construction) contains 6.2 GW generation capacity and 11.8 GWh of storage (9.6 FGW in total), an increase of 12% from the Mature portfolio of 8.6 FGW at the end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10972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258" w:lineRule="exact"/>
        <w:rPr>
          <w:sz w:val="20"/>
          <w:szCs w:val="20"/>
          <w:color w:val="auto"/>
        </w:rPr>
      </w:pPr>
    </w:p>
    <w:p>
      <w:pPr>
        <w:ind w:left="8" w:right="160" w:hanging="8"/>
        <w:spacing w:after="0" w:line="194" w:lineRule="auto"/>
        <w:tabs>
          <w:tab w:leader="none" w:pos="88"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FGW (Factored GW) is a consolidated metric combining generation and storage capacity into a uniform figure based on the ratio of construction costs. The company’s current weighted average construction cost ratio is 3.5 GWh of storage per 1 GW of generation: FGW = GW + GWh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5" w:name="page6"/>
    <w:bookmarkEnd w:id="5"/>
    <w:p>
      <w:pPr>
        <w:ind w:left="8"/>
        <w:spacing w:after="0" w:line="295" w:lineRule="auto"/>
        <w:rPr>
          <w:sz w:val="20"/>
          <w:szCs w:val="20"/>
          <w:color w:val="auto"/>
        </w:rPr>
      </w:pPr>
      <w:r>
        <w:rPr>
          <w:rFonts w:ascii="Times New Roman" w:cs="Times New Roman" w:eastAsia="Times New Roman" w:hAnsi="Times New Roman"/>
          <w:sz w:val="12"/>
          <w:szCs w:val="12"/>
          <w:color w:val="auto"/>
        </w:rPr>
        <w:t>Enlight has achieved safe harbor status for its entire U.S. Mature portfolio (5.6 FGW), as well as for an additional 3.3 FGW of projects in its Advanced Development and Development portfolios. An additional 5-8 FGW of projects are expected to achieve safe harbor status by July 2026, of which 2-4 FGW are expected to be safe harbored by the end of this year.</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composition of Enlight’s portfolio appears in the following table:</w:t>
      </w:r>
    </w:p>
    <w:p>
      <w:pPr>
        <w:spacing w:after="0" w:line="150" w:lineRule="exact"/>
        <w:rPr>
          <w:sz w:val="20"/>
          <w:szCs w:val="20"/>
          <w:color w:val="auto"/>
        </w:rPr>
      </w:pPr>
    </w:p>
    <w:tbl>
      <w:tblPr>
        <w:tblLayout w:type="fixed"/>
        <w:tblInd w:w="18" w:type="dxa"/>
        <w:tblCellMar>
          <w:top w:w="0" w:type="dxa"/>
          <w:left w:w="0" w:type="dxa"/>
          <w:bottom w:w="0" w:type="dxa"/>
          <w:right w:w="0" w:type="dxa"/>
        </w:tblCellMar>
      </w:tblPr>
      <w:tr>
        <w:trPr>
          <w:trHeight w:val="171"/>
        </w:trPr>
        <w:tc>
          <w:tcPr>
            <w:tcW w:w="1940" w:type="dxa"/>
            <w:vAlign w:val="bottom"/>
            <w:tcBorders>
              <w:top w:val="single" w:sz="8" w:color="auto"/>
              <w:left w:val="single" w:sz="8" w:color="auto"/>
              <w:bottom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2"/>
                <w:szCs w:val="12"/>
                <w:b w:val="1"/>
                <w:bCs w:val="1"/>
                <w:color w:val="auto"/>
              </w:rPr>
              <w:t>Component</w:t>
            </w:r>
          </w:p>
        </w:tc>
        <w:tc>
          <w:tcPr>
            <w:tcW w:w="4000" w:type="dxa"/>
            <w:vAlign w:val="bottom"/>
            <w:tcBorders>
              <w:top w:val="single" w:sz="8" w:color="auto"/>
              <w:bottom w:val="single" w:sz="8" w:color="auto"/>
            </w:tcBorders>
            <w:shd w:val="clear" w:color="auto" w:fill="BFBFBF"/>
          </w:tcPr>
          <w:p>
            <w:pPr>
              <w:ind w:left="760"/>
              <w:spacing w:after="0"/>
              <w:rPr>
                <w:sz w:val="20"/>
                <w:szCs w:val="20"/>
                <w:color w:val="auto"/>
              </w:rPr>
            </w:pPr>
            <w:r>
              <w:rPr>
                <w:rFonts w:ascii="Times New Roman" w:cs="Times New Roman" w:eastAsia="Times New Roman" w:hAnsi="Times New Roman"/>
                <w:sz w:val="12"/>
                <w:szCs w:val="12"/>
                <w:b w:val="1"/>
                <w:bCs w:val="1"/>
                <w:color w:val="auto"/>
              </w:rPr>
              <w:t>Status</w:t>
            </w:r>
          </w:p>
        </w:tc>
        <w:tc>
          <w:tcPr>
            <w:tcW w:w="2380" w:type="dxa"/>
            <w:vAlign w:val="bottom"/>
            <w:tcBorders>
              <w:top w:val="single" w:sz="8" w:color="auto"/>
              <w:bottom w:val="single" w:sz="8" w:color="auto"/>
            </w:tcBorders>
            <w:shd w:val="clear" w:color="auto" w:fill="BFBFBF"/>
          </w:tcPr>
          <w:p>
            <w:pPr>
              <w:ind w:left="1480"/>
              <w:spacing w:after="0" w:line="171" w:lineRule="exact"/>
              <w:rPr>
                <w:sz w:val="20"/>
                <w:szCs w:val="20"/>
                <w:color w:val="auto"/>
              </w:rPr>
            </w:pPr>
            <w:r>
              <w:rPr>
                <w:rFonts w:ascii="Times New Roman" w:cs="Times New Roman" w:eastAsia="Times New Roman" w:hAnsi="Times New Roman"/>
                <w:sz w:val="12"/>
                <w:szCs w:val="12"/>
                <w:b w:val="1"/>
                <w:bCs w:val="1"/>
                <w:color w:val="auto"/>
              </w:rPr>
              <w:t>FGW</w:t>
            </w:r>
            <w:r>
              <w:rPr>
                <w:rFonts w:ascii="Times New Roman" w:cs="Times New Roman" w:eastAsia="Times New Roman" w:hAnsi="Times New Roman"/>
                <w:sz w:val="19"/>
                <w:szCs w:val="19"/>
                <w:b w:val="1"/>
                <w:bCs w:val="1"/>
                <w:color w:val="auto"/>
                <w:vertAlign w:val="superscript"/>
              </w:rPr>
              <w:t>3</w:t>
            </w:r>
          </w:p>
        </w:tc>
        <w:tc>
          <w:tcPr>
            <w:tcW w:w="2980" w:type="dxa"/>
            <w:vAlign w:val="bottom"/>
            <w:tcBorders>
              <w:top w:val="single" w:sz="8" w:color="auto"/>
              <w:bottom w:val="single" w:sz="8" w:color="auto"/>
              <w:right w:val="single" w:sz="8" w:color="auto"/>
            </w:tcBorders>
            <w:shd w:val="clear" w:color="auto" w:fill="BFBFBF"/>
          </w:tcPr>
          <w:p>
            <w:pPr>
              <w:ind w:left="580"/>
              <w:spacing w:after="0" w:line="171" w:lineRule="exact"/>
              <w:rPr>
                <w:sz w:val="20"/>
                <w:szCs w:val="20"/>
                <w:color w:val="auto"/>
              </w:rPr>
            </w:pPr>
            <w:r>
              <w:rPr>
                <w:rFonts w:ascii="Times New Roman" w:cs="Times New Roman" w:eastAsia="Times New Roman" w:hAnsi="Times New Roman"/>
                <w:sz w:val="12"/>
                <w:szCs w:val="12"/>
                <w:b w:val="1"/>
                <w:bCs w:val="1"/>
                <w:color w:val="auto"/>
              </w:rPr>
              <w:t>Annual revenues &amp; income run rate</w:t>
            </w:r>
            <w:r>
              <w:rPr>
                <w:rFonts w:ascii="Times New Roman" w:cs="Times New Roman" w:eastAsia="Times New Roman" w:hAnsi="Times New Roman"/>
                <w:sz w:val="19"/>
                <w:szCs w:val="19"/>
                <w:b w:val="1"/>
                <w:bCs w:val="1"/>
                <w:color w:val="auto"/>
                <w:vertAlign w:val="superscript"/>
              </w:rPr>
              <w:t>4</w:t>
            </w:r>
            <w:r>
              <w:rPr>
                <w:rFonts w:ascii="Times New Roman" w:cs="Times New Roman" w:eastAsia="Times New Roman" w:hAnsi="Times New Roman"/>
                <w:sz w:val="12"/>
                <w:szCs w:val="12"/>
                <w:b w:val="1"/>
                <w:bCs w:val="1"/>
                <w:color w:val="auto"/>
              </w:rPr>
              <w:t xml:space="preserve"> ($m)</w:t>
            </w:r>
          </w:p>
        </w:tc>
      </w:tr>
      <w:tr>
        <w:trPr>
          <w:trHeight w:val="140"/>
        </w:trPr>
        <w:tc>
          <w:tcPr>
            <w:tcW w:w="19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Operating</w:t>
            </w:r>
          </w:p>
        </w:tc>
        <w:tc>
          <w:tcPr>
            <w:tcW w:w="400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Commercial operation</w:t>
            </w:r>
          </w:p>
        </w:tc>
        <w:tc>
          <w:tcPr>
            <w:tcW w:w="2380" w:type="dxa"/>
            <w:vAlign w:val="bottom"/>
          </w:tcPr>
          <w:p>
            <w:pPr>
              <w:jc w:val="center"/>
              <w:ind w:left="840"/>
              <w:spacing w:after="0"/>
              <w:rPr>
                <w:sz w:val="20"/>
                <w:szCs w:val="20"/>
                <w:color w:val="auto"/>
              </w:rPr>
            </w:pPr>
            <w:r>
              <w:rPr>
                <w:rFonts w:ascii="Times New Roman" w:cs="Times New Roman" w:eastAsia="Times New Roman" w:hAnsi="Times New Roman"/>
                <w:sz w:val="12"/>
                <w:szCs w:val="12"/>
                <w:color w:val="auto"/>
              </w:rPr>
              <w:t>3.1</w:t>
            </w:r>
          </w:p>
        </w:tc>
        <w:tc>
          <w:tcPr>
            <w:tcW w:w="2980" w:type="dxa"/>
            <w:vAlign w:val="bottom"/>
            <w:tcBorders>
              <w:right w:val="single" w:sz="8" w:color="auto"/>
            </w:tcBorders>
          </w:tcPr>
          <w:p>
            <w:pPr>
              <w:jc w:val="center"/>
              <w:ind w:left="280"/>
              <w:spacing w:after="0"/>
              <w:rPr>
                <w:sz w:val="20"/>
                <w:szCs w:val="20"/>
                <w:color w:val="auto"/>
              </w:rPr>
            </w:pPr>
            <w:r>
              <w:rPr>
                <w:rFonts w:ascii="Times New Roman" w:cs="Times New Roman" w:eastAsia="Times New Roman" w:hAnsi="Times New Roman"/>
                <w:sz w:val="12"/>
                <w:szCs w:val="12"/>
                <w:color w:val="auto"/>
                <w:w w:val="97"/>
              </w:rPr>
              <w:t>~560</w:t>
            </w:r>
          </w:p>
        </w:tc>
      </w:tr>
      <w:tr>
        <w:trPr>
          <w:trHeight w:val="153"/>
        </w:trPr>
        <w:tc>
          <w:tcPr>
            <w:tcW w:w="19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Under Construction</w:t>
            </w:r>
          </w:p>
        </w:tc>
        <w:tc>
          <w:tcPr>
            <w:tcW w:w="400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Under construction</w:t>
            </w:r>
          </w:p>
        </w:tc>
        <w:tc>
          <w:tcPr>
            <w:tcW w:w="2380" w:type="dxa"/>
            <w:vAlign w:val="bottom"/>
          </w:tcPr>
          <w:p>
            <w:pPr>
              <w:jc w:val="center"/>
              <w:ind w:left="840"/>
              <w:spacing w:after="0"/>
              <w:rPr>
                <w:sz w:val="20"/>
                <w:szCs w:val="20"/>
                <w:color w:val="auto"/>
              </w:rPr>
            </w:pPr>
            <w:r>
              <w:rPr>
                <w:rFonts w:ascii="Times New Roman" w:cs="Times New Roman" w:eastAsia="Times New Roman" w:hAnsi="Times New Roman"/>
                <w:sz w:val="12"/>
                <w:szCs w:val="12"/>
                <w:color w:val="auto"/>
              </w:rPr>
              <w:t>2.9</w:t>
            </w:r>
          </w:p>
        </w:tc>
        <w:tc>
          <w:tcPr>
            <w:tcW w:w="2980" w:type="dxa"/>
            <w:vAlign w:val="bottom"/>
            <w:tcBorders>
              <w:right w:val="single" w:sz="8" w:color="auto"/>
            </w:tcBorders>
          </w:tcPr>
          <w:p>
            <w:pPr>
              <w:jc w:val="center"/>
              <w:ind w:left="280"/>
              <w:spacing w:after="0"/>
              <w:rPr>
                <w:sz w:val="20"/>
                <w:szCs w:val="20"/>
                <w:color w:val="auto"/>
              </w:rPr>
            </w:pPr>
            <w:r>
              <w:rPr>
                <w:rFonts w:ascii="Times New Roman" w:cs="Times New Roman" w:eastAsia="Times New Roman" w:hAnsi="Times New Roman"/>
                <w:sz w:val="12"/>
                <w:szCs w:val="12"/>
                <w:color w:val="auto"/>
                <w:w w:val="97"/>
              </w:rPr>
              <w:t>~550</w:t>
            </w:r>
          </w:p>
        </w:tc>
      </w:tr>
      <w:tr>
        <w:trPr>
          <w:trHeight w:val="162"/>
        </w:trPr>
        <w:tc>
          <w:tcPr>
            <w:tcW w:w="194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Pre-Construction</w:t>
            </w:r>
          </w:p>
        </w:tc>
        <w:tc>
          <w:tcPr>
            <w:tcW w:w="40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2"/>
                <w:szCs w:val="12"/>
                <w:color w:val="auto"/>
              </w:rPr>
              <w:t>0-12 months to start of construction</w:t>
            </w:r>
          </w:p>
        </w:tc>
        <w:tc>
          <w:tcPr>
            <w:tcW w:w="2380" w:type="dxa"/>
            <w:vAlign w:val="bottom"/>
            <w:tcBorders>
              <w:bottom w:val="single" w:sz="8" w:color="auto"/>
            </w:tcBorders>
          </w:tcPr>
          <w:p>
            <w:pPr>
              <w:jc w:val="center"/>
              <w:ind w:left="840"/>
              <w:spacing w:after="0"/>
              <w:rPr>
                <w:sz w:val="20"/>
                <w:szCs w:val="20"/>
                <w:color w:val="auto"/>
              </w:rPr>
            </w:pPr>
            <w:r>
              <w:rPr>
                <w:rFonts w:ascii="Times New Roman" w:cs="Times New Roman" w:eastAsia="Times New Roman" w:hAnsi="Times New Roman"/>
                <w:sz w:val="12"/>
                <w:szCs w:val="12"/>
                <w:color w:val="auto"/>
              </w:rPr>
              <w:t>3.6</w:t>
            </w:r>
          </w:p>
        </w:tc>
        <w:tc>
          <w:tcPr>
            <w:tcW w:w="2980" w:type="dxa"/>
            <w:vAlign w:val="bottom"/>
            <w:tcBorders>
              <w:bottom w:val="single" w:sz="8" w:color="auto"/>
              <w:right w:val="single" w:sz="8" w:color="auto"/>
            </w:tcBorders>
          </w:tcPr>
          <w:p>
            <w:pPr>
              <w:jc w:val="center"/>
              <w:ind w:left="280"/>
              <w:spacing w:after="0"/>
              <w:rPr>
                <w:sz w:val="20"/>
                <w:szCs w:val="20"/>
                <w:color w:val="auto"/>
              </w:rPr>
            </w:pPr>
            <w:r>
              <w:rPr>
                <w:rFonts w:ascii="Times New Roman" w:cs="Times New Roman" w:eastAsia="Times New Roman" w:hAnsi="Times New Roman"/>
                <w:sz w:val="12"/>
                <w:szCs w:val="12"/>
                <w:color w:val="auto"/>
                <w:w w:val="97"/>
              </w:rPr>
              <w:t>~500</w:t>
            </w:r>
          </w:p>
        </w:tc>
      </w:tr>
      <w:tr>
        <w:trPr>
          <w:trHeight w:val="153"/>
        </w:trPr>
        <w:tc>
          <w:tcPr>
            <w:tcW w:w="1940" w:type="dxa"/>
            <w:vAlign w:val="bottom"/>
            <w:tcBorders>
              <w:lef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2"/>
                <w:szCs w:val="12"/>
                <w:b w:val="1"/>
                <w:bCs w:val="1"/>
                <w:color w:val="auto"/>
              </w:rPr>
              <w:t>Total Mature Portfolio</w:t>
            </w:r>
          </w:p>
        </w:tc>
        <w:tc>
          <w:tcPr>
            <w:tcW w:w="4000" w:type="dxa"/>
            <w:vAlign w:val="bottom"/>
            <w:shd w:val="clear" w:color="auto" w:fill="BFBFBF"/>
          </w:tcPr>
          <w:p>
            <w:pPr>
              <w:ind w:left="760"/>
              <w:spacing w:after="0"/>
              <w:rPr>
                <w:sz w:val="20"/>
                <w:szCs w:val="20"/>
                <w:color w:val="auto"/>
              </w:rPr>
            </w:pPr>
            <w:r>
              <w:rPr>
                <w:rFonts w:ascii="Times New Roman" w:cs="Times New Roman" w:eastAsia="Times New Roman" w:hAnsi="Times New Roman"/>
                <w:sz w:val="12"/>
                <w:szCs w:val="12"/>
                <w:b w:val="1"/>
                <w:bCs w:val="1"/>
                <w:color w:val="auto"/>
              </w:rPr>
              <w:t>Mature</w:t>
            </w:r>
          </w:p>
        </w:tc>
        <w:tc>
          <w:tcPr>
            <w:tcW w:w="2380" w:type="dxa"/>
            <w:vAlign w:val="bottom"/>
            <w:shd w:val="clear" w:color="auto" w:fill="BFBFBF"/>
          </w:tcPr>
          <w:p>
            <w:pPr>
              <w:jc w:val="center"/>
              <w:ind w:left="840"/>
              <w:spacing w:after="0"/>
              <w:rPr>
                <w:sz w:val="20"/>
                <w:szCs w:val="20"/>
                <w:color w:val="auto"/>
              </w:rPr>
            </w:pPr>
            <w:r>
              <w:rPr>
                <w:rFonts w:ascii="Times New Roman" w:cs="Times New Roman" w:eastAsia="Times New Roman" w:hAnsi="Times New Roman"/>
                <w:sz w:val="12"/>
                <w:szCs w:val="12"/>
                <w:b w:val="1"/>
                <w:bCs w:val="1"/>
                <w:color w:val="auto"/>
              </w:rPr>
              <w:t>9.6</w:t>
            </w:r>
          </w:p>
        </w:tc>
        <w:tc>
          <w:tcPr>
            <w:tcW w:w="2980" w:type="dxa"/>
            <w:vAlign w:val="bottom"/>
            <w:tcBorders>
              <w:right w:val="single" w:sz="8" w:color="auto"/>
            </w:tcBorders>
            <w:shd w:val="clear" w:color="auto" w:fill="BFBFBF"/>
          </w:tcPr>
          <w:p>
            <w:pPr>
              <w:jc w:val="center"/>
              <w:ind w:left="280"/>
              <w:spacing w:after="0"/>
              <w:rPr>
                <w:sz w:val="20"/>
                <w:szCs w:val="20"/>
                <w:color w:val="auto"/>
              </w:rPr>
            </w:pPr>
            <w:r>
              <w:rPr>
                <w:rFonts w:ascii="Times New Roman" w:cs="Times New Roman" w:eastAsia="Times New Roman" w:hAnsi="Times New Roman"/>
                <w:sz w:val="12"/>
                <w:szCs w:val="12"/>
                <w:b w:val="1"/>
                <w:bCs w:val="1"/>
                <w:color w:val="auto"/>
                <w:w w:val="97"/>
              </w:rPr>
              <w:t>~$1,610m</w:t>
            </w:r>
          </w:p>
        </w:tc>
      </w:tr>
      <w:tr>
        <w:trPr>
          <w:trHeight w:val="142"/>
        </w:trPr>
        <w:tc>
          <w:tcPr>
            <w:tcW w:w="19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Advanced Development</w:t>
            </w:r>
          </w:p>
        </w:tc>
        <w:tc>
          <w:tcPr>
            <w:tcW w:w="400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13-24 months to start of construction</w:t>
            </w:r>
          </w:p>
        </w:tc>
        <w:tc>
          <w:tcPr>
            <w:tcW w:w="2380" w:type="dxa"/>
            <w:vAlign w:val="bottom"/>
          </w:tcPr>
          <w:p>
            <w:pPr>
              <w:jc w:val="center"/>
              <w:ind w:left="840"/>
              <w:spacing w:after="0"/>
              <w:rPr>
                <w:sz w:val="20"/>
                <w:szCs w:val="20"/>
                <w:color w:val="auto"/>
              </w:rPr>
            </w:pPr>
            <w:r>
              <w:rPr>
                <w:rFonts w:ascii="Times New Roman" w:cs="Times New Roman" w:eastAsia="Times New Roman" w:hAnsi="Times New Roman"/>
                <w:sz w:val="12"/>
                <w:szCs w:val="12"/>
                <w:color w:val="auto"/>
              </w:rPr>
              <w:t>6.1</w:t>
            </w:r>
          </w:p>
        </w:tc>
        <w:tc>
          <w:tcPr>
            <w:tcW w:w="2980" w:type="dxa"/>
            <w:vAlign w:val="bottom"/>
            <w:tcBorders>
              <w:right w:val="single" w:sz="8" w:color="auto"/>
            </w:tcBorders>
          </w:tcPr>
          <w:p>
            <w:pPr>
              <w:jc w:val="center"/>
              <w:ind w:left="280"/>
              <w:spacing w:after="0"/>
              <w:rPr>
                <w:sz w:val="20"/>
                <w:szCs w:val="20"/>
                <w:color w:val="auto"/>
              </w:rPr>
            </w:pPr>
            <w:r>
              <w:rPr>
                <w:rFonts w:ascii="Times New Roman" w:cs="Times New Roman" w:eastAsia="Times New Roman" w:hAnsi="Times New Roman"/>
                <w:sz w:val="12"/>
                <w:szCs w:val="12"/>
                <w:color w:val="auto"/>
                <w:w w:val="98"/>
              </w:rPr>
              <w:t>-</w:t>
            </w:r>
          </w:p>
        </w:tc>
      </w:tr>
      <w:tr>
        <w:trPr>
          <w:trHeight w:val="162"/>
        </w:trPr>
        <w:tc>
          <w:tcPr>
            <w:tcW w:w="194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Development</w:t>
            </w:r>
          </w:p>
        </w:tc>
        <w:tc>
          <w:tcPr>
            <w:tcW w:w="40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2"/>
                <w:szCs w:val="12"/>
                <w:color w:val="auto"/>
              </w:rPr>
              <w:t>2+ years to start of construction</w:t>
            </w:r>
          </w:p>
        </w:tc>
        <w:tc>
          <w:tcPr>
            <w:tcW w:w="2380" w:type="dxa"/>
            <w:vAlign w:val="bottom"/>
            <w:tcBorders>
              <w:bottom w:val="single" w:sz="8" w:color="auto"/>
            </w:tcBorders>
          </w:tcPr>
          <w:p>
            <w:pPr>
              <w:jc w:val="center"/>
              <w:ind w:left="840"/>
              <w:spacing w:after="0"/>
              <w:rPr>
                <w:sz w:val="20"/>
                <w:szCs w:val="20"/>
                <w:color w:val="auto"/>
              </w:rPr>
            </w:pPr>
            <w:r>
              <w:rPr>
                <w:rFonts w:ascii="Times New Roman" w:cs="Times New Roman" w:eastAsia="Times New Roman" w:hAnsi="Times New Roman"/>
                <w:sz w:val="12"/>
                <w:szCs w:val="12"/>
                <w:color w:val="auto"/>
                <w:w w:val="95"/>
              </w:rPr>
              <w:t>21.3</w:t>
            </w:r>
          </w:p>
        </w:tc>
        <w:tc>
          <w:tcPr>
            <w:tcW w:w="2980" w:type="dxa"/>
            <w:vAlign w:val="bottom"/>
            <w:tcBorders>
              <w:bottom w:val="single" w:sz="8" w:color="auto"/>
              <w:right w:val="single" w:sz="8" w:color="auto"/>
            </w:tcBorders>
          </w:tcPr>
          <w:p>
            <w:pPr>
              <w:jc w:val="center"/>
              <w:ind w:left="280"/>
              <w:spacing w:after="0"/>
              <w:rPr>
                <w:sz w:val="20"/>
                <w:szCs w:val="20"/>
                <w:color w:val="auto"/>
              </w:rPr>
            </w:pPr>
            <w:r>
              <w:rPr>
                <w:rFonts w:ascii="Times New Roman" w:cs="Times New Roman" w:eastAsia="Times New Roman" w:hAnsi="Times New Roman"/>
                <w:sz w:val="12"/>
                <w:szCs w:val="12"/>
                <w:color w:val="auto"/>
                <w:w w:val="98"/>
              </w:rPr>
              <w:t>-</w:t>
            </w:r>
          </w:p>
        </w:tc>
      </w:tr>
      <w:tr>
        <w:trPr>
          <w:trHeight w:val="153"/>
        </w:trPr>
        <w:tc>
          <w:tcPr>
            <w:tcW w:w="1940" w:type="dxa"/>
            <w:vAlign w:val="bottom"/>
            <w:tcBorders>
              <w:left w:val="single" w:sz="8" w:color="auto"/>
              <w:bottom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2"/>
                <w:szCs w:val="12"/>
                <w:b w:val="1"/>
                <w:bCs w:val="1"/>
                <w:color w:val="auto"/>
              </w:rPr>
              <w:t>Total Portfolio</w:t>
            </w:r>
          </w:p>
        </w:tc>
        <w:tc>
          <w:tcPr>
            <w:tcW w:w="4000" w:type="dxa"/>
            <w:vAlign w:val="bottom"/>
            <w:tcBorders>
              <w:bottom w:val="single" w:sz="8" w:color="auto"/>
            </w:tcBorders>
            <w:shd w:val="clear" w:color="auto" w:fill="BFBFBF"/>
          </w:tcPr>
          <w:p>
            <w:pPr>
              <w:spacing w:after="0"/>
              <w:rPr>
                <w:sz w:val="13"/>
                <w:szCs w:val="13"/>
                <w:color w:val="auto"/>
              </w:rPr>
            </w:pPr>
          </w:p>
        </w:tc>
        <w:tc>
          <w:tcPr>
            <w:tcW w:w="2380" w:type="dxa"/>
            <w:vAlign w:val="bottom"/>
            <w:tcBorders>
              <w:bottom w:val="single" w:sz="8" w:color="auto"/>
            </w:tcBorders>
            <w:shd w:val="clear" w:color="auto" w:fill="BFBFBF"/>
          </w:tcPr>
          <w:p>
            <w:pPr>
              <w:jc w:val="center"/>
              <w:ind w:left="840"/>
              <w:spacing w:after="0"/>
              <w:rPr>
                <w:sz w:val="20"/>
                <w:szCs w:val="20"/>
                <w:color w:val="auto"/>
              </w:rPr>
            </w:pPr>
            <w:r>
              <w:rPr>
                <w:rFonts w:ascii="Times New Roman" w:cs="Times New Roman" w:eastAsia="Times New Roman" w:hAnsi="Times New Roman"/>
                <w:sz w:val="12"/>
                <w:szCs w:val="12"/>
                <w:b w:val="1"/>
                <w:bCs w:val="1"/>
                <w:color w:val="auto"/>
                <w:w w:val="95"/>
              </w:rPr>
              <w:t>37.0</w:t>
            </w:r>
          </w:p>
        </w:tc>
        <w:tc>
          <w:tcPr>
            <w:tcW w:w="2980" w:type="dxa"/>
            <w:vAlign w:val="bottom"/>
            <w:tcBorders>
              <w:bottom w:val="single" w:sz="8" w:color="auto"/>
              <w:right w:val="single" w:sz="8" w:color="auto"/>
            </w:tcBorders>
            <w:shd w:val="clear" w:color="auto" w:fill="BFBFBF"/>
          </w:tcPr>
          <w:p>
            <w:pPr>
              <w:jc w:val="center"/>
              <w:ind w:left="280"/>
              <w:spacing w:after="0"/>
              <w:rPr>
                <w:sz w:val="20"/>
                <w:szCs w:val="20"/>
                <w:color w:val="auto"/>
              </w:rPr>
            </w:pPr>
            <w:r>
              <w:rPr>
                <w:rFonts w:ascii="Times New Roman" w:cs="Times New Roman" w:eastAsia="Times New Roman" w:hAnsi="Times New Roman"/>
                <w:sz w:val="12"/>
                <w:szCs w:val="12"/>
                <w:b w:val="1"/>
                <w:bCs w:val="1"/>
                <w:color w:val="auto"/>
                <w:w w:val="98"/>
              </w:rPr>
              <w:t>-</w:t>
            </w:r>
          </w:p>
        </w:tc>
      </w:tr>
    </w:tbl>
    <w:p>
      <w:pPr>
        <w:spacing w:after="0" w:line="138" w:lineRule="exact"/>
        <w:rPr>
          <w:sz w:val="20"/>
          <w:szCs w:val="20"/>
          <w:color w:val="auto"/>
        </w:rPr>
      </w:pPr>
    </w:p>
    <w:p>
      <w:pPr>
        <w:ind w:left="428" w:hanging="212"/>
        <w:spacing w:after="0"/>
        <w:tabs>
          <w:tab w:leader="none" w:pos="42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Operating component of the portfolio: 3.1 FGW</w:t>
      </w:r>
    </w:p>
    <w:p>
      <w:pPr>
        <w:spacing w:after="0" w:line="163" w:lineRule="exact"/>
        <w:rPr>
          <w:sz w:val="20"/>
          <w:szCs w:val="20"/>
          <w:color w:val="auto"/>
        </w:rPr>
      </w:pPr>
    </w:p>
    <w:p>
      <w:pPr>
        <w:ind w:left="968" w:hanging="212"/>
        <w:spacing w:after="0"/>
        <w:tabs>
          <w:tab w:leader="none" w:pos="968" w:val="left"/>
        </w:tabs>
        <w:numPr>
          <w:ilvl w:val="1"/>
          <w:numId w:val="7"/>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The operational portfolio generates annualized revenues and income run rate of approximately $560m.</w:t>
      </w:r>
    </w:p>
    <w:p>
      <w:pPr>
        <w:spacing w:after="0" w:line="135" w:lineRule="exact"/>
        <w:rPr>
          <w:rFonts w:ascii="Courier New" w:cs="Courier New" w:eastAsia="Courier New" w:hAnsi="Courier New"/>
          <w:sz w:val="12"/>
          <w:szCs w:val="12"/>
          <w:color w:val="auto"/>
        </w:rPr>
      </w:pPr>
    </w:p>
    <w:p>
      <w:pPr>
        <w:ind w:left="428" w:hanging="212"/>
        <w:spacing w:after="0"/>
        <w:tabs>
          <w:tab w:leader="none" w:pos="42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Under Construction component of the portfolio: 2.9 FGW</w:t>
      </w:r>
    </w:p>
    <w:p>
      <w:pPr>
        <w:spacing w:after="0" w:line="163" w:lineRule="exact"/>
        <w:rPr>
          <w:rFonts w:ascii="Times New Roman" w:cs="Times New Roman" w:eastAsia="Times New Roman" w:hAnsi="Times New Roman"/>
          <w:sz w:val="12"/>
          <w:szCs w:val="12"/>
          <w:color w:val="auto"/>
        </w:rPr>
      </w:pPr>
    </w:p>
    <w:p>
      <w:pPr>
        <w:ind w:left="968" w:hanging="212"/>
        <w:spacing w:after="0"/>
        <w:tabs>
          <w:tab w:leader="none" w:pos="968" w:val="left"/>
        </w:tabs>
        <w:numPr>
          <w:ilvl w:val="1"/>
          <w:numId w:val="7"/>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Contains four major projects in the U.S. with a total capacity of 2.5 FGW.</w:t>
      </w:r>
    </w:p>
    <w:p>
      <w:pPr>
        <w:spacing w:after="0" w:line="148" w:lineRule="exact"/>
        <w:rPr>
          <w:rFonts w:ascii="Courier New" w:cs="Courier New" w:eastAsia="Courier New" w:hAnsi="Courier New"/>
          <w:sz w:val="12"/>
          <w:szCs w:val="12"/>
          <w:color w:val="auto"/>
        </w:rPr>
      </w:pPr>
    </w:p>
    <w:p>
      <w:pPr>
        <w:ind w:left="968" w:hanging="212"/>
        <w:spacing w:after="0"/>
        <w:tabs>
          <w:tab w:leader="none" w:pos="968" w:val="left"/>
        </w:tabs>
        <w:numPr>
          <w:ilvl w:val="1"/>
          <w:numId w:val="7"/>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Of these, projects Roadrunner and Quail Ranch are expected to reach COD by the end of 2025. Roadrunner has already begun testing and electrification procedures.</w:t>
      </w:r>
    </w:p>
    <w:p>
      <w:pPr>
        <w:spacing w:after="0" w:line="139" w:lineRule="exact"/>
        <w:rPr>
          <w:rFonts w:ascii="Courier New" w:cs="Courier New" w:eastAsia="Courier New" w:hAnsi="Courier New"/>
          <w:sz w:val="12"/>
          <w:szCs w:val="12"/>
          <w:color w:val="auto"/>
        </w:rPr>
      </w:pPr>
    </w:p>
    <w:p>
      <w:pPr>
        <w:ind w:left="968" w:hanging="212"/>
        <w:spacing w:after="0"/>
        <w:tabs>
          <w:tab w:leader="none" w:pos="968" w:val="left"/>
        </w:tabs>
        <w:numPr>
          <w:ilvl w:val="1"/>
          <w:numId w:val="7"/>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Projects under construction are expected to contribute ~$550m to the annual revenues and income run rate during their first full year of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10972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162" w:lineRule="exact"/>
        <w:rPr>
          <w:sz w:val="20"/>
          <w:szCs w:val="20"/>
          <w:color w:val="auto"/>
        </w:rPr>
      </w:pPr>
    </w:p>
    <w:p>
      <w:pPr>
        <w:ind w:left="68" w:hanging="68"/>
        <w:spacing w:after="0"/>
        <w:tabs>
          <w:tab w:leader="none" w:pos="68" w:val="left"/>
        </w:tabs>
        <w:numPr>
          <w:ilvl w:val="0"/>
          <w:numId w:val="8"/>
        </w:numPr>
        <w:rPr>
          <w:rFonts w:ascii="Calibri" w:cs="Calibri" w:eastAsia="Calibri" w:hAnsi="Calibri"/>
          <w:sz w:val="20"/>
          <w:szCs w:val="20"/>
          <w:color w:val="auto"/>
          <w:vertAlign w:val="superscript"/>
        </w:rPr>
      </w:pPr>
      <w:r>
        <w:rPr>
          <w:rFonts w:ascii="Times New Roman" w:cs="Times New Roman" w:eastAsia="Times New Roman" w:hAnsi="Times New Roman"/>
          <w:sz w:val="11"/>
          <w:szCs w:val="11"/>
          <w:color w:val="auto"/>
        </w:rPr>
        <w:t>FGW (Factored GW) is a consolidated metric combining generation and storage capacity into a uniform figure based on the ratio of construction costs. The company’s current weighted average construction cost ratio is 3.5 GWh of storage per 1 GW of</w:t>
      </w:r>
    </w:p>
    <w:p>
      <w:pPr>
        <w:spacing w:after="0" w:line="25" w:lineRule="exact"/>
        <w:rPr>
          <w:sz w:val="20"/>
          <w:szCs w:val="20"/>
          <w:color w:val="auto"/>
        </w:rPr>
      </w:pPr>
    </w:p>
    <w:p>
      <w:pPr>
        <w:ind w:left="88"/>
        <w:spacing w:after="0"/>
        <w:rPr>
          <w:sz w:val="20"/>
          <w:szCs w:val="20"/>
          <w:color w:val="auto"/>
        </w:rPr>
      </w:pPr>
      <w:r>
        <w:rPr>
          <w:rFonts w:ascii="Times New Roman" w:cs="Times New Roman" w:eastAsia="Times New Roman" w:hAnsi="Times New Roman"/>
          <w:sz w:val="11"/>
          <w:szCs w:val="11"/>
          <w:color w:val="auto"/>
        </w:rPr>
        <w:t>generation: FGW = GW + GWh / 3.5</w:t>
      </w:r>
    </w:p>
    <w:p>
      <w:pPr>
        <w:ind w:left="68" w:hanging="68"/>
        <w:spacing w:after="0" w:line="191" w:lineRule="auto"/>
        <w:tabs>
          <w:tab w:leader="none" w:pos="68" w:val="left"/>
        </w:tabs>
        <w:numPr>
          <w:ilvl w:val="0"/>
          <w:numId w:val="9"/>
        </w:numPr>
        <w:rPr>
          <w:rFonts w:ascii="Calibri" w:cs="Calibri" w:eastAsia="Calibri" w:hAnsi="Calibri"/>
          <w:sz w:val="15"/>
          <w:szCs w:val="15"/>
          <w:color w:val="auto"/>
          <w:vertAlign w:val="superscript"/>
        </w:rPr>
      </w:pPr>
      <w:r>
        <w:rPr>
          <w:rFonts w:ascii="Times New Roman" w:cs="Times New Roman" w:eastAsia="Times New Roman" w:hAnsi="Times New Roman"/>
          <w:sz w:val="9"/>
          <w:szCs w:val="9"/>
          <w:color w:val="auto"/>
        </w:rPr>
        <w:t>As of as of November 11, 2025 (“the Approval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7804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6" w:name="page7"/>
    <w:bookmarkEnd w:id="6"/>
    <w:p>
      <w:pPr>
        <w:ind w:left="220" w:hanging="212"/>
        <w:spacing w:after="0"/>
        <w:tabs>
          <w:tab w:leader="none" w:pos="2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Pre-construction component of the portfolio: 3.6 FGW</w:t>
      </w:r>
    </w:p>
    <w:p>
      <w:pPr>
        <w:spacing w:after="0" w:line="163" w:lineRule="exact"/>
        <w:rPr>
          <w:sz w:val="20"/>
          <w:szCs w:val="20"/>
          <w:color w:val="auto"/>
        </w:rPr>
      </w:pPr>
    </w:p>
    <w:p>
      <w:pPr>
        <w:ind w:left="760" w:hanging="212"/>
        <w:spacing w:after="0"/>
        <w:tabs>
          <w:tab w:leader="none" w:pos="760" w:val="left"/>
        </w:tabs>
        <w:numPr>
          <w:ilvl w:val="0"/>
          <w:numId w:val="11"/>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Three significant additions were made to this component of the portfolio during the quarter:</w:t>
      </w:r>
    </w:p>
    <w:p>
      <w:pPr>
        <w:spacing w:after="0" w:line="139" w:lineRule="exact"/>
        <w:rPr>
          <w:rFonts w:ascii="Courier New" w:cs="Courier New" w:eastAsia="Courier New" w:hAnsi="Courier New"/>
          <w:sz w:val="12"/>
          <w:szCs w:val="12"/>
          <w:color w:val="auto"/>
        </w:rPr>
      </w:pPr>
    </w:p>
    <w:p>
      <w:pPr>
        <w:ind w:left="1080" w:right="4040"/>
        <w:spacing w:after="0" w:line="610" w:lineRule="auto"/>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Bertikow, a 246 FMW stand-alone storage project acquired in Germany, marking the Company's first project in this country. Edison, a 59 FMW stand-alone storage project acquired in Poland.</w:t>
      </w:r>
    </w:p>
    <w:p>
      <w:pPr>
        <w:ind w:left="880"/>
        <w:spacing w:after="0"/>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Neot Smadar, a 184 FMW stand-alone storage project located in Israel.</w:t>
      </w:r>
    </w:p>
    <w:p>
      <w:pPr>
        <w:spacing w:after="0" w:line="204" w:lineRule="exact"/>
        <w:rPr>
          <w:rFonts w:ascii="Courier New" w:cs="Courier New" w:eastAsia="Courier New" w:hAnsi="Courier New"/>
          <w:sz w:val="12"/>
          <w:szCs w:val="12"/>
          <w:color w:val="auto"/>
        </w:rPr>
      </w:pPr>
    </w:p>
    <w:p>
      <w:pPr>
        <w:ind w:left="760" w:hanging="212"/>
        <w:spacing w:after="0"/>
        <w:tabs>
          <w:tab w:leader="none" w:pos="760" w:val="left"/>
        </w:tabs>
        <w:numPr>
          <w:ilvl w:val="0"/>
          <w:numId w:val="11"/>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Pre-construction projects are expected to contribute ~$500 in revenues and income in their first full year of operations.</w:t>
      </w:r>
    </w:p>
    <w:p>
      <w:pPr>
        <w:spacing w:after="0" w:line="148" w:lineRule="exact"/>
        <w:rPr>
          <w:rFonts w:ascii="Courier New" w:cs="Courier New" w:eastAsia="Courier New" w:hAnsi="Courier New"/>
          <w:sz w:val="12"/>
          <w:szCs w:val="12"/>
          <w:color w:val="auto"/>
        </w:rPr>
      </w:pPr>
    </w:p>
    <w:p>
      <w:pPr>
        <w:ind w:left="760" w:hanging="212"/>
        <w:spacing w:after="0"/>
        <w:tabs>
          <w:tab w:leader="none" w:pos="760" w:val="left"/>
        </w:tabs>
        <w:numPr>
          <w:ilvl w:val="0"/>
          <w:numId w:val="11"/>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Project CO-Bar (1.4 FGW) has obtained an LGIA and is waiting for approvals before execution and construction.</w:t>
      </w:r>
    </w:p>
    <w:p>
      <w:pPr>
        <w:spacing w:after="0" w:line="148" w:lineRule="exact"/>
        <w:rPr>
          <w:rFonts w:ascii="Courier New" w:cs="Courier New" w:eastAsia="Courier New" w:hAnsi="Courier New"/>
          <w:sz w:val="12"/>
          <w:szCs w:val="12"/>
          <w:color w:val="auto"/>
        </w:rPr>
      </w:pPr>
    </w:p>
    <w:p>
      <w:pPr>
        <w:ind w:left="760" w:hanging="212"/>
        <w:spacing w:after="0"/>
        <w:tabs>
          <w:tab w:leader="none" w:pos="760" w:val="left"/>
        </w:tabs>
        <w:numPr>
          <w:ilvl w:val="0"/>
          <w:numId w:val="11"/>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Pre-construction projects are expected to contribute ~$500m to the annual revenues and income run rate during their first full year of operation.</w:t>
      </w:r>
    </w:p>
    <w:p>
      <w:pPr>
        <w:spacing w:after="0" w:line="136"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2"/>
          <w:szCs w:val="12"/>
          <w:b w:val="1"/>
          <w:bCs w:val="1"/>
          <w:color w:val="auto"/>
        </w:rPr>
        <w:t>With the completion of the current Mature portfolio’s pre-construction and under construction projects, Enlight’s operating capacity is expected to rise to 9.6 FGW and to generate an annualized revenue and income run rate of $1.6bn by the end of 2028.</w:t>
      </w:r>
    </w:p>
    <w:p>
      <w:pPr>
        <w:spacing w:after="0" w:line="103" w:lineRule="exact"/>
        <w:rPr>
          <w:sz w:val="20"/>
          <w:szCs w:val="20"/>
          <w:color w:val="auto"/>
        </w:rPr>
      </w:pPr>
    </w:p>
    <w:p>
      <w:pPr>
        <w:ind w:left="220" w:hanging="212"/>
        <w:spacing w:after="0"/>
        <w:tabs>
          <w:tab w:leader="none" w:pos="2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Advanced Development component of the portfolio component: 6.1 FGW</w:t>
      </w:r>
    </w:p>
    <w:p>
      <w:pPr>
        <w:spacing w:after="0" w:line="163" w:lineRule="exact"/>
        <w:rPr>
          <w:sz w:val="20"/>
          <w:szCs w:val="20"/>
          <w:color w:val="auto"/>
        </w:rPr>
      </w:pPr>
    </w:p>
    <w:p>
      <w:pPr>
        <w:ind w:left="760" w:hanging="212"/>
        <w:spacing w:after="0"/>
        <w:tabs>
          <w:tab w:leader="none" w:pos="760" w:val="left"/>
        </w:tabs>
        <w:numPr>
          <w:ilvl w:val="1"/>
          <w:numId w:val="13"/>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5.1 FGW in the U.S., with 100% of the capacity having passed completion of the System Impact Study. The advanced development portfolio also includes 0.7 FGW in Europe and 0.3 FGW in MENA.</w:t>
      </w:r>
    </w:p>
    <w:p>
      <w:pPr>
        <w:spacing w:after="0" w:line="144" w:lineRule="exact"/>
        <w:rPr>
          <w:rFonts w:ascii="Courier New" w:cs="Courier New" w:eastAsia="Courier New" w:hAnsi="Courier New"/>
          <w:sz w:val="12"/>
          <w:szCs w:val="12"/>
          <w:color w:val="auto"/>
        </w:rPr>
      </w:pPr>
    </w:p>
    <w:p>
      <w:pPr>
        <w:ind w:left="220" w:hanging="212"/>
        <w:spacing w:after="0"/>
        <w:tabs>
          <w:tab w:leader="none" w:pos="2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Development component of the portfolio: 21.3 FGW</w:t>
      </w:r>
    </w:p>
    <w:p>
      <w:pPr>
        <w:spacing w:after="0" w:line="154" w:lineRule="exact"/>
        <w:rPr>
          <w:rFonts w:ascii="Times New Roman" w:cs="Times New Roman" w:eastAsia="Times New Roman" w:hAnsi="Times New Roman"/>
          <w:sz w:val="12"/>
          <w:szCs w:val="12"/>
          <w:color w:val="auto"/>
        </w:rPr>
      </w:pPr>
    </w:p>
    <w:p>
      <w:pPr>
        <w:ind w:left="760" w:hanging="212"/>
        <w:spacing w:after="0"/>
        <w:tabs>
          <w:tab w:leader="none" w:pos="760" w:val="left"/>
        </w:tabs>
        <w:numPr>
          <w:ilvl w:val="1"/>
          <w:numId w:val="13"/>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14.6 FGW in the U.S. with broad geographic presence, including the PJM, WECC, SPP and MISO regions. The development portfolio also includes 2.7 FGW in Europe and 4.0 FGW in MENA.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175895</wp:posOffset>
            </wp:positionV>
            <wp:extent cx="717804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100"/>
          </w:cols>
          <w:pgMar w:left="500" w:top="125" w:right="299" w:bottom="1440" w:gutter="0" w:footer="0" w:header="0"/>
        </w:sectPr>
      </w:pPr>
    </w:p>
    <w:bookmarkStart w:id="7" w:name="page8"/>
    <w:bookmarkEnd w:id="7"/>
    <w:p>
      <w:pPr>
        <w:jc w:val="center"/>
        <w:ind w:right="-47"/>
        <w:spacing w:after="0"/>
        <w:rPr>
          <w:sz w:val="20"/>
          <w:szCs w:val="20"/>
          <w:color w:val="auto"/>
        </w:rPr>
      </w:pPr>
      <w:r>
        <w:rPr>
          <w:rFonts w:ascii="Times New Roman" w:cs="Times New Roman" w:eastAsia="Times New Roman" w:hAnsi="Times New Roman"/>
          <w:sz w:val="12"/>
          <w:szCs w:val="12"/>
          <w:b w:val="1"/>
          <w:bCs w:val="1"/>
          <w:color w:val="auto"/>
        </w:rPr>
        <w:t>Roadmap to Revenues and Income Run-Rate of ~$2.0bn by the end of 2028</w:t>
      </w:r>
      <w:r>
        <w:rPr>
          <w:rFonts w:ascii="Times New Roman" w:cs="Times New Roman" w:eastAsia="Times New Roman" w:hAnsi="Times New Roman"/>
          <w:sz w:val="19"/>
          <w:szCs w:val="19"/>
          <w:b w:val="1"/>
          <w:bCs w:val="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-22225</wp:posOffset>
            </wp:positionV>
            <wp:extent cx="4074795" cy="1428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74795" cy="142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Project and Corporate Finance</w:t>
      </w:r>
    </w:p>
    <w:p>
      <w:pPr>
        <w:spacing w:after="0" w:line="163" w:lineRule="exact"/>
        <w:rPr>
          <w:sz w:val="20"/>
          <w:szCs w:val="20"/>
          <w:color w:val="auto"/>
        </w:rPr>
      </w:pPr>
    </w:p>
    <w:p>
      <w:pPr>
        <w:ind w:left="428" w:hanging="212"/>
        <w:spacing w:after="0"/>
        <w:tabs>
          <w:tab w:leader="none" w:pos="42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quarter, the Company secured project finance from multiple sources to support our U.S. expansion plans:</w:t>
      </w:r>
    </w:p>
    <w:p>
      <w:pPr>
        <w:spacing w:after="0" w:line="159" w:lineRule="exact"/>
        <w:rPr>
          <w:sz w:val="20"/>
          <w:szCs w:val="20"/>
          <w:color w:val="auto"/>
        </w:rPr>
      </w:pPr>
    </w:p>
    <w:p>
      <w:pPr>
        <w:ind w:left="968" w:hanging="212"/>
        <w:spacing w:after="0" w:line="262" w:lineRule="auto"/>
        <w:tabs>
          <w:tab w:leader="none" w:pos="968" w:val="left"/>
        </w:tabs>
        <w:numPr>
          <w:ilvl w:val="0"/>
          <w:numId w:val="15"/>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Financial close totaling approximately $1.4bn of loans for the Snowflake A project (1.1 FGW), the largest in the Company's history. Snowflake A is expected to reach COD by 2H27, and generate revenues and income of $223-229m and EBITDA of $199-204m in its first full year of operation.</w:t>
      </w:r>
    </w:p>
    <w:p>
      <w:pPr>
        <w:spacing w:after="0" w:line="128" w:lineRule="exact"/>
        <w:rPr>
          <w:rFonts w:ascii="Courier New" w:cs="Courier New" w:eastAsia="Courier New" w:hAnsi="Courier New"/>
          <w:sz w:val="12"/>
          <w:szCs w:val="12"/>
          <w:color w:val="auto"/>
        </w:rPr>
      </w:pPr>
    </w:p>
    <w:p>
      <w:pPr>
        <w:ind w:left="968" w:hanging="212"/>
        <w:spacing w:after="0" w:line="262" w:lineRule="auto"/>
        <w:tabs>
          <w:tab w:leader="none" w:pos="968" w:val="left"/>
        </w:tabs>
        <w:numPr>
          <w:ilvl w:val="0"/>
          <w:numId w:val="15"/>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Tax equity financing for the Roadrunner and Quail Ranch projects (0.8 FGW combined) totaling approximately $470m. Both projects are expected to reach COD by the end of this year, and together generate revenues and income of $143-147m and EBITDA of $124-127m in their first full year of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10972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235" w:lineRule="exact"/>
        <w:rPr>
          <w:sz w:val="20"/>
          <w:szCs w:val="20"/>
          <w:color w:val="auto"/>
        </w:rPr>
      </w:pPr>
    </w:p>
    <w:p>
      <w:pPr>
        <w:ind w:left="88" w:right="40" w:hanging="88"/>
        <w:spacing w:after="0" w:line="225" w:lineRule="auto"/>
        <w:tabs>
          <w:tab w:leader="none" w:pos="84" w:val="left"/>
        </w:tabs>
        <w:numPr>
          <w:ilvl w:val="0"/>
          <w:numId w:val="16"/>
        </w:numPr>
        <w:rPr>
          <w:rFonts w:ascii="Calibri" w:cs="Calibri" w:eastAsia="Calibri" w:hAnsi="Calibri"/>
          <w:sz w:val="20"/>
          <w:szCs w:val="20"/>
          <w:color w:val="auto"/>
          <w:vertAlign w:val="superscript"/>
        </w:rPr>
      </w:pPr>
      <w:r>
        <w:rPr>
          <w:rFonts w:ascii="Times New Roman" w:cs="Times New Roman" w:eastAsia="Times New Roman" w:hAnsi="Times New Roman"/>
          <w:sz w:val="12"/>
          <w:szCs w:val="12"/>
          <w:color w:val="auto"/>
        </w:rPr>
        <w:t>Expected Adjusted EBITDA margin of approximately 70%-80% (including tax benefits) for the years shown. FGW (Factored GW) is a consolidated metric combining generation and storage capacity into a uniform figure based on the ratio of construction costs. The company’s current weighted average construction cost ratio is 3.5 GWh of storage per 1 GW of generation: FGW = GW + GWh / 3.5. The expected growth in 2028 encompasses the Company’s operations in all geographies. Expected growth relies on business plans which rely on development conditions and assumptions regarding electricity prices, and are contingent on current trends known to the Company at this time. The company's revenues from tax benefits are estimated at approximately 19-23% of the total revenues &amp; income run rate for December 2025; approximately 24-28% of the total revenue run rate for December 2026, and approximately 28-33% of the total revenues &amp; income run rate for December 2027 and December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7804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64" w:right="299" w:bottom="1440" w:gutter="0" w:footer="0" w:header="0"/>
        </w:sectPr>
      </w:pPr>
    </w:p>
    <w:bookmarkStart w:id="8" w:name="page9"/>
    <w:bookmarkEnd w:id="8"/>
    <w:p>
      <w:pPr>
        <w:ind w:left="968" w:right="20" w:hanging="212"/>
        <w:spacing w:after="0" w:line="262" w:lineRule="auto"/>
        <w:tabs>
          <w:tab w:leader="none" w:pos="968" w:val="left"/>
        </w:tabs>
        <w:numPr>
          <w:ilvl w:val="1"/>
          <w:numId w:val="17"/>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Completion of a $350m mezzanine loan with competitive margins of 2.7% - 3.2% above SOFR and flexible drawdown and repayment terms, supporting the development and operational needs of projects now under construction in the U.S.</w:t>
      </w:r>
    </w:p>
    <w:p>
      <w:pPr>
        <w:spacing w:after="0" w:line="128" w:lineRule="exact"/>
        <w:rPr>
          <w:rFonts w:ascii="Courier New" w:cs="Courier New" w:eastAsia="Courier New" w:hAnsi="Courier New"/>
          <w:sz w:val="12"/>
          <w:szCs w:val="12"/>
          <w:color w:val="auto"/>
        </w:rPr>
      </w:pPr>
    </w:p>
    <w:p>
      <w:pPr>
        <w:ind w:left="428" w:hanging="212"/>
        <w:spacing w:after="0"/>
        <w:tabs>
          <w:tab w:leader="none" w:pos="428"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Raising approximately $300m in share equity through a private placement to Israeli institutional investors.</w:t>
      </w:r>
    </w:p>
    <w:p>
      <w:pPr>
        <w:spacing w:after="0" w:line="142"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and cash equivalents at the “topco” level</w:t>
      </w: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2"/>
          <w:szCs w:val="12"/>
          <w:color w:val="auto"/>
        </w:rPr>
        <w:t xml:space="preserve"> were $387m as at the balance sheet date.</w:t>
      </w:r>
    </w:p>
    <w:p>
      <w:pPr>
        <w:spacing w:after="0" w:line="85" w:lineRule="exact"/>
        <w:rPr>
          <w:rFonts w:ascii="Times New Roman" w:cs="Times New Roman" w:eastAsia="Times New Roman" w:hAnsi="Times New Roman"/>
          <w:sz w:val="12"/>
          <w:szCs w:val="12"/>
          <w:color w:val="auto"/>
        </w:rPr>
      </w:pPr>
    </w:p>
    <w:p>
      <w:pPr>
        <w:ind w:left="428" w:hanging="212"/>
        <w:spacing w:after="0" w:line="279" w:lineRule="auto"/>
        <w:tabs>
          <w:tab w:leader="none" w:pos="428"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at the balance sheet date, the Company maintained $525m of credit facilities, of which $109m have been drawn. In addition, we have approximately $1.4bn of LC and surety bond facilities supporting our global expansion, of which $590m has been drawn at end of the quarter.</w:t>
      </w:r>
    </w:p>
    <w:p>
      <w:pPr>
        <w:spacing w:after="0" w:line="1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2025 Guidance</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Construction and commissioning</w:t>
      </w:r>
    </w:p>
    <w:p>
      <w:pPr>
        <w:spacing w:after="0" w:line="163" w:lineRule="exact"/>
        <w:rPr>
          <w:sz w:val="20"/>
          <w:szCs w:val="20"/>
          <w:color w:val="auto"/>
        </w:rPr>
      </w:pPr>
    </w:p>
    <w:p>
      <w:pPr>
        <w:ind w:left="428" w:hanging="212"/>
        <w:spacing w:after="0"/>
        <w:tabs>
          <w:tab w:leader="none" w:pos="42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expect commissioning of Roadrunner and Quail Ranch, with a combined capacity of 0.8 FGW, toward the end of 2025.</w:t>
      </w:r>
    </w:p>
    <w:p>
      <w:pPr>
        <w:spacing w:after="0" w:line="1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Raising financial guidance ranges</w:t>
      </w:r>
    </w:p>
    <w:p>
      <w:pPr>
        <w:spacing w:after="0" w:line="156" w:lineRule="exact"/>
        <w:rPr>
          <w:sz w:val="20"/>
          <w:szCs w:val="20"/>
          <w:color w:val="auto"/>
        </w:rPr>
      </w:pPr>
    </w:p>
    <w:p>
      <w:pPr>
        <w:ind w:left="428" w:hanging="212"/>
        <w:spacing w:after="0"/>
        <w:tabs>
          <w:tab w:leader="none" w:pos="42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revenues and income</w:t>
      </w:r>
      <w:r>
        <w:rPr>
          <w:rFonts w:ascii="Times New Roman" w:cs="Times New Roman" w:eastAsia="Times New Roman" w:hAnsi="Times New Roman"/>
          <w:sz w:val="19"/>
          <w:szCs w:val="19"/>
          <w:color w:val="auto"/>
          <w:vertAlign w:val="superscript"/>
        </w:rPr>
        <w:t>7</w:t>
      </w:r>
      <w:r>
        <w:rPr>
          <w:rFonts w:ascii="Times New Roman" w:cs="Times New Roman" w:eastAsia="Times New Roman" w:hAnsi="Times New Roman"/>
          <w:sz w:val="12"/>
          <w:szCs w:val="12"/>
          <w:color w:val="auto"/>
        </w:rPr>
        <w:t xml:space="preserve"> for 2025 are now expected to range between $555m and $565m, up 6.0% at the midpoint from the previous range of $520m to $535m.</w:t>
      </w:r>
    </w:p>
    <w:p>
      <w:pPr>
        <w:spacing w:after="0" w:line="78"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w:t>
      </w:r>
      <w:r>
        <w:rPr>
          <w:rFonts w:ascii="Times New Roman" w:cs="Times New Roman" w:eastAsia="Times New Roman" w:hAnsi="Times New Roman"/>
          <w:sz w:val="19"/>
          <w:szCs w:val="19"/>
          <w:color w:val="auto"/>
          <w:vertAlign w:val="superscript"/>
        </w:rPr>
        <w:t>8</w:t>
      </w:r>
      <w:r>
        <w:rPr>
          <w:rFonts w:ascii="Times New Roman" w:cs="Times New Roman" w:eastAsia="Times New Roman" w:hAnsi="Times New Roman"/>
          <w:sz w:val="12"/>
          <w:szCs w:val="12"/>
          <w:color w:val="auto"/>
        </w:rPr>
        <w:t xml:space="preserve"> for 2025 is expected to range between $405m and $415m, up 4.5% at the midpoint from the previous range of $385m to $400m.</w:t>
      </w:r>
    </w:p>
    <w:p>
      <w:pPr>
        <w:spacing w:after="0" w:line="85"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Approximately 90% of the electricity volumes expected to be generated in 2025 will be sold at fixed prices through PPAs or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109728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357" w:lineRule="exact"/>
        <w:rPr>
          <w:sz w:val="20"/>
          <w:szCs w:val="20"/>
          <w:color w:val="auto"/>
        </w:rPr>
      </w:pPr>
    </w:p>
    <w:p>
      <w:pPr>
        <w:ind w:left="68" w:hanging="68"/>
        <w:spacing w:after="0"/>
        <w:tabs>
          <w:tab w:leader="none" w:pos="68" w:val="left"/>
        </w:tabs>
        <w:numPr>
          <w:ilvl w:val="0"/>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Including Enlight Renewable Energy, headquarter companies in Europe and the U.S. and Clenera, and excluding other subsidiaries and project-linked entities.</w:t>
      </w:r>
    </w:p>
    <w:p>
      <w:pPr>
        <w:spacing w:after="0" w:line="10" w:lineRule="exact"/>
        <w:rPr>
          <w:rFonts w:ascii="Times New Roman" w:cs="Times New Roman" w:eastAsia="Times New Roman" w:hAnsi="Times New Roman"/>
          <w:sz w:val="18"/>
          <w:szCs w:val="18"/>
          <w:color w:val="auto"/>
          <w:vertAlign w:val="superscript"/>
        </w:rPr>
      </w:pPr>
    </w:p>
    <w:p>
      <w:pPr>
        <w:ind w:left="8"/>
        <w:spacing w:after="0" w:line="187" w:lineRule="auto"/>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6"/>
          <w:szCs w:val="16"/>
          <w:color w:val="auto"/>
          <w:vertAlign w:val="superscript"/>
        </w:rPr>
        <w:t>7</w:t>
      </w:r>
      <w:r>
        <w:rPr>
          <w:rFonts w:ascii="Times New Roman" w:cs="Times New Roman" w:eastAsia="Times New Roman" w:hAnsi="Times New Roman"/>
          <w:sz w:val="10"/>
          <w:szCs w:val="10"/>
          <w:color w:val="auto"/>
        </w:rPr>
        <w:t xml:space="preserve"> Total revenues and income include revenues from the sale of electricity along with income from tax benefits from US projects amounting to $80m-$90m.</w:t>
      </w:r>
    </w:p>
    <w:p>
      <w:pPr>
        <w:ind w:left="8" w:right="100"/>
        <w:spacing w:after="0" w:line="212" w:lineRule="auto"/>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7"/>
          <w:szCs w:val="17"/>
          <w:color w:val="auto"/>
          <w:vertAlign w:val="superscript"/>
        </w:rPr>
        <w:t>8</w:t>
      </w:r>
      <w:r>
        <w:rPr>
          <w:rFonts w:ascii="Times New Roman" w:cs="Times New Roman" w:eastAsia="Times New Roman" w:hAnsi="Times New Roman"/>
          <w:sz w:val="12"/>
          <w:szCs w:val="12"/>
          <w:color w:val="auto"/>
        </w:rPr>
        <w:t xml:space="preserve"> EBITDA is a non-IFRS financial measure. The Company is unable to provide a reconciliation of EBITDA to Net Income on a forward-looking basis without unreasonable effort because items that impact this IFRS financial measure are not within the Company’s control and/or cannot be reasonably predicted. Please refer to the reconciliation table in Appendix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9" w:name="page10"/>
    <w:bookmarkEnd w:id="9"/>
    <w:p>
      <w:pPr>
        <w:ind w:left="8"/>
        <w:spacing w:after="0"/>
        <w:rPr>
          <w:sz w:val="20"/>
          <w:szCs w:val="20"/>
          <w:color w:val="auto"/>
        </w:rPr>
      </w:pPr>
      <w:r>
        <w:rPr>
          <w:rFonts w:ascii="Times New Roman" w:cs="Times New Roman" w:eastAsia="Times New Roman" w:hAnsi="Times New Roman"/>
          <w:sz w:val="12"/>
          <w:szCs w:val="12"/>
          <w:b w:val="1"/>
          <w:bCs w:val="1"/>
          <w:color w:val="auto"/>
        </w:rPr>
        <w:t>Financial Results Analysis</w:t>
      </w:r>
    </w:p>
    <w:p>
      <w:pPr>
        <w:spacing w:after="0" w:line="154" w:lineRule="exact"/>
        <w:rPr>
          <w:sz w:val="20"/>
          <w:szCs w:val="20"/>
          <w:color w:val="auto"/>
        </w:rPr>
      </w:pPr>
    </w:p>
    <w:tbl>
      <w:tblPr>
        <w:tblLayout w:type="fixed"/>
        <w:tblInd w:w="18" w:type="dxa"/>
        <w:tblCellMar>
          <w:top w:w="0" w:type="dxa"/>
          <w:left w:w="0" w:type="dxa"/>
          <w:bottom w:w="0" w:type="dxa"/>
          <w:right w:w="0" w:type="dxa"/>
        </w:tblCellMar>
      </w:tblPr>
      <w:tr>
        <w:trPr>
          <w:trHeight w:val="177"/>
        </w:trPr>
        <w:tc>
          <w:tcPr>
            <w:tcW w:w="1940" w:type="dxa"/>
            <w:vAlign w:val="bottom"/>
            <w:tcBorders>
              <w:top w:val="single" w:sz="8" w:color="auto"/>
              <w:left w:val="single" w:sz="8" w:color="auto"/>
            </w:tcBorders>
            <w:vMerge w:val="restart"/>
            <w:shd w:val="clear" w:color="auto" w:fill="BFBFBF"/>
          </w:tcPr>
          <w:p>
            <w:pPr>
              <w:ind w:left="20"/>
              <w:spacing w:after="0"/>
              <w:rPr>
                <w:sz w:val="20"/>
                <w:szCs w:val="20"/>
                <w:color w:val="auto"/>
              </w:rPr>
            </w:pPr>
            <w:r>
              <w:rPr>
                <w:rFonts w:ascii="Times New Roman" w:cs="Times New Roman" w:eastAsia="Times New Roman" w:hAnsi="Times New Roman"/>
                <w:sz w:val="12"/>
                <w:szCs w:val="12"/>
                <w:b w:val="1"/>
                <w:bCs w:val="1"/>
                <w:color w:val="auto"/>
              </w:rPr>
              <w:t>($ millions)</w:t>
            </w:r>
          </w:p>
        </w:tc>
        <w:tc>
          <w:tcPr>
            <w:tcW w:w="2760" w:type="dxa"/>
            <w:vAlign w:val="bottom"/>
            <w:tcBorders>
              <w:top w:val="single" w:sz="8" w:color="auto"/>
            </w:tcBorders>
            <w:gridSpan w:val="2"/>
            <w:vMerge w:val="restart"/>
            <w:shd w:val="clear" w:color="auto" w:fill="BFBFBF"/>
          </w:tcPr>
          <w:p>
            <w:pPr>
              <w:ind w:left="920"/>
              <w:spacing w:after="0"/>
              <w:rPr>
                <w:sz w:val="20"/>
                <w:szCs w:val="20"/>
                <w:color w:val="auto"/>
              </w:rPr>
            </w:pPr>
            <w:r>
              <w:rPr>
                <w:rFonts w:ascii="Times New Roman" w:cs="Times New Roman" w:eastAsia="Times New Roman" w:hAnsi="Times New Roman"/>
                <w:sz w:val="12"/>
                <w:szCs w:val="12"/>
                <w:b w:val="1"/>
                <w:bCs w:val="1"/>
                <w:color w:val="auto"/>
              </w:rPr>
              <w:t>For the three months ended</w:t>
            </w:r>
          </w:p>
        </w:tc>
        <w:tc>
          <w:tcPr>
            <w:tcW w:w="2100" w:type="dxa"/>
            <w:vAlign w:val="bottom"/>
            <w:tcBorders>
              <w:top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2"/>
                <w:szCs w:val="12"/>
                <w:b w:val="1"/>
                <w:bCs w:val="1"/>
                <w:color w:val="auto"/>
              </w:rPr>
              <w:t>Revenues &amp; Income by Segment</w:t>
            </w:r>
          </w:p>
        </w:tc>
        <w:tc>
          <w:tcPr>
            <w:tcW w:w="1180" w:type="dxa"/>
            <w:vAlign w:val="bottom"/>
            <w:tcBorders>
              <w:top w:val="single" w:sz="8" w:color="auto"/>
            </w:tcBorders>
            <w:shd w:val="clear" w:color="auto" w:fill="BFBFBF"/>
          </w:tcPr>
          <w:p>
            <w:pPr>
              <w:spacing w:after="0"/>
              <w:rPr>
                <w:sz w:val="15"/>
                <w:szCs w:val="15"/>
                <w:color w:val="auto"/>
              </w:rPr>
            </w:pPr>
          </w:p>
        </w:tc>
        <w:tc>
          <w:tcPr>
            <w:tcW w:w="1980" w:type="dxa"/>
            <w:vAlign w:val="bottom"/>
            <w:tcBorders>
              <w:top w:val="single" w:sz="8" w:color="auto"/>
            </w:tcBorders>
            <w:vMerge w:val="restart"/>
            <w:shd w:val="clear" w:color="auto" w:fill="BFBFBF"/>
          </w:tcPr>
          <w:p>
            <w:pPr>
              <w:ind w:left="300"/>
              <w:spacing w:after="0"/>
              <w:rPr>
                <w:sz w:val="20"/>
                <w:szCs w:val="20"/>
                <w:color w:val="auto"/>
              </w:rPr>
            </w:pPr>
            <w:r>
              <w:rPr>
                <w:rFonts w:ascii="Times New Roman" w:cs="Times New Roman" w:eastAsia="Times New Roman" w:hAnsi="Times New Roman"/>
                <w:sz w:val="12"/>
                <w:szCs w:val="12"/>
                <w:b w:val="1"/>
                <w:bCs w:val="1"/>
                <w:color w:val="auto"/>
              </w:rPr>
              <w:t>For the nine months ended</w:t>
            </w:r>
          </w:p>
        </w:tc>
        <w:tc>
          <w:tcPr>
            <w:tcW w:w="1340" w:type="dxa"/>
            <w:vAlign w:val="bottom"/>
            <w:tcBorders>
              <w:top w:val="single" w:sz="8" w:color="auto"/>
              <w:right w:val="single" w:sz="8" w:color="auto"/>
            </w:tcBorders>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940" w:type="dxa"/>
            <w:vAlign w:val="bottom"/>
            <w:tcBorders>
              <w:left w:val="single" w:sz="8" w:color="auto"/>
              <w:bottom w:val="single" w:sz="8" w:color="auto"/>
            </w:tcBorders>
            <w:vMerge w:val="continue"/>
            <w:shd w:val="clear" w:color="auto" w:fill="BFBFBF"/>
          </w:tcPr>
          <w:p>
            <w:pPr>
              <w:spacing w:after="0"/>
              <w:rPr>
                <w:sz w:val="12"/>
                <w:szCs w:val="12"/>
                <w:color w:val="auto"/>
              </w:rPr>
            </w:pPr>
          </w:p>
        </w:tc>
        <w:tc>
          <w:tcPr>
            <w:tcW w:w="2760" w:type="dxa"/>
            <w:vAlign w:val="bottom"/>
            <w:tcBorders>
              <w:bottom w:val="single" w:sz="8" w:color="auto"/>
            </w:tcBorders>
            <w:gridSpan w:val="2"/>
            <w:vMerge w:val="continue"/>
            <w:shd w:val="clear" w:color="auto" w:fill="BFBFBF"/>
          </w:tcPr>
          <w:p>
            <w:pPr>
              <w:spacing w:after="0"/>
              <w:rPr>
                <w:sz w:val="12"/>
                <w:szCs w:val="12"/>
                <w:color w:val="auto"/>
              </w:rPr>
            </w:pPr>
          </w:p>
        </w:tc>
        <w:tc>
          <w:tcPr>
            <w:tcW w:w="2100" w:type="dxa"/>
            <w:vAlign w:val="bottom"/>
            <w:tcBorders>
              <w:bottom w:val="single" w:sz="8" w:color="auto"/>
            </w:tcBorders>
            <w:shd w:val="clear" w:color="auto" w:fill="BFBFBF"/>
          </w:tcPr>
          <w:p>
            <w:pPr>
              <w:spacing w:after="0"/>
              <w:rPr>
                <w:sz w:val="12"/>
                <w:szCs w:val="12"/>
                <w:color w:val="auto"/>
              </w:rPr>
            </w:pPr>
          </w:p>
        </w:tc>
        <w:tc>
          <w:tcPr>
            <w:tcW w:w="1180" w:type="dxa"/>
            <w:vAlign w:val="bottom"/>
            <w:tcBorders>
              <w:bottom w:val="single" w:sz="8" w:color="auto"/>
            </w:tcBorders>
            <w:shd w:val="clear" w:color="auto" w:fill="BFBFBF"/>
          </w:tcPr>
          <w:p>
            <w:pPr>
              <w:spacing w:after="0"/>
              <w:rPr>
                <w:sz w:val="12"/>
                <w:szCs w:val="12"/>
                <w:color w:val="auto"/>
              </w:rPr>
            </w:pPr>
          </w:p>
        </w:tc>
        <w:tc>
          <w:tcPr>
            <w:tcW w:w="1980" w:type="dxa"/>
            <w:vAlign w:val="bottom"/>
            <w:tcBorders>
              <w:bottom w:val="single" w:sz="8" w:color="auto"/>
            </w:tcBorders>
            <w:vMerge w:val="continue"/>
            <w:shd w:val="clear" w:color="auto" w:fill="BFBFBF"/>
          </w:tcPr>
          <w:p>
            <w:pPr>
              <w:spacing w:after="0"/>
              <w:rPr>
                <w:sz w:val="12"/>
                <w:szCs w:val="12"/>
                <w:color w:val="auto"/>
              </w:rPr>
            </w:pPr>
          </w:p>
        </w:tc>
        <w:tc>
          <w:tcPr>
            <w:tcW w:w="1340" w:type="dxa"/>
            <w:vAlign w:val="bottom"/>
            <w:tcBorders>
              <w:bottom w:val="single" w:sz="8" w:color="auto"/>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940" w:type="dxa"/>
            <w:vAlign w:val="bottom"/>
            <w:tcBorders>
              <w:left w:val="single" w:sz="8" w:color="auto"/>
              <w:bottom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2"/>
                <w:szCs w:val="12"/>
                <w:b w:val="1"/>
                <w:bCs w:val="1"/>
                <w:color w:val="auto"/>
              </w:rPr>
              <w:t>Segment</w:t>
            </w:r>
          </w:p>
        </w:tc>
        <w:tc>
          <w:tcPr>
            <w:tcW w:w="1620" w:type="dxa"/>
            <w:vAlign w:val="bottom"/>
            <w:tcBorders>
              <w:bottom w:val="single" w:sz="8" w:color="auto"/>
            </w:tcBorders>
            <w:shd w:val="clear" w:color="auto" w:fill="BFBFBF"/>
          </w:tcPr>
          <w:p>
            <w:pPr>
              <w:jc w:val="center"/>
              <w:ind w:left="60"/>
              <w:spacing w:after="0"/>
              <w:rPr>
                <w:sz w:val="20"/>
                <w:szCs w:val="20"/>
                <w:color w:val="auto"/>
              </w:rPr>
            </w:pPr>
            <w:r>
              <w:rPr>
                <w:rFonts w:ascii="Times New Roman" w:cs="Times New Roman" w:eastAsia="Times New Roman" w:hAnsi="Times New Roman"/>
                <w:sz w:val="12"/>
                <w:szCs w:val="12"/>
                <w:b w:val="1"/>
                <w:bCs w:val="1"/>
                <w:color w:val="auto"/>
                <w:w w:val="98"/>
              </w:rPr>
              <w:t>30/09/2025</w:t>
            </w:r>
          </w:p>
        </w:tc>
        <w:tc>
          <w:tcPr>
            <w:tcW w:w="1140" w:type="dxa"/>
            <w:vAlign w:val="bottom"/>
            <w:tcBorders>
              <w:bottom w:val="single" w:sz="8" w:color="auto"/>
            </w:tcBorders>
            <w:shd w:val="clear" w:color="auto" w:fill="BFBFBF"/>
          </w:tcPr>
          <w:p>
            <w:pPr>
              <w:jc w:val="center"/>
              <w:ind w:left="280"/>
              <w:spacing w:after="0"/>
              <w:rPr>
                <w:sz w:val="20"/>
                <w:szCs w:val="20"/>
                <w:color w:val="auto"/>
              </w:rPr>
            </w:pPr>
            <w:r>
              <w:rPr>
                <w:rFonts w:ascii="Times New Roman" w:cs="Times New Roman" w:eastAsia="Times New Roman" w:hAnsi="Times New Roman"/>
                <w:sz w:val="12"/>
                <w:szCs w:val="12"/>
                <w:b w:val="1"/>
                <w:bCs w:val="1"/>
                <w:color w:val="auto"/>
              </w:rPr>
              <w:t>30/09/2024</w:t>
            </w:r>
          </w:p>
        </w:tc>
        <w:tc>
          <w:tcPr>
            <w:tcW w:w="2100" w:type="dxa"/>
            <w:vAlign w:val="bottom"/>
            <w:tcBorders>
              <w:bottom w:val="single" w:sz="8" w:color="auto"/>
            </w:tcBorders>
            <w:shd w:val="clear" w:color="auto" w:fill="BFBFBF"/>
          </w:tcPr>
          <w:p>
            <w:pPr>
              <w:ind w:left="92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180" w:type="dxa"/>
            <w:vAlign w:val="bottom"/>
            <w:tcBorders>
              <w:bottom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30/</w:t>
            </w:r>
            <w:r>
              <w:rPr>
                <w:rFonts w:ascii="Calibri" w:cs="Calibri" w:eastAsia="Calibri" w:hAnsi="Calibri"/>
                <w:sz w:val="12"/>
                <w:szCs w:val="12"/>
                <w:b w:val="1"/>
                <w:bCs w:val="1"/>
                <w:color w:val="auto"/>
                <w:w w:val="98"/>
              </w:rPr>
              <w:t>0</w:t>
            </w:r>
            <w:r>
              <w:rPr>
                <w:rFonts w:ascii="Times New Roman" w:cs="Times New Roman" w:eastAsia="Times New Roman" w:hAnsi="Times New Roman"/>
                <w:sz w:val="12"/>
                <w:szCs w:val="12"/>
                <w:b w:val="1"/>
                <w:bCs w:val="1"/>
                <w:color w:val="auto"/>
                <w:w w:val="98"/>
              </w:rPr>
              <w:t>9/2025</w:t>
            </w:r>
          </w:p>
        </w:tc>
        <w:tc>
          <w:tcPr>
            <w:tcW w:w="1980" w:type="dxa"/>
            <w:vAlign w:val="bottom"/>
            <w:tcBorders>
              <w:bottom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30/</w:t>
            </w:r>
            <w:r>
              <w:rPr>
                <w:rFonts w:ascii="Calibri" w:cs="Calibri" w:eastAsia="Calibri" w:hAnsi="Calibri"/>
                <w:sz w:val="12"/>
                <w:szCs w:val="12"/>
                <w:b w:val="1"/>
                <w:bCs w:val="1"/>
                <w:color w:val="auto"/>
                <w:w w:val="98"/>
              </w:rPr>
              <w:t>0</w:t>
            </w:r>
            <w:r>
              <w:rPr>
                <w:rFonts w:ascii="Times New Roman" w:cs="Times New Roman" w:eastAsia="Times New Roman" w:hAnsi="Times New Roman"/>
                <w:sz w:val="12"/>
                <w:szCs w:val="12"/>
                <w:b w:val="1"/>
                <w:bCs w:val="1"/>
                <w:color w:val="auto"/>
                <w:w w:val="98"/>
              </w:rPr>
              <w:t>9/2024</w:t>
            </w:r>
          </w:p>
        </w:tc>
        <w:tc>
          <w:tcPr>
            <w:tcW w:w="1340" w:type="dxa"/>
            <w:vAlign w:val="bottom"/>
            <w:tcBorders>
              <w:bottom w:val="single" w:sz="8" w:color="auto"/>
              <w:right w:val="single" w:sz="8" w:color="auto"/>
            </w:tcBorders>
            <w:shd w:val="clear" w:color="auto" w:fill="BFBFBF"/>
          </w:tcPr>
          <w:p>
            <w:pPr>
              <w:ind w:left="30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0" w:type="dxa"/>
            <w:vAlign w:val="bottom"/>
          </w:tcPr>
          <w:p>
            <w:pPr>
              <w:spacing w:after="0"/>
              <w:rPr>
                <w:sz w:val="1"/>
                <w:szCs w:val="1"/>
                <w:color w:val="auto"/>
              </w:rPr>
            </w:pPr>
          </w:p>
        </w:tc>
      </w:tr>
      <w:tr>
        <w:trPr>
          <w:trHeight w:val="142"/>
        </w:trPr>
        <w:tc>
          <w:tcPr>
            <w:tcW w:w="19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MENA</w:t>
            </w:r>
          </w:p>
        </w:tc>
        <w:tc>
          <w:tcPr>
            <w:tcW w:w="1620" w:type="dxa"/>
            <w:vAlign w:val="bottom"/>
          </w:tcPr>
          <w:p>
            <w:pPr>
              <w:jc w:val="center"/>
              <w:ind w:left="80"/>
              <w:spacing w:after="0"/>
              <w:rPr>
                <w:sz w:val="20"/>
                <w:szCs w:val="20"/>
                <w:color w:val="auto"/>
              </w:rPr>
            </w:pPr>
            <w:r>
              <w:rPr>
                <w:rFonts w:ascii="Times New Roman" w:cs="Times New Roman" w:eastAsia="Times New Roman" w:hAnsi="Times New Roman"/>
                <w:sz w:val="12"/>
                <w:szCs w:val="12"/>
                <w:color w:val="auto"/>
                <w:w w:val="99"/>
              </w:rPr>
              <w:t>78</w:t>
            </w:r>
          </w:p>
        </w:tc>
        <w:tc>
          <w:tcPr>
            <w:tcW w:w="1140" w:type="dxa"/>
            <w:vAlign w:val="bottom"/>
          </w:tcPr>
          <w:p>
            <w:pPr>
              <w:jc w:val="center"/>
              <w:ind w:left="280"/>
              <w:spacing w:after="0"/>
              <w:rPr>
                <w:sz w:val="20"/>
                <w:szCs w:val="20"/>
                <w:color w:val="auto"/>
              </w:rPr>
            </w:pPr>
            <w:r>
              <w:rPr>
                <w:rFonts w:ascii="Times New Roman" w:cs="Times New Roman" w:eastAsia="Times New Roman" w:hAnsi="Times New Roman"/>
                <w:sz w:val="12"/>
                <w:szCs w:val="12"/>
                <w:color w:val="auto"/>
                <w:w w:val="99"/>
              </w:rPr>
              <w:t>55</w:t>
            </w:r>
          </w:p>
        </w:tc>
        <w:tc>
          <w:tcPr>
            <w:tcW w:w="210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w w:val="99"/>
              </w:rPr>
              <w:t>40%</w:t>
            </w:r>
          </w:p>
        </w:tc>
        <w:tc>
          <w:tcPr>
            <w:tcW w:w="11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173</w:t>
            </w:r>
          </w:p>
        </w:tc>
        <w:tc>
          <w:tcPr>
            <w:tcW w:w="1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122</w:t>
            </w:r>
          </w:p>
        </w:tc>
        <w:tc>
          <w:tcPr>
            <w:tcW w:w="1340" w:type="dxa"/>
            <w:vAlign w:val="bottom"/>
            <w:tcBorders>
              <w:right w:val="single" w:sz="8" w:color="auto"/>
            </w:tcBorders>
          </w:tcPr>
          <w:p>
            <w:pPr>
              <w:jc w:val="center"/>
              <w:ind w:right="180"/>
              <w:spacing w:after="0"/>
              <w:rPr>
                <w:sz w:val="20"/>
                <w:szCs w:val="20"/>
                <w:color w:val="auto"/>
              </w:rPr>
            </w:pPr>
            <w:r>
              <w:rPr>
                <w:rFonts w:ascii="Times New Roman" w:cs="Times New Roman" w:eastAsia="Times New Roman" w:hAnsi="Times New Roman"/>
                <w:sz w:val="12"/>
                <w:szCs w:val="12"/>
                <w:color w:val="auto"/>
                <w:w w:val="99"/>
              </w:rPr>
              <w:t>42%</w:t>
            </w:r>
          </w:p>
        </w:tc>
        <w:tc>
          <w:tcPr>
            <w:tcW w:w="0" w:type="dxa"/>
            <w:vAlign w:val="bottom"/>
          </w:tcPr>
          <w:p>
            <w:pPr>
              <w:spacing w:after="0"/>
              <w:rPr>
                <w:sz w:val="1"/>
                <w:szCs w:val="1"/>
                <w:color w:val="auto"/>
              </w:rPr>
            </w:pPr>
          </w:p>
        </w:tc>
      </w:tr>
      <w:tr>
        <w:trPr>
          <w:trHeight w:val="153"/>
        </w:trPr>
        <w:tc>
          <w:tcPr>
            <w:tcW w:w="19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Europe</w:t>
            </w:r>
          </w:p>
        </w:tc>
        <w:tc>
          <w:tcPr>
            <w:tcW w:w="1620" w:type="dxa"/>
            <w:vAlign w:val="bottom"/>
          </w:tcPr>
          <w:p>
            <w:pPr>
              <w:jc w:val="center"/>
              <w:ind w:left="80"/>
              <w:spacing w:after="0"/>
              <w:rPr>
                <w:sz w:val="20"/>
                <w:szCs w:val="20"/>
                <w:color w:val="auto"/>
              </w:rPr>
            </w:pPr>
            <w:r>
              <w:rPr>
                <w:rFonts w:ascii="Times New Roman" w:cs="Times New Roman" w:eastAsia="Times New Roman" w:hAnsi="Times New Roman"/>
                <w:sz w:val="12"/>
                <w:szCs w:val="12"/>
                <w:color w:val="auto"/>
                <w:w w:val="99"/>
              </w:rPr>
              <w:t>45</w:t>
            </w:r>
          </w:p>
        </w:tc>
        <w:tc>
          <w:tcPr>
            <w:tcW w:w="1140" w:type="dxa"/>
            <w:vAlign w:val="bottom"/>
          </w:tcPr>
          <w:p>
            <w:pPr>
              <w:jc w:val="center"/>
              <w:ind w:left="280"/>
              <w:spacing w:after="0"/>
              <w:rPr>
                <w:sz w:val="20"/>
                <w:szCs w:val="20"/>
                <w:color w:val="auto"/>
              </w:rPr>
            </w:pPr>
            <w:r>
              <w:rPr>
                <w:rFonts w:ascii="Times New Roman" w:cs="Times New Roman" w:eastAsia="Times New Roman" w:hAnsi="Times New Roman"/>
                <w:sz w:val="12"/>
                <w:szCs w:val="12"/>
                <w:color w:val="auto"/>
                <w:w w:val="99"/>
              </w:rPr>
              <w:t>46</w:t>
            </w:r>
          </w:p>
        </w:tc>
        <w:tc>
          <w:tcPr>
            <w:tcW w:w="2100" w:type="dxa"/>
            <w:vAlign w:val="bottom"/>
          </w:tcPr>
          <w:p>
            <w:pPr>
              <w:jc w:val="center"/>
              <w:ind w:left="160"/>
              <w:spacing w:after="0"/>
              <w:rPr>
                <w:sz w:val="20"/>
                <w:szCs w:val="20"/>
                <w:color w:val="auto"/>
              </w:rPr>
            </w:pPr>
            <w:r>
              <w:rPr>
                <w:rFonts w:ascii="Times New Roman" w:cs="Times New Roman" w:eastAsia="Times New Roman" w:hAnsi="Times New Roman"/>
                <w:sz w:val="12"/>
                <w:szCs w:val="12"/>
                <w:color w:val="auto"/>
                <w:w w:val="99"/>
              </w:rPr>
              <w:t>(2%)</w:t>
            </w:r>
          </w:p>
        </w:tc>
        <w:tc>
          <w:tcPr>
            <w:tcW w:w="11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145</w:t>
            </w:r>
          </w:p>
        </w:tc>
        <w:tc>
          <w:tcPr>
            <w:tcW w:w="1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147</w:t>
            </w:r>
          </w:p>
        </w:tc>
        <w:tc>
          <w:tcPr>
            <w:tcW w:w="1340" w:type="dxa"/>
            <w:vAlign w:val="bottom"/>
            <w:tcBorders>
              <w:right w:val="single" w:sz="8" w:color="auto"/>
            </w:tcBorders>
          </w:tcPr>
          <w:p>
            <w:pPr>
              <w:jc w:val="center"/>
              <w:ind w:right="200"/>
              <w:spacing w:after="0"/>
              <w:rPr>
                <w:sz w:val="20"/>
                <w:szCs w:val="20"/>
                <w:color w:val="auto"/>
              </w:rPr>
            </w:pPr>
            <w:r>
              <w:rPr>
                <w:rFonts w:ascii="Times New Roman" w:cs="Times New Roman" w:eastAsia="Times New Roman" w:hAnsi="Times New Roman"/>
                <w:sz w:val="12"/>
                <w:szCs w:val="12"/>
                <w:color w:val="auto"/>
                <w:w w:val="99"/>
              </w:rPr>
              <w:t>(2%)</w:t>
            </w:r>
          </w:p>
        </w:tc>
        <w:tc>
          <w:tcPr>
            <w:tcW w:w="0" w:type="dxa"/>
            <w:vAlign w:val="bottom"/>
          </w:tcPr>
          <w:p>
            <w:pPr>
              <w:spacing w:after="0"/>
              <w:rPr>
                <w:sz w:val="1"/>
                <w:szCs w:val="1"/>
                <w:color w:val="auto"/>
              </w:rPr>
            </w:pPr>
          </w:p>
        </w:tc>
      </w:tr>
      <w:tr>
        <w:trPr>
          <w:trHeight w:val="153"/>
        </w:trPr>
        <w:tc>
          <w:tcPr>
            <w:tcW w:w="19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U.S.</w:t>
            </w:r>
          </w:p>
        </w:tc>
        <w:tc>
          <w:tcPr>
            <w:tcW w:w="1620" w:type="dxa"/>
            <w:vAlign w:val="bottom"/>
          </w:tcPr>
          <w:p>
            <w:pPr>
              <w:jc w:val="center"/>
              <w:ind w:left="80"/>
              <w:spacing w:after="0"/>
              <w:rPr>
                <w:sz w:val="20"/>
                <w:szCs w:val="20"/>
                <w:color w:val="auto"/>
              </w:rPr>
            </w:pPr>
            <w:r>
              <w:rPr>
                <w:rFonts w:ascii="Times New Roman" w:cs="Times New Roman" w:eastAsia="Times New Roman" w:hAnsi="Times New Roman"/>
                <w:sz w:val="12"/>
                <w:szCs w:val="12"/>
                <w:color w:val="auto"/>
                <w:w w:val="99"/>
              </w:rPr>
              <w:t>42</w:t>
            </w:r>
          </w:p>
        </w:tc>
        <w:tc>
          <w:tcPr>
            <w:tcW w:w="114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w w:val="99"/>
              </w:rPr>
              <w:t>9</w:t>
            </w:r>
          </w:p>
        </w:tc>
        <w:tc>
          <w:tcPr>
            <w:tcW w:w="2100" w:type="dxa"/>
            <w:vAlign w:val="bottom"/>
          </w:tcPr>
          <w:p>
            <w:pPr>
              <w:jc w:val="center"/>
              <w:ind w:left="160"/>
              <w:spacing w:after="0"/>
              <w:rPr>
                <w:sz w:val="20"/>
                <w:szCs w:val="20"/>
                <w:color w:val="auto"/>
              </w:rPr>
            </w:pPr>
            <w:r>
              <w:rPr>
                <w:rFonts w:ascii="Times New Roman" w:cs="Times New Roman" w:eastAsia="Times New Roman" w:hAnsi="Times New Roman"/>
                <w:sz w:val="12"/>
                <w:szCs w:val="12"/>
                <w:color w:val="auto"/>
                <w:w w:val="99"/>
              </w:rPr>
              <w:t>379%</w:t>
            </w:r>
          </w:p>
        </w:tc>
        <w:tc>
          <w:tcPr>
            <w:tcW w:w="11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111</w:t>
            </w:r>
          </w:p>
        </w:tc>
        <w:tc>
          <w:tcPr>
            <w:tcW w:w="1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19</w:t>
            </w:r>
          </w:p>
        </w:tc>
        <w:tc>
          <w:tcPr>
            <w:tcW w:w="1340" w:type="dxa"/>
            <w:vAlign w:val="bottom"/>
            <w:tcBorders>
              <w:right w:val="single" w:sz="8" w:color="auto"/>
            </w:tcBorders>
          </w:tcPr>
          <w:p>
            <w:pPr>
              <w:jc w:val="center"/>
              <w:ind w:right="200"/>
              <w:spacing w:after="0"/>
              <w:rPr>
                <w:sz w:val="20"/>
                <w:szCs w:val="20"/>
                <w:color w:val="auto"/>
              </w:rPr>
            </w:pPr>
            <w:r>
              <w:rPr>
                <w:rFonts w:ascii="Times New Roman" w:cs="Times New Roman" w:eastAsia="Times New Roman" w:hAnsi="Times New Roman"/>
                <w:sz w:val="12"/>
                <w:szCs w:val="12"/>
                <w:color w:val="auto"/>
                <w:w w:val="99"/>
              </w:rPr>
              <w:t>493%</w:t>
            </w:r>
          </w:p>
        </w:tc>
        <w:tc>
          <w:tcPr>
            <w:tcW w:w="0" w:type="dxa"/>
            <w:vAlign w:val="bottom"/>
          </w:tcPr>
          <w:p>
            <w:pPr>
              <w:spacing w:after="0"/>
              <w:rPr>
                <w:sz w:val="1"/>
                <w:szCs w:val="1"/>
                <w:color w:val="auto"/>
              </w:rPr>
            </w:pPr>
          </w:p>
        </w:tc>
      </w:tr>
      <w:tr>
        <w:trPr>
          <w:trHeight w:val="162"/>
        </w:trPr>
        <w:tc>
          <w:tcPr>
            <w:tcW w:w="194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1620" w:type="dxa"/>
            <w:vAlign w:val="bottom"/>
            <w:tcBorders>
              <w:bottom w:val="single" w:sz="8" w:color="auto"/>
            </w:tcBorders>
          </w:tcPr>
          <w:p>
            <w:pPr>
              <w:jc w:val="center"/>
              <w:ind w:left="60"/>
              <w:spacing w:after="0"/>
              <w:rPr>
                <w:sz w:val="20"/>
                <w:szCs w:val="20"/>
                <w:color w:val="auto"/>
              </w:rPr>
            </w:pPr>
            <w:r>
              <w:rPr>
                <w:rFonts w:ascii="Times New Roman" w:cs="Times New Roman" w:eastAsia="Times New Roman" w:hAnsi="Times New Roman"/>
                <w:sz w:val="12"/>
                <w:szCs w:val="12"/>
                <w:color w:val="auto"/>
                <w:w w:val="99"/>
              </w:rPr>
              <w:t>0</w:t>
            </w:r>
          </w:p>
        </w:tc>
        <w:tc>
          <w:tcPr>
            <w:tcW w:w="1140" w:type="dxa"/>
            <w:vAlign w:val="bottom"/>
            <w:tcBorders>
              <w:bottom w:val="single" w:sz="8" w:color="auto"/>
            </w:tcBorders>
          </w:tcPr>
          <w:p>
            <w:pPr>
              <w:jc w:val="center"/>
              <w:ind w:left="260"/>
              <w:spacing w:after="0"/>
              <w:rPr>
                <w:sz w:val="20"/>
                <w:szCs w:val="20"/>
                <w:color w:val="auto"/>
              </w:rPr>
            </w:pPr>
            <w:r>
              <w:rPr>
                <w:rFonts w:ascii="Times New Roman" w:cs="Times New Roman" w:eastAsia="Times New Roman" w:hAnsi="Times New Roman"/>
                <w:sz w:val="12"/>
                <w:szCs w:val="12"/>
                <w:color w:val="auto"/>
                <w:w w:val="99"/>
              </w:rPr>
              <w:t>3</w:t>
            </w:r>
          </w:p>
        </w:tc>
        <w:tc>
          <w:tcPr>
            <w:tcW w:w="2100" w:type="dxa"/>
            <w:vAlign w:val="bottom"/>
            <w:tcBorders>
              <w:bottom w:val="single" w:sz="8" w:color="auto"/>
            </w:tcBorders>
          </w:tcPr>
          <w:p>
            <w:pPr>
              <w:jc w:val="center"/>
              <w:ind w:left="180"/>
              <w:spacing w:after="0"/>
              <w:rPr>
                <w:sz w:val="20"/>
                <w:szCs w:val="20"/>
                <w:color w:val="auto"/>
              </w:rPr>
            </w:pPr>
            <w:r>
              <w:rPr>
                <w:rFonts w:ascii="Times New Roman" w:cs="Times New Roman" w:eastAsia="Times New Roman" w:hAnsi="Times New Roman"/>
                <w:sz w:val="12"/>
                <w:szCs w:val="12"/>
                <w:color w:val="auto"/>
                <w:w w:val="99"/>
              </w:rPr>
              <w:t>(92%)</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1340" w:type="dxa"/>
            <w:vAlign w:val="bottom"/>
            <w:tcBorders>
              <w:bottom w:val="single" w:sz="8" w:color="auto"/>
              <w:right w:val="single" w:sz="8" w:color="auto"/>
            </w:tcBorders>
          </w:tcPr>
          <w:p>
            <w:pPr>
              <w:jc w:val="center"/>
              <w:ind w:right="180"/>
              <w:spacing w:after="0"/>
              <w:rPr>
                <w:sz w:val="20"/>
                <w:szCs w:val="20"/>
                <w:color w:val="auto"/>
              </w:rPr>
            </w:pPr>
            <w:r>
              <w:rPr>
                <w:rFonts w:ascii="Times New Roman" w:cs="Times New Roman" w:eastAsia="Times New Roman" w:hAnsi="Times New Roman"/>
                <w:sz w:val="12"/>
                <w:szCs w:val="12"/>
                <w:color w:val="auto"/>
                <w:w w:val="99"/>
              </w:rPr>
              <w:t>(82%)</w:t>
            </w:r>
          </w:p>
        </w:tc>
        <w:tc>
          <w:tcPr>
            <w:tcW w:w="0" w:type="dxa"/>
            <w:vAlign w:val="bottom"/>
          </w:tcPr>
          <w:p>
            <w:pPr>
              <w:spacing w:after="0"/>
              <w:rPr>
                <w:sz w:val="1"/>
                <w:szCs w:val="1"/>
                <w:color w:val="auto"/>
              </w:rPr>
            </w:pPr>
          </w:p>
        </w:tc>
      </w:tr>
      <w:tr>
        <w:trPr>
          <w:trHeight w:val="153"/>
        </w:trPr>
        <w:tc>
          <w:tcPr>
            <w:tcW w:w="1940" w:type="dxa"/>
            <w:vAlign w:val="bottom"/>
            <w:tcBorders>
              <w:left w:val="single" w:sz="8" w:color="auto"/>
              <w:bottom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2"/>
                <w:szCs w:val="12"/>
                <w:b w:val="1"/>
                <w:bCs w:val="1"/>
                <w:color w:val="auto"/>
              </w:rPr>
              <w:t>Total Revenues &amp; Income</w:t>
            </w:r>
          </w:p>
        </w:tc>
        <w:tc>
          <w:tcPr>
            <w:tcW w:w="1620" w:type="dxa"/>
            <w:vAlign w:val="bottom"/>
            <w:tcBorders>
              <w:bottom w:val="single" w:sz="8" w:color="auto"/>
            </w:tcBorders>
            <w:shd w:val="clear" w:color="auto" w:fill="BFBFBF"/>
          </w:tcPr>
          <w:p>
            <w:pPr>
              <w:jc w:val="center"/>
              <w:ind w:left="60"/>
              <w:spacing w:after="0"/>
              <w:rPr>
                <w:sz w:val="20"/>
                <w:szCs w:val="20"/>
                <w:color w:val="auto"/>
              </w:rPr>
            </w:pPr>
            <w:r>
              <w:rPr>
                <w:rFonts w:ascii="Times New Roman" w:cs="Times New Roman" w:eastAsia="Times New Roman" w:hAnsi="Times New Roman"/>
                <w:sz w:val="12"/>
                <w:szCs w:val="12"/>
                <w:b w:val="1"/>
                <w:bCs w:val="1"/>
                <w:color w:val="auto"/>
                <w:w w:val="99"/>
              </w:rPr>
              <w:t>165</w:t>
            </w:r>
          </w:p>
        </w:tc>
        <w:tc>
          <w:tcPr>
            <w:tcW w:w="1140" w:type="dxa"/>
            <w:vAlign w:val="bottom"/>
            <w:tcBorders>
              <w:bottom w:val="single" w:sz="8" w:color="auto"/>
            </w:tcBorders>
            <w:shd w:val="clear" w:color="auto" w:fill="BFBFBF"/>
          </w:tcPr>
          <w:p>
            <w:pPr>
              <w:jc w:val="center"/>
              <w:ind w:left="280"/>
              <w:spacing w:after="0"/>
              <w:rPr>
                <w:sz w:val="20"/>
                <w:szCs w:val="20"/>
                <w:color w:val="auto"/>
              </w:rPr>
            </w:pPr>
            <w:r>
              <w:rPr>
                <w:rFonts w:ascii="Times New Roman" w:cs="Times New Roman" w:eastAsia="Times New Roman" w:hAnsi="Times New Roman"/>
                <w:sz w:val="12"/>
                <w:szCs w:val="12"/>
                <w:b w:val="1"/>
                <w:bCs w:val="1"/>
                <w:color w:val="auto"/>
                <w:w w:val="88"/>
              </w:rPr>
              <w:t>113</w:t>
            </w:r>
          </w:p>
        </w:tc>
        <w:tc>
          <w:tcPr>
            <w:tcW w:w="2100" w:type="dxa"/>
            <w:vAlign w:val="bottom"/>
            <w:tcBorders>
              <w:bottom w:val="single" w:sz="8" w:color="auto"/>
            </w:tcBorders>
            <w:shd w:val="clear" w:color="auto" w:fill="BFBFBF"/>
          </w:tcPr>
          <w:p>
            <w:pPr>
              <w:jc w:val="center"/>
              <w:ind w:left="160"/>
              <w:spacing w:after="0"/>
              <w:rPr>
                <w:sz w:val="20"/>
                <w:szCs w:val="20"/>
                <w:color w:val="auto"/>
              </w:rPr>
            </w:pPr>
            <w:r>
              <w:rPr>
                <w:rFonts w:ascii="Times New Roman" w:cs="Times New Roman" w:eastAsia="Times New Roman" w:hAnsi="Times New Roman"/>
                <w:sz w:val="12"/>
                <w:szCs w:val="12"/>
                <w:b w:val="1"/>
                <w:bCs w:val="1"/>
                <w:color w:val="auto"/>
                <w:w w:val="99"/>
              </w:rPr>
              <w:t>46%</w:t>
            </w:r>
          </w:p>
        </w:tc>
        <w:tc>
          <w:tcPr>
            <w:tcW w:w="1180" w:type="dxa"/>
            <w:vAlign w:val="bottom"/>
            <w:tcBorders>
              <w:bottom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430</w:t>
            </w:r>
          </w:p>
        </w:tc>
        <w:tc>
          <w:tcPr>
            <w:tcW w:w="1980" w:type="dxa"/>
            <w:vAlign w:val="bottom"/>
            <w:tcBorders>
              <w:bottom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295</w:t>
            </w:r>
          </w:p>
        </w:tc>
        <w:tc>
          <w:tcPr>
            <w:tcW w:w="1340" w:type="dxa"/>
            <w:vAlign w:val="bottom"/>
            <w:tcBorders>
              <w:bottom w:val="single" w:sz="8" w:color="auto"/>
              <w:right w:val="single" w:sz="8" w:color="auto"/>
            </w:tcBorders>
            <w:shd w:val="clear" w:color="auto" w:fill="BFBFBF"/>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46%</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Revenues &amp; Income</w:t>
      </w:r>
    </w:p>
    <w:p>
      <w:pPr>
        <w:spacing w:after="0" w:line="163" w:lineRule="exact"/>
        <w:rPr>
          <w:sz w:val="20"/>
          <w:szCs w:val="20"/>
          <w:color w:val="auto"/>
        </w:rPr>
      </w:pPr>
    </w:p>
    <w:p>
      <w:pPr>
        <w:jc w:val="both"/>
        <w:ind w:left="8" w:right="20"/>
        <w:spacing w:after="0" w:line="295" w:lineRule="auto"/>
        <w:rPr>
          <w:sz w:val="20"/>
          <w:szCs w:val="20"/>
          <w:color w:val="auto"/>
        </w:rPr>
      </w:pPr>
      <w:r>
        <w:rPr>
          <w:rFonts w:ascii="Times New Roman" w:cs="Times New Roman" w:eastAsia="Times New Roman" w:hAnsi="Times New Roman"/>
          <w:sz w:val="12"/>
          <w:szCs w:val="12"/>
          <w:color w:val="auto"/>
        </w:rPr>
        <w:t>In the third quarter of 2025, the Company’s total revenues and income increased to $165m, up from $113m last year, a growth rate of 46% year over year. This was composed of revenues from the sale of electricity, which rose 27% to $139m compared to $109m in the same period of 2024, as well as recognition of $27m in income from tax benefits compared to $4m in 3Q24.</w:t>
      </w:r>
    </w:p>
    <w:p>
      <w:pPr>
        <w:spacing w:after="0" w:line="111" w:lineRule="exact"/>
        <w:rPr>
          <w:sz w:val="20"/>
          <w:szCs w:val="20"/>
          <w:color w:val="auto"/>
        </w:rPr>
      </w:pPr>
    </w:p>
    <w:p>
      <w:pPr>
        <w:jc w:val="both"/>
        <w:ind w:left="8"/>
        <w:spacing w:after="0" w:line="270" w:lineRule="auto"/>
        <w:rPr>
          <w:sz w:val="20"/>
          <w:szCs w:val="20"/>
          <w:color w:val="auto"/>
        </w:rPr>
      </w:pPr>
      <w:r>
        <w:rPr>
          <w:rFonts w:ascii="Times New Roman" w:cs="Times New Roman" w:eastAsia="Times New Roman" w:hAnsi="Times New Roman"/>
          <w:sz w:val="12"/>
          <w:szCs w:val="12"/>
          <w:color w:val="auto"/>
        </w:rPr>
        <w:t>The Company benefited from the revenues and income contribution of newly operational projects. In the past 12 months 106 MW and 1,435 MWh of new projects were connected to the grid and began selling electricity, including Atrisco in the U.S, various projects in Israel, Pupin in Serbia, and Tapolca in Hungary. The most notable increases in revenue from the sale of electricity originated at Atrisco, which added $11m, followed by Israeli projects with $7m, while Pupin contributed $4m. In total, new projects contributed $22m to revenues from the sale of electricity. Recognition of tax benefit income increased by $23m due to the initial commissioning of Atrisco. Revenues and income for the quarter were distributed between MENA (27%), Europe (47%), and the US (26%).</w:t>
      </w:r>
    </w:p>
    <w:p>
      <w:pPr>
        <w:spacing w:after="0" w:line="1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Net Income</w:t>
      </w:r>
    </w:p>
    <w:p>
      <w:pPr>
        <w:spacing w:after="0" w:line="163" w:lineRule="exact"/>
        <w:rPr>
          <w:sz w:val="20"/>
          <w:szCs w:val="20"/>
          <w:color w:val="auto"/>
        </w:rPr>
      </w:pPr>
    </w:p>
    <w:p>
      <w:pPr>
        <w:jc w:val="both"/>
        <w:ind w:left="8"/>
        <w:spacing w:after="0" w:line="295" w:lineRule="auto"/>
        <w:rPr>
          <w:sz w:val="20"/>
          <w:szCs w:val="20"/>
          <w:color w:val="auto"/>
        </w:rPr>
      </w:pPr>
      <w:r>
        <w:rPr>
          <w:rFonts w:ascii="Times New Roman" w:cs="Times New Roman" w:eastAsia="Times New Roman" w:hAnsi="Times New Roman"/>
          <w:sz w:val="12"/>
          <w:szCs w:val="12"/>
          <w:color w:val="auto"/>
        </w:rPr>
        <w:t>In the third quarter of 2025, the Company reported net income of $32m, representing a 33% increase from $24m in the same period last year. New projects contributed $12m to net income, while the refinancing of the Gecama wind project added an additional $10m to net income. This was offset by a $5m rise in operating expenses and a decline of $7m other income, all after tax.</w:t>
      </w:r>
    </w:p>
    <w:p>
      <w:pPr>
        <w:spacing w:after="0" w:line="9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Adjusted EBITDA</w:t>
      </w:r>
      <w:r>
        <w:rPr>
          <w:rFonts w:ascii="Calibri" w:cs="Calibri" w:eastAsia="Calibri" w:hAnsi="Calibri"/>
          <w:sz w:val="19"/>
          <w:szCs w:val="19"/>
          <w:b w:val="1"/>
          <w:bCs w:val="1"/>
          <w:color w:val="auto"/>
          <w:vertAlign w:val="superscript"/>
        </w:rPr>
        <w:t>9</w:t>
      </w:r>
    </w:p>
    <w:p>
      <w:pPr>
        <w:spacing w:after="0" w:line="78" w:lineRule="exact"/>
        <w:rPr>
          <w:sz w:val="20"/>
          <w:szCs w:val="20"/>
          <w:color w:val="auto"/>
        </w:rPr>
      </w:pPr>
    </w:p>
    <w:p>
      <w:pPr>
        <w:ind w:left="8" w:right="140"/>
        <w:spacing w:after="0" w:line="272" w:lineRule="auto"/>
        <w:rPr>
          <w:sz w:val="20"/>
          <w:szCs w:val="20"/>
          <w:color w:val="auto"/>
        </w:rPr>
      </w:pPr>
      <w:r>
        <w:rPr>
          <w:rFonts w:ascii="Times New Roman" w:cs="Times New Roman" w:eastAsia="Times New Roman" w:hAnsi="Times New Roman"/>
          <w:sz w:val="12"/>
          <w:szCs w:val="12"/>
          <w:color w:val="auto"/>
        </w:rPr>
        <w:t>The Company’s Adjusted EBITDA grew by 23% to $112m in the third quarter of 2025, compared to $91m for the same period in 2024. Growth in revenues and income contributed $52m. This was offset by an increase of $17m in COGS linked to the addition of new projects, and an increase of $7m in G&amp;A expenses. During the quarter, the Company recognized $3m in compensation linked to turbine failures at the Björnberget project in Sweden, compared the recognition of $10m in compensation at the same project during 3Q24.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109728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240" w:lineRule="exact"/>
        <w:rPr>
          <w:sz w:val="20"/>
          <w:szCs w:val="20"/>
          <w:color w:val="auto"/>
        </w:rPr>
      </w:pPr>
    </w:p>
    <w:p>
      <w:pPr>
        <w:ind w:left="8" w:right="260" w:hanging="8"/>
        <w:spacing w:after="0" w:line="200" w:lineRule="auto"/>
        <w:tabs>
          <w:tab w:leader="none" w:pos="88"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The Company is unable to provide a reconciliation of Adjusted EBITDA to Net Income on a forward-looking basis without unreasonable effort because items that impact this IFRS financial measure are not within the Company’s control and/or cannot be reasonably predicted. Please refer to the reconciliation table in Appendix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0" w:name="page11"/>
    <w:bookmarkEnd w:id="10"/>
    <w:p>
      <w:pPr>
        <w:ind w:left="8"/>
        <w:spacing w:after="0"/>
        <w:rPr>
          <w:sz w:val="20"/>
          <w:szCs w:val="20"/>
          <w:color w:val="auto"/>
        </w:rPr>
      </w:pPr>
      <w:r>
        <w:rPr>
          <w:rFonts w:ascii="Times New Roman" w:cs="Times New Roman" w:eastAsia="Times New Roman" w:hAnsi="Times New Roman"/>
          <w:sz w:val="12"/>
          <w:szCs w:val="12"/>
          <w:b w:val="1"/>
          <w:bCs w:val="1"/>
          <w:color w:val="auto"/>
        </w:rPr>
        <w:t>Conference Call Information</w:t>
      </w:r>
    </w:p>
    <w:p>
      <w:pPr>
        <w:spacing w:after="0" w:line="163" w:lineRule="exact"/>
        <w:rPr>
          <w:sz w:val="20"/>
          <w:szCs w:val="20"/>
          <w:color w:val="auto"/>
        </w:rPr>
      </w:pPr>
    </w:p>
    <w:p>
      <w:pPr>
        <w:ind w:left="8"/>
        <w:spacing w:after="0" w:line="295" w:lineRule="auto"/>
        <w:rPr>
          <w:sz w:val="20"/>
          <w:szCs w:val="20"/>
          <w:color w:val="auto"/>
        </w:rPr>
      </w:pPr>
      <w:r>
        <w:rPr>
          <w:rFonts w:ascii="Times New Roman" w:cs="Times New Roman" w:eastAsia="Times New Roman" w:hAnsi="Times New Roman"/>
          <w:sz w:val="12"/>
          <w:szCs w:val="12"/>
          <w:color w:val="auto"/>
        </w:rPr>
        <w:t>Enlight plans to hold its Third Quarter 2025 Conference Call and Webcasts on Wednesday, November 12, 2025 to review its financial results and business outlook in both English and Hebrew. Management will deliver prepared remarks followed by a question-and-answer session. Participants can join by dial-in or webcast:</w:t>
      </w:r>
    </w:p>
    <w:p>
      <w:pPr>
        <w:spacing w:after="0" w:line="107" w:lineRule="exact"/>
        <w:rPr>
          <w:sz w:val="20"/>
          <w:szCs w:val="20"/>
          <w:color w:val="auto"/>
        </w:rPr>
      </w:pPr>
    </w:p>
    <w:p>
      <w:pPr>
        <w:ind w:left="208" w:hanging="208"/>
        <w:spacing w:after="0"/>
        <w:tabs>
          <w:tab w:leader="none" w:pos="208"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English Conference Call at 8:00am ET / 3:00pm Israel:</w:t>
      </w:r>
    </w:p>
    <w:p>
      <w:pPr>
        <w:spacing w:after="0" w:line="163" w:lineRule="exact"/>
        <w:rPr>
          <w:rFonts w:ascii="Times New Roman" w:cs="Times New Roman" w:eastAsia="Times New Roman" w:hAnsi="Times New Roman"/>
          <w:sz w:val="12"/>
          <w:szCs w:val="12"/>
          <w:color w:val="auto"/>
        </w:rPr>
      </w:pPr>
    </w:p>
    <w:p>
      <w:pPr>
        <w:ind w:left="208" w:right="6840"/>
        <w:spacing w:after="0" w:line="51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Please pre-register to join by conference call using the following link: </w:t>
      </w:r>
      <w:r>
        <w:rPr>
          <w:rFonts w:ascii="Times New Roman" w:cs="Times New Roman" w:eastAsia="Times New Roman" w:hAnsi="Times New Roman"/>
          <w:sz w:val="12"/>
          <w:szCs w:val="12"/>
          <w:u w:val="single" w:color="auto"/>
          <w:color w:val="auto"/>
        </w:rPr>
        <w:t xml:space="preserve">https://register-conf.media-server.com/register/BIc02636ac75af4b9b962a688d1f9e8115 </w:t>
      </w:r>
      <w:r>
        <w:rPr>
          <w:rFonts w:ascii="Times New Roman" w:cs="Times New Roman" w:eastAsia="Times New Roman" w:hAnsi="Times New Roman"/>
          <w:sz w:val="12"/>
          <w:szCs w:val="12"/>
          <w:color w:val="auto"/>
        </w:rPr>
        <w:t>Upon registering, you will be emailed a dial-in number, direct passcode and unique PIN.</w:t>
      </w:r>
    </w:p>
    <w:p>
      <w:pPr>
        <w:ind w:left="208" w:right="8380" w:hanging="208"/>
        <w:spacing w:after="0" w:line="516" w:lineRule="auto"/>
        <w:tabs>
          <w:tab w:leader="none" w:pos="208"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English Webcast at 8:00am ET / 3:00pm Israel: </w:t>
      </w:r>
      <w:r>
        <w:rPr>
          <w:rFonts w:ascii="Times New Roman" w:cs="Times New Roman" w:eastAsia="Times New Roman" w:hAnsi="Times New Roman"/>
          <w:sz w:val="12"/>
          <w:szCs w:val="12"/>
          <w:color w:val="auto"/>
        </w:rPr>
        <w:t xml:space="preserve">Please register and join by webcast at the following link: </w:t>
      </w:r>
      <w:r>
        <w:rPr>
          <w:rFonts w:ascii="Times New Roman" w:cs="Times New Roman" w:eastAsia="Times New Roman" w:hAnsi="Times New Roman"/>
          <w:sz w:val="12"/>
          <w:szCs w:val="12"/>
          <w:u w:val="single" w:color="auto"/>
          <w:color w:val="auto"/>
        </w:rPr>
        <w:t>https://edge.media-server.com/mmc/p/ovpd9nik</w:t>
      </w:r>
    </w:p>
    <w:p>
      <w:pPr>
        <w:ind w:left="208" w:hanging="208"/>
        <w:spacing w:after="0"/>
        <w:tabs>
          <w:tab w:leader="none" w:pos="208"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Hebrew Webcast at 6:00am ET / 1:00pm Israel:</w:t>
      </w:r>
    </w:p>
    <w:p>
      <w:pPr>
        <w:spacing w:after="0" w:line="163"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Please join the webcast at the following link:</w:t>
      </w:r>
    </w:p>
    <w:p>
      <w:pPr>
        <w:spacing w:after="0" w:line="159"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u w:val="single" w:color="auto"/>
          <w:color w:val="auto"/>
        </w:rPr>
        <w:t>https://enlightenergy-co-il.zoom.us/webinar/register/WN__wcPWrTGTXyuXG6P-eO3dw</w:t>
      </w:r>
    </w:p>
    <w:p>
      <w:pPr>
        <w:spacing w:after="0" w:line="159" w:lineRule="exact"/>
        <w:rPr>
          <w:sz w:val="20"/>
          <w:szCs w:val="20"/>
          <w:color w:val="auto"/>
        </w:rPr>
      </w:pPr>
    </w:p>
    <w:p>
      <w:pPr>
        <w:ind w:left="8" w:right="20"/>
        <w:spacing w:after="0" w:line="295" w:lineRule="auto"/>
        <w:rPr>
          <w:sz w:val="20"/>
          <w:szCs w:val="20"/>
          <w:color w:val="auto"/>
        </w:rPr>
      </w:pPr>
      <w:r>
        <w:rPr>
          <w:rFonts w:ascii="Times New Roman" w:cs="Times New Roman" w:eastAsia="Times New Roman" w:hAnsi="Times New Roman"/>
          <w:sz w:val="12"/>
          <w:szCs w:val="12"/>
          <w:color w:val="auto"/>
        </w:rPr>
        <w:t xml:space="preserve">The press release with the financial results as well as the investor presentation materials will be accessible from the Company’s website prior to the conference call. An archived version of the webcast will be available on the Company’s investor relations website at </w:t>
      </w:r>
      <w:r>
        <w:rPr>
          <w:rFonts w:ascii="Times New Roman" w:cs="Times New Roman" w:eastAsia="Times New Roman" w:hAnsi="Times New Roman"/>
          <w:sz w:val="12"/>
          <w:szCs w:val="12"/>
          <w:u w:val="single" w:color="auto"/>
          <w:color w:val="auto"/>
        </w:rPr>
        <w:t>https://enlightenergy.co.il/info/investors/</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Supplemental Financial and Other Information</w:t>
      </w:r>
    </w:p>
    <w:p>
      <w:pPr>
        <w:spacing w:after="0" w:line="172" w:lineRule="exact"/>
        <w:rPr>
          <w:sz w:val="20"/>
          <w:szCs w:val="20"/>
          <w:color w:val="auto"/>
        </w:rPr>
      </w:pPr>
    </w:p>
    <w:p>
      <w:pPr>
        <w:ind w:left="8" w:right="80"/>
        <w:spacing w:after="0" w:line="272" w:lineRule="auto"/>
        <w:rPr>
          <w:sz w:val="20"/>
          <w:szCs w:val="20"/>
          <w:color w:val="auto"/>
        </w:rPr>
      </w:pPr>
      <w:r>
        <w:rPr>
          <w:rFonts w:ascii="Times New Roman" w:cs="Times New Roman" w:eastAsia="Times New Roman" w:hAnsi="Times New Roman"/>
          <w:sz w:val="12"/>
          <w:szCs w:val="12"/>
          <w:color w:val="auto"/>
        </w:rPr>
        <w:t xml:space="preserve">We intend to announce material information to the public through the Enlight investor relations website at </w:t>
      </w:r>
      <w:r>
        <w:rPr>
          <w:rFonts w:ascii="Times New Roman" w:cs="Times New Roman" w:eastAsia="Times New Roman" w:hAnsi="Times New Roman"/>
          <w:sz w:val="12"/>
          <w:szCs w:val="12"/>
          <w:u w:val="single" w:color="auto"/>
          <w:color w:val="auto"/>
        </w:rPr>
        <w:t>https://enlightenergy.co.il/info/investors</w:t>
      </w:r>
      <w:r>
        <w:rPr>
          <w:rFonts w:ascii="Times New Roman" w:cs="Times New Roman" w:eastAsia="Times New Roman" w:hAnsi="Times New Roman"/>
          <w:sz w:val="12"/>
          <w:szCs w:val="12"/>
          <w:color w:val="auto"/>
        </w:rPr>
        <w:t>, SEC filings, press releases, public conference calls, and public webcasts. We use these channels to communicate with our investors, customers, and the public about our company, our offerings, and other issues.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of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166370</wp:posOffset>
            </wp:positionV>
            <wp:extent cx="717804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b w:val="1"/>
          <w:bCs w:val="1"/>
          <w:color w:val="auto"/>
        </w:rPr>
        <w:t>Non-IFRS Financial Measures</w:t>
      </w:r>
    </w:p>
    <w:p>
      <w:pPr>
        <w:spacing w:after="0" w:line="163" w:lineRule="exact"/>
        <w:rPr>
          <w:sz w:val="20"/>
          <w:szCs w:val="20"/>
          <w:color w:val="auto"/>
        </w:rPr>
      </w:pPr>
    </w:p>
    <w:p>
      <w:pPr>
        <w:ind w:right="340"/>
        <w:spacing w:after="0" w:line="295" w:lineRule="auto"/>
        <w:rPr>
          <w:sz w:val="20"/>
          <w:szCs w:val="20"/>
          <w:color w:val="auto"/>
        </w:rPr>
      </w:pPr>
      <w:r>
        <w:rPr>
          <w:rFonts w:ascii="Times New Roman" w:cs="Times New Roman" w:eastAsia="Times New Roman" w:hAnsi="Times New Roman"/>
          <w:sz w:val="12"/>
          <w:szCs w:val="12"/>
          <w:color w:val="auto"/>
        </w:rPr>
        <w:t>This release presents Adjusted EBITDA, a financial metric, which is provided as a complement to the results provided in accordance with the International Financial Reporting Standards as issued by the International Accounting Standards Board (“IFRS”). A reconciliation of the non-IFRS financial information to the most directly comparable IFRS financial measure is provided in the accompanying tables found at the end of this release.</w:t>
      </w:r>
    </w:p>
    <w:p>
      <w:pPr>
        <w:spacing w:after="0" w:line="11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2"/>
          <w:szCs w:val="12"/>
          <w:color w:val="auto"/>
        </w:rPr>
        <w:t>We define Adjusted EBITDA as net income (loss) plus depreciation and amortization, share based compensation, finance expenses, taxes on income and share in losses of equity accounted investees and minus finance income and non-recurring portions of other income, net. For the purposes of calculating Adjusted EBITDA, compensation for inadequate performance of goods and services procured by the Company are included in other income, net. Compensation for inadequate performance of goods and services reflects the profits the Company would have generated under regular operating conditions and is therefore included in Adjusted EBITDA. With respect to gains (losses) from asset disposals, as part of Enlight’s strategy to accelerate growth and reduce the need for equity financing, the Company sells parts of or the entirety of selected renewable project assets from time to time, and therefore includes realized gains or losses from these asset disposals in Adjusted EBITDA. In the case of partial assets disposals, Adjusted EBITDA includes only the actual consideration less the book value of the assets sold. Our management believes Adjusted EBITDA is indicative of operational performance and ongoing profitability and uses Adjusted EBITDA to evaluate the operating performance and for planning and forecasting purposes.</w:t>
      </w:r>
    </w:p>
    <w:p>
      <w:pPr>
        <w:spacing w:after="0" w:line="12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2"/>
          <w:szCs w:val="12"/>
          <w:color w:val="auto"/>
        </w:rPr>
        <w:t>Non-IFRS financial measures have limitations as analytical tools and should not be considered in isolation or as substitutes for financial information presented under IFRS. There are a number of limitations related to the use of non-IFRS financial measures versus comparable financial measures determined under IFRS. For example, other companies in our industry may calculate the non-IFRS financial measures that we use differently or may use other measures to evaluate their performance. All of these limitations could reduce the usefulness of our non-IFRS financial measures as analytical tools. Investors are encouraged to review the related IFRS financial measure, Net Income, and the reconciliations of Adjusted EBITDA provided below to Net Income and to not rely on any single financial measure to evaluate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Special Note Regarding Forward-Looking Statements</w:t>
      </w:r>
    </w:p>
    <w:p>
      <w:pPr>
        <w:spacing w:after="0" w:line="16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All statements contained in this press release other than statements of historical fact, including, without limitation, statements regarding the Company’s business strategy and plans, capabilities of the Company’s project portfolio and achievement of operational objectives, market opportunity, utility demand and potential growth, discussions with commercial counterparties and financing sources, pricing trends for materials, progress of Company projects, including anticipated timing of related approvals and project completion and anticipated production delays, the Company’s future financial results, expected impact from various regulatory developments and anticipated trade sanctions, expectations regarding wind production, electricity prices and windfall taxes, and Revenues and Income and Adjusted EBITDA guidance, the expected timing of completion of our ongoing projects, and the Company’s anticipated cash requirements and financing plans , are forward-looking statements. The words “may,” “might,” “will,” “could,” “would,” “should,” “expect,” “plan,” “anticipate,” “intend,” “target,” “seek,” “believe,” “estimate,” “predict,” “potential,” “continue,” “contemplate,” “possible,” “forecasts,” “aims” or the negative of these terms and similar expressions are intended to identify forward-looking statements, though not all forward-looking statements use these words or expressions.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170180</wp:posOffset>
            </wp:positionV>
            <wp:extent cx="717804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ind w:right="20"/>
        <w:spacing w:after="0" w:line="261" w:lineRule="auto"/>
        <w:rPr>
          <w:sz w:val="20"/>
          <w:szCs w:val="20"/>
          <w:color w:val="auto"/>
        </w:rPr>
      </w:pPr>
      <w:r>
        <w:rPr>
          <w:rFonts w:ascii="Times New Roman" w:cs="Times New Roman" w:eastAsia="Times New Roman" w:hAnsi="Times New Roman"/>
          <w:sz w:val="12"/>
          <w:szCs w:val="12"/>
          <w:color w:val="auto"/>
        </w:rPr>
        <w:t>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ability to site suitable land for, and otherwise source, renewable energy projects and to successfully develop and convert them into Operational Projects; availability of, and access to, interconnection facilities and transmission systems; our ability to obtain and maintain governmental and other regulatory approvals and permits, including environmental approvals and permits; construction delays, operational delays and supply chain disruptions leading to increased cost of materials required for the construction of our projects, as well as cost overruns and delays related to disputes with contractors; disruptions in trade caused by political, social or economic instability in regions where our components and materials are made; our suppliers’ ability and willingness to perform both existing and future obligations; competition from traditional and renewable energy companies in developing renewable energy projects; potential slowed demand for renewable energy projects and our ability to enter into new offtake contracts on acceptable terms and prices as current offtake contracts expire; offtakers’ ability to terminate contracts or seek other remedies resulting from failure of our projects to meet development, operational or performance benchmarks; exposure to market prices in some of our offtake contracts; various technical and operational challenges leading to unplanned outages, reduced output, interconnection or termination issues; the dependence of our production and revenue on suitable meteorological and environmental conditions, and our ability to accurately predict such conditions; our ability to enforce warranties provided by our counterparties in the event that our projects do not perform as expected; government curtailment, energy price caps and other government actions that restrict or reduce the profitability of renewable energy production; electricity price volatility, unusual weather conditions (including the effects of climate change, could adversely affect wind and solar conditions), catastrophic weather-related or other damage to facilities, unscheduled generation outages, maintenance or repairs, unanticipated changes to availability due to higher demand, shortages, transportation problems or other developments, environmental incidents, or electric transmission system constraints and the possibility that we may not have adequate insurance to cover losses as a result of such hazards; our dependence on certain operational projects for a substantial portion of our cash flows; our ability to continue to grow our portfolio of projects through successful acquisitions; changes and advances in technology that impair or eliminate the competitive advantage of our projects or upsets the expectations underlying investments in our technologies; our ability to effectively anticipate and manage cost inflation, interest rate risk, currency exchange fluctuations and other macroeconomic conditions that impact our business; our ability to retain and attract key personnel; our ability to manage legal and regulatory compliance and litigation risk across our global corporate structure; our ability to protect our business from, and manage the impact of, cyber-attacks, disruptions and security incidents, as well as acts of terrorism or war; changes to existing renewable energy industry policies and regulations that present technical, regulatory and economic barriers to renewable energy projects; the reduction, elimination or expiration of government incentives or benefits for, or regulations mandating the use of, renewable energy; our ability to effectively manage the global expansion of the scale of our business operations; our ability to perform to expectations in our new line of business involving the construction of PV systems for municipalities in Israel; our ability to effectively manage our supply chain and comply with applicable regulations with respect to international trade relations, the impact of tariffs on the cost of construction and our ability to mitigate such impact, sanctions, export controls and anti-bribery and anti-corruption laws; our ability to effectively comply with Environmental Health and Safety and other laws and regulations and receive and maintain all necessary licenses, permits and authorizations; our performance of various obligations under the terms of our indebtedness (and the indebtedness of our subsidiaries that we guarantee) and our ability to continue to secure project financing on attractive terms for our projects; limitations on our management rights and operational flexibility due to our use of tax equity arrangements; potential claims and disagreements with partners, investors and other counterparties that could reduce our right to cash flows generated by our projects; our ability to comply with increasingly complex tax laws of various jurisdictions in which we currently operate as well as the tax laws in jurisdictions in which we intend to operate in the future; the unknown effect of the dual listing of our ordinary shares on the price of our ordinary shares; various risks related to our incorporation and location in Israel, including the ongoing war in Israel, where our headquarters and some of our wind energy and solar energy projects are located; the costs and requirements of being a public company, including the diversion of management’s attention with respect to such requirements; certain provisions in our Articles of Association and certain applicable regulations that may delay or prevent a change of control; and other risk factors set forth in the section titled “Risk factors” in our Annual Report on Form 20-F for the fiscal year ended December 31, 2024, filed with the Securities and Exchange Commission (the “SEC”), as may be updated in our other documents filed with or furnished to the SEC.</w:t>
      </w:r>
    </w:p>
    <w:p>
      <w:pPr>
        <w:spacing w:after="0" w:line="14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2"/>
          <w:szCs w:val="12"/>
          <w:color w:val="auto"/>
        </w:rPr>
        <w:t>These statements reflect management’s current expectations regarding future events and operating performance and speak only as of the date of this press release.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167005</wp:posOffset>
            </wp:positionV>
            <wp:extent cx="717804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b w:val="1"/>
          <w:bCs w:val="1"/>
          <w:color w:val="auto"/>
        </w:rPr>
        <w:t>About Enlight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Founded in 2008, Enlight develops, finances, constructs, owns, and operates utility-scale renewable energy projects. Enlight operates across the three largest renewable segments today: solar, wind and energy storage. A global platform,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Enlight operates in the United States, Israel and 11 European countries. Enlight has been traded on the Tel Aviv Stock Exchange since 2010 (TASE: ENLT) and completed its U.S. IPO (Nasdaq: ENLT) in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Company Contacts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Limor Gruber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Director IR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investors@enlightenergy.co.il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Yonah Weisz</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Director IR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investors@enlightenergy.co.il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Erica Mannion or Mike Funari</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Sapphire Investor Relations, LLC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+1 617 542 6180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investors@enlightenergy.co.il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180975</wp:posOffset>
            </wp:positionV>
            <wp:extent cx="717804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4" w:name="page15"/>
    <w:bookmarkEnd w:id="14"/>
    <w:p>
      <w:pPr>
        <w:ind w:left="8"/>
        <w:spacing w:after="0"/>
        <w:rPr>
          <w:sz w:val="20"/>
          <w:szCs w:val="20"/>
          <w:color w:val="auto"/>
        </w:rPr>
      </w:pPr>
      <w:r>
        <w:rPr>
          <w:rFonts w:ascii="Times New Roman" w:cs="Times New Roman" w:eastAsia="Times New Roman" w:hAnsi="Times New Roman"/>
          <w:sz w:val="12"/>
          <w:szCs w:val="12"/>
          <w:b w:val="1"/>
          <w:bCs w:val="1"/>
          <w:color w:val="auto"/>
        </w:rPr>
        <w:t>Appendix 1 – Financial information</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17804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74"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6000" w:type="dxa"/>
            <w:vAlign w:val="bottom"/>
          </w:tcPr>
          <w:p>
            <w:pPr>
              <w:spacing w:after="0"/>
              <w:rPr>
                <w:sz w:val="13"/>
                <w:szCs w:val="13"/>
                <w:color w:val="auto"/>
              </w:rPr>
            </w:pPr>
          </w:p>
        </w:tc>
        <w:tc>
          <w:tcPr>
            <w:tcW w:w="2720" w:type="dxa"/>
            <w:vAlign w:val="bottom"/>
            <w:gridSpan w:val="5"/>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rPr>
              <w:t>For the nine months ended</w:t>
            </w:r>
          </w:p>
        </w:tc>
        <w:tc>
          <w:tcPr>
            <w:tcW w:w="2580" w:type="dxa"/>
            <w:vAlign w:val="bottom"/>
            <w:gridSpan w:val="4"/>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rPr>
              <w:t>For the three months</w:t>
            </w:r>
          </w:p>
        </w:tc>
      </w:tr>
      <w:tr>
        <w:trPr>
          <w:trHeight w:val="159"/>
        </w:trPr>
        <w:tc>
          <w:tcPr>
            <w:tcW w:w="6000" w:type="dxa"/>
            <w:vAlign w:val="bottom"/>
          </w:tcPr>
          <w:p>
            <w:pPr>
              <w:spacing w:after="0"/>
              <w:rPr>
                <w:sz w:val="13"/>
                <w:szCs w:val="13"/>
                <w:color w:val="auto"/>
              </w:rPr>
            </w:pPr>
          </w:p>
        </w:tc>
        <w:tc>
          <w:tcPr>
            <w:tcW w:w="1640" w:type="dxa"/>
            <w:vAlign w:val="bottom"/>
            <w:gridSpan w:val="3"/>
          </w:tcPr>
          <w:p>
            <w:pPr>
              <w:ind w:left="90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80" w:type="dxa"/>
            <w:vAlign w:val="bottom"/>
            <w:gridSpan w:val="4"/>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ended September 30</w:t>
            </w:r>
          </w:p>
        </w:tc>
      </w:tr>
      <w:tr>
        <w:trPr>
          <w:trHeight w:val="151"/>
        </w:trPr>
        <w:tc>
          <w:tcPr>
            <w:tcW w:w="600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22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22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120" w:type="dxa"/>
            <w:vAlign w:val="bottom"/>
          </w:tcPr>
          <w:p>
            <w:pPr>
              <w:spacing w:after="0"/>
              <w:rPr>
                <w:sz w:val="13"/>
                <w:szCs w:val="13"/>
                <w:color w:val="auto"/>
              </w:rPr>
            </w:pPr>
          </w:p>
        </w:tc>
      </w:tr>
      <w:tr>
        <w:trPr>
          <w:trHeight w:val="136"/>
        </w:trPr>
        <w:tc>
          <w:tcPr>
            <w:tcW w:w="6000" w:type="dxa"/>
            <w:vAlign w:val="bottom"/>
          </w:tcPr>
          <w:p>
            <w:pPr>
              <w:spacing w:after="0"/>
              <w:rPr>
                <w:sz w:val="11"/>
                <w:szCs w:val="11"/>
                <w:color w:val="auto"/>
              </w:rPr>
            </w:pPr>
          </w:p>
        </w:tc>
        <w:tc>
          <w:tcPr>
            <w:tcW w:w="116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rPr>
              <w:t>USD in</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center"/>
              <w:ind w:right="200"/>
              <w:spacing w:after="0" w:line="136" w:lineRule="exact"/>
              <w:rPr>
                <w:sz w:val="20"/>
                <w:szCs w:val="20"/>
                <w:color w:val="auto"/>
              </w:rPr>
            </w:pPr>
            <w:r>
              <w:rPr>
                <w:rFonts w:ascii="Times New Roman" w:cs="Times New Roman" w:eastAsia="Times New Roman" w:hAnsi="Times New Roman"/>
                <w:sz w:val="12"/>
                <w:szCs w:val="12"/>
                <w:b w:val="1"/>
                <w:bCs w:val="1"/>
                <w:color w:val="auto"/>
                <w:w w:val="97"/>
              </w:rPr>
              <w:t>USD in</w:t>
            </w:r>
          </w:p>
        </w:tc>
        <w:tc>
          <w:tcPr>
            <w:tcW w:w="220" w:type="dxa"/>
            <w:vAlign w:val="bottom"/>
          </w:tcPr>
          <w:p>
            <w:pPr>
              <w:spacing w:after="0"/>
              <w:rPr>
                <w:sz w:val="11"/>
                <w:szCs w:val="11"/>
                <w:color w:val="auto"/>
              </w:rPr>
            </w:pPr>
          </w:p>
        </w:tc>
        <w:tc>
          <w:tcPr>
            <w:tcW w:w="11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w w:val="97"/>
              </w:rPr>
              <w:t>USD in</w:t>
            </w:r>
          </w:p>
        </w:tc>
        <w:tc>
          <w:tcPr>
            <w:tcW w:w="220" w:type="dxa"/>
            <w:vAlign w:val="bottom"/>
          </w:tcPr>
          <w:p>
            <w:pPr>
              <w:spacing w:after="0"/>
              <w:rPr>
                <w:sz w:val="11"/>
                <w:szCs w:val="11"/>
                <w:color w:val="auto"/>
              </w:rPr>
            </w:pPr>
          </w:p>
        </w:tc>
        <w:tc>
          <w:tcPr>
            <w:tcW w:w="11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rPr>
              <w:t>USD in</w:t>
            </w:r>
          </w:p>
        </w:tc>
        <w:tc>
          <w:tcPr>
            <w:tcW w:w="120" w:type="dxa"/>
            <w:vAlign w:val="bottom"/>
          </w:tcPr>
          <w:p>
            <w:pPr>
              <w:spacing w:after="0"/>
              <w:rPr>
                <w:sz w:val="11"/>
                <w:szCs w:val="11"/>
                <w:color w:val="auto"/>
              </w:rPr>
            </w:pPr>
          </w:p>
        </w:tc>
      </w:tr>
      <w:tr>
        <w:trPr>
          <w:trHeight w:val="166"/>
        </w:trPr>
        <w:tc>
          <w:tcPr>
            <w:tcW w:w="6000" w:type="dxa"/>
            <w:vAlign w:val="bottom"/>
          </w:tcPr>
          <w:p>
            <w:pPr>
              <w:spacing w:after="0"/>
              <w:rPr>
                <w:sz w:val="14"/>
                <w:szCs w:val="14"/>
                <w:color w:val="auto"/>
              </w:rPr>
            </w:pPr>
          </w:p>
        </w:tc>
        <w:tc>
          <w:tcPr>
            <w:tcW w:w="1640" w:type="dxa"/>
            <w:vAlign w:val="bottom"/>
            <w:gridSpan w:val="3"/>
          </w:tcPr>
          <w:p>
            <w:pPr>
              <w:jc w:val="center"/>
              <w:ind w:right="52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108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thousands</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Revenues</w:t>
            </w: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364,411</w:t>
            </w:r>
          </w:p>
        </w:tc>
        <w:tc>
          <w:tcPr>
            <w:tcW w:w="22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284,590</w:t>
            </w:r>
          </w:p>
        </w:tc>
        <w:tc>
          <w:tcPr>
            <w:tcW w:w="22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138,536</w:t>
            </w:r>
          </w:p>
        </w:tc>
        <w:tc>
          <w:tcPr>
            <w:tcW w:w="22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109,495</w:t>
            </w:r>
          </w:p>
        </w:tc>
        <w:tc>
          <w:tcPr>
            <w:tcW w:w="120" w:type="dxa"/>
            <w:vAlign w:val="bottom"/>
            <w:shd w:val="clear" w:color="auto" w:fill="CCEEFF"/>
          </w:tcPr>
          <w:p>
            <w:pPr>
              <w:spacing w:after="0"/>
              <w:rPr>
                <w:sz w:val="13"/>
                <w:szCs w:val="13"/>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Tax benefits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65,493</w:t>
            </w:r>
          </w:p>
        </w:tc>
        <w:tc>
          <w:tcPr>
            <w:tcW w:w="2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10,102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26,521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3,576</w:t>
            </w:r>
          </w:p>
        </w:tc>
      </w:tr>
      <w:tr>
        <w:trPr>
          <w:trHeight w:val="151"/>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revenues and income</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429,904</w:t>
            </w:r>
          </w:p>
        </w:tc>
        <w:tc>
          <w:tcPr>
            <w:tcW w:w="2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294,692</w:t>
            </w: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165,057</w:t>
            </w: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113,071</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42"/>
        </w:trPr>
        <w:tc>
          <w:tcPr>
            <w:tcW w:w="6000" w:type="dxa"/>
            <w:vAlign w:val="bottom"/>
          </w:tcPr>
          <w:p>
            <w:pPr>
              <w:spacing w:after="0"/>
              <w:rPr>
                <w:sz w:val="12"/>
                <w:szCs w:val="12"/>
                <w:color w:val="auto"/>
              </w:rPr>
            </w:pPr>
          </w:p>
        </w:tc>
        <w:tc>
          <w:tcPr>
            <w:tcW w:w="138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1340" w:type="dxa"/>
            <w:vAlign w:val="bottom"/>
            <w:gridSpan w:val="2"/>
          </w:tcPr>
          <w:p>
            <w:pPr>
              <w:spacing w:after="0"/>
              <w:rPr>
                <w:sz w:val="12"/>
                <w:szCs w:val="12"/>
                <w:color w:val="auto"/>
              </w:rPr>
            </w:pPr>
          </w:p>
        </w:tc>
        <w:tc>
          <w:tcPr>
            <w:tcW w:w="1240" w:type="dxa"/>
            <w:vAlign w:val="bottom"/>
            <w:gridSpan w:val="2"/>
          </w:tcPr>
          <w:p>
            <w:pPr>
              <w:spacing w:after="0"/>
              <w:rPr>
                <w:sz w:val="12"/>
                <w:szCs w:val="12"/>
                <w:color w:val="auto"/>
              </w:rPr>
            </w:pP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sales (**)</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(95,839)</w:t>
            </w: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(54,576)</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(39,355)</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(22,155)</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(110,159)</w:t>
            </w:r>
          </w:p>
        </w:tc>
        <w:tc>
          <w:tcPr>
            <w:tcW w:w="26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(77,977)</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(39,142)</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(27,091)</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(38,968)</w:t>
            </w: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(26,154)</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(15,632)</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(8,012)</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Development expenses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(8,373)</w:t>
            </w:r>
          </w:p>
        </w:tc>
        <w:tc>
          <w:tcPr>
            <w:tcW w:w="26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(7,892)</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(2,904)</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(3,350)</w:t>
            </w:r>
          </w:p>
        </w:tc>
      </w:tr>
      <w:tr>
        <w:trPr>
          <w:trHeight w:val="151"/>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(253,339)</w:t>
            </w:r>
          </w:p>
        </w:tc>
        <w:tc>
          <w:tcPr>
            <w:tcW w:w="2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(166,599)</w:t>
            </w: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(97,033)</w:t>
            </w: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(60,608)</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51"/>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Gains (losses) from projects disposals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96,431</w:t>
            </w:r>
          </w:p>
        </w:tc>
        <w:tc>
          <w:tcPr>
            <w:tcW w:w="2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611</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(1,397)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5,785</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14,857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3,411</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13,329</w:t>
            </w:r>
          </w:p>
        </w:tc>
      </w:tr>
      <w:tr>
        <w:trPr>
          <w:trHeight w:val="20"/>
        </w:trPr>
        <w:tc>
          <w:tcPr>
            <w:tcW w:w="600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1"/>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profit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278,781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143,561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70,038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65,792</w:t>
            </w:r>
          </w:p>
        </w:tc>
      </w:tr>
      <w:tr>
        <w:trPr>
          <w:trHeight w:val="142"/>
        </w:trPr>
        <w:tc>
          <w:tcPr>
            <w:tcW w:w="600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Finance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36,292</w:t>
            </w:r>
          </w:p>
        </w:tc>
        <w:tc>
          <w:tcPr>
            <w:tcW w:w="2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18,299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28,126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3,234</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expenses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(136,457)</w:t>
            </w: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(85,836)</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(54,171)</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(36,525)</w:t>
            </w:r>
          </w:p>
        </w:tc>
      </w:tr>
      <w:tr>
        <w:trPr>
          <w:trHeight w:val="20"/>
        </w:trPr>
        <w:tc>
          <w:tcPr>
            <w:tcW w:w="600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1"/>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Total finance expenses, net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(100,165)</w:t>
            </w:r>
          </w:p>
        </w:tc>
        <w:tc>
          <w:tcPr>
            <w:tcW w:w="26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(67,537)</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(26,045)</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(33,291)</w:t>
            </w:r>
          </w:p>
        </w:tc>
      </w:tr>
      <w:tr>
        <w:trPr>
          <w:trHeight w:val="142"/>
        </w:trPr>
        <w:tc>
          <w:tcPr>
            <w:tcW w:w="600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Profit before tax and equity loss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178,616</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76,024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43,993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32,501</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of loss of equity accounted investees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(3,904)</w:t>
            </w: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(1,737)</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(2,259)</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(1,288)</w:t>
            </w:r>
          </w:p>
        </w:tc>
      </w:tr>
      <w:tr>
        <w:trPr>
          <w:trHeight w:val="20"/>
        </w:trPr>
        <w:tc>
          <w:tcPr>
            <w:tcW w:w="600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1"/>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Profit before income taxes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174,712</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74,287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41,734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31,213</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Taxes on income</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(35,083)</w:t>
            </w: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(16,154)</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(9,477)</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(7,024)</w:t>
            </w:r>
          </w:p>
        </w:tc>
      </w:tr>
      <w:tr>
        <w:trPr>
          <w:trHeight w:val="20"/>
        </w:trPr>
        <w:tc>
          <w:tcPr>
            <w:tcW w:w="600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1"/>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Profit for the period</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139,629</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58,133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32,257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24,189</w:t>
            </w:r>
          </w:p>
        </w:tc>
      </w:tr>
      <w:tr>
        <w:trPr>
          <w:trHeight w:val="142"/>
        </w:trPr>
        <w:tc>
          <w:tcPr>
            <w:tcW w:w="600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Profit for the period attributed to:</w:t>
            </w: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Owners of the Company</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117,841</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39,053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22,026</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14,247</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Non-controlling interests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21,788</w:t>
            </w:r>
          </w:p>
        </w:tc>
        <w:tc>
          <w:tcPr>
            <w:tcW w:w="2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19,080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10,231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9,942</w:t>
            </w:r>
          </w:p>
        </w:tc>
      </w:tr>
      <w:tr>
        <w:trPr>
          <w:trHeight w:val="191"/>
        </w:trPr>
        <w:tc>
          <w:tcPr>
            <w:tcW w:w="6000" w:type="dxa"/>
            <w:vAlign w:val="bottom"/>
            <w:shd w:val="clear" w:color="auto" w:fill="CCEEFF"/>
          </w:tcPr>
          <w:p>
            <w:pPr>
              <w:spacing w:after="0"/>
              <w:rPr>
                <w:sz w:val="16"/>
                <w:szCs w:val="16"/>
                <w:color w:val="auto"/>
              </w:rPr>
            </w:pP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139,629</w:t>
            </w:r>
          </w:p>
        </w:tc>
        <w:tc>
          <w:tcPr>
            <w:tcW w:w="2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58,133</w:t>
            </w: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32,257</w:t>
            </w: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24,189</w:t>
            </w:r>
          </w:p>
        </w:tc>
        <w:tc>
          <w:tcPr>
            <w:tcW w:w="120" w:type="dxa"/>
            <w:vAlign w:val="bottom"/>
            <w:shd w:val="clear" w:color="auto" w:fill="CCEEFF"/>
          </w:tcPr>
          <w:p>
            <w:pPr>
              <w:spacing w:after="0"/>
              <w:rPr>
                <w:sz w:val="16"/>
                <w:szCs w:val="16"/>
                <w:color w:val="auto"/>
              </w:rPr>
            </w:pPr>
          </w:p>
        </w:tc>
      </w:tr>
      <w:tr>
        <w:trPr>
          <w:trHeight w:val="114"/>
        </w:trPr>
        <w:tc>
          <w:tcPr>
            <w:tcW w:w="6000" w:type="dxa"/>
            <w:vAlign w:val="bottom"/>
            <w:tcBorders>
              <w:top w:val="single" w:sz="8" w:color="CCEEFF"/>
            </w:tcBorders>
          </w:tcPr>
          <w:p>
            <w:pPr>
              <w:spacing w:after="0" w:line="114" w:lineRule="exact"/>
              <w:rPr>
                <w:sz w:val="20"/>
                <w:szCs w:val="20"/>
                <w:color w:val="auto"/>
              </w:rPr>
            </w:pPr>
            <w:r>
              <w:rPr>
                <w:rFonts w:ascii="Times New Roman" w:cs="Times New Roman" w:eastAsia="Times New Roman" w:hAnsi="Times New Roman"/>
                <w:sz w:val="12"/>
                <w:szCs w:val="12"/>
                <w:b w:val="1"/>
                <w:bCs w:val="1"/>
                <w:color w:val="auto"/>
              </w:rPr>
              <w:t>Earnings per ordinary share (in USD) with a par</w:t>
            </w:r>
          </w:p>
        </w:tc>
        <w:tc>
          <w:tcPr>
            <w:tcW w:w="116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r>
      <w:tr>
        <w:trPr>
          <w:trHeight w:val="153"/>
        </w:trPr>
        <w:tc>
          <w:tcPr>
            <w:tcW w:w="60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value of NIS 0.1, attributable to owners of the</w:t>
            </w: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3"/>
        </w:trPr>
        <w:tc>
          <w:tcPr>
            <w:tcW w:w="60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parent Company:</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8"/>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earnings per share</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0.97</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0.33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0.18</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0.12</w:t>
            </w:r>
          </w:p>
        </w:tc>
      </w:tr>
      <w:tr>
        <w:trPr>
          <w:trHeight w:val="20"/>
        </w:trPr>
        <w:tc>
          <w:tcPr>
            <w:tcW w:w="60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29"/>
        </w:trPr>
        <w:tc>
          <w:tcPr>
            <w:tcW w:w="60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Diluted earnings per share</w:t>
            </w: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0.91</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2"/>
                <w:szCs w:val="12"/>
                <w:color w:val="auto"/>
              </w:rPr>
              <w:t>0.32</w:t>
            </w:r>
          </w:p>
        </w:tc>
        <w:tc>
          <w:tcPr>
            <w:tcW w:w="134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2"/>
                <w:szCs w:val="12"/>
                <w:b w:val="1"/>
                <w:bCs w:val="1"/>
                <w:color w:val="auto"/>
              </w:rPr>
              <w:t>0.16</w:t>
            </w:r>
          </w:p>
        </w:tc>
        <w:tc>
          <w:tcPr>
            <w:tcW w:w="124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0.12</w:t>
            </w:r>
          </w:p>
        </w:tc>
      </w:tr>
      <w:tr>
        <w:trPr>
          <w:trHeight w:val="20"/>
        </w:trPr>
        <w:tc>
          <w:tcPr>
            <w:tcW w:w="60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60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Weighted average of share capital used in the</w:t>
            </w:r>
          </w:p>
        </w:tc>
        <w:tc>
          <w:tcPr>
            <w:tcW w:w="116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calculation of earnings:</w:t>
            </w:r>
          </w:p>
        </w:tc>
        <w:tc>
          <w:tcPr>
            <w:tcW w:w="116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Basic per share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121,114,109</w:t>
            </w:r>
          </w:p>
        </w:tc>
        <w:tc>
          <w:tcPr>
            <w:tcW w:w="2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118,225,436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125,060,939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118,465,216</w:t>
            </w:r>
          </w:p>
        </w:tc>
      </w:tr>
      <w:tr>
        <w:trPr>
          <w:trHeight w:val="20"/>
        </w:trPr>
        <w:tc>
          <w:tcPr>
            <w:tcW w:w="60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600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Diluted per share</w:t>
            </w:r>
          </w:p>
        </w:tc>
        <w:tc>
          <w:tcPr>
            <w:tcW w:w="1160" w:type="dxa"/>
            <w:vAlign w:val="bottom"/>
            <w:tcBorders>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129,253,408</w:t>
            </w:r>
          </w:p>
        </w:tc>
        <w:tc>
          <w:tcPr>
            <w:tcW w:w="2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123,221,119</w:t>
            </w:r>
          </w:p>
        </w:tc>
        <w:tc>
          <w:tcPr>
            <w:tcW w:w="2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134,366,872</w:t>
            </w:r>
          </w:p>
        </w:tc>
        <w:tc>
          <w:tcPr>
            <w:tcW w:w="2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123,305,879</w:t>
            </w:r>
          </w:p>
        </w:tc>
        <w:tc>
          <w:tcPr>
            <w:tcW w:w="120" w:type="dxa"/>
            <w:vAlign w:val="bottom"/>
            <w:tcBorders>
              <w:bottom w:val="single" w:sz="8" w:color="CCEEFF"/>
            </w:tcBorders>
            <w:shd w:val="clear" w:color="auto" w:fill="CCEEFF"/>
          </w:tcPr>
          <w:p>
            <w:pPr>
              <w:spacing w:after="0"/>
              <w:rPr>
                <w:sz w:val="14"/>
                <w:szCs w:val="14"/>
                <w:color w:val="auto"/>
              </w:rPr>
            </w:pPr>
          </w:p>
        </w:tc>
      </w:tr>
    </w:tbl>
    <w:p>
      <w:pPr>
        <w:spacing w:after="0" w:line="133" w:lineRule="exact"/>
        <w:rPr>
          <w:sz w:val="20"/>
          <w:szCs w:val="20"/>
          <w:color w:val="auto"/>
        </w:rPr>
      </w:pPr>
    </w:p>
    <w:p>
      <w:pPr>
        <w:ind w:left="8" w:right="3240" w:hanging="8"/>
        <w:spacing w:after="0" w:line="295" w:lineRule="auto"/>
        <w:tabs>
          <w:tab w:leader="none" w:pos="178"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Consolidated Statements of Income have been adjusted to present comparable information for the previous period. For additional details please see Appendix 9. (**) Excluding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717804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b w:val="1"/>
          <w:bCs w:val="1"/>
          <w:color w:val="auto"/>
        </w:rPr>
        <w:t>Consolidated Statements of Financial Position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17804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700" w:type="dxa"/>
            <w:vAlign w:val="bottom"/>
          </w:tcPr>
          <w:p>
            <w:pPr>
              <w:spacing w:after="0"/>
              <w:rPr>
                <w:sz w:val="13"/>
                <w:szCs w:val="13"/>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September 30</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December 31</w:t>
            </w:r>
          </w:p>
        </w:tc>
      </w:tr>
      <w:tr>
        <w:trPr>
          <w:trHeight w:val="166"/>
        </w:trPr>
        <w:tc>
          <w:tcPr>
            <w:tcW w:w="87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2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120" w:type="dxa"/>
            <w:vAlign w:val="bottom"/>
          </w:tcPr>
          <w:p>
            <w:pPr>
              <w:spacing w:after="0"/>
              <w:rPr>
                <w:sz w:val="14"/>
                <w:szCs w:val="14"/>
                <w:color w:val="auto"/>
              </w:rPr>
            </w:pPr>
          </w:p>
        </w:tc>
      </w:tr>
      <w:tr>
        <w:trPr>
          <w:trHeight w:val="138"/>
        </w:trPr>
        <w:tc>
          <w:tcPr>
            <w:tcW w:w="870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USD in</w:t>
            </w:r>
          </w:p>
        </w:tc>
        <w:tc>
          <w:tcPr>
            <w:tcW w:w="20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USD in</w:t>
            </w:r>
          </w:p>
        </w:tc>
        <w:tc>
          <w:tcPr>
            <w:tcW w:w="120" w:type="dxa"/>
            <w:vAlign w:val="bottom"/>
          </w:tcPr>
          <w:p>
            <w:pPr>
              <w:spacing w:after="0"/>
              <w:rPr>
                <w:sz w:val="12"/>
                <w:szCs w:val="12"/>
                <w:color w:val="auto"/>
              </w:rPr>
            </w:pPr>
          </w:p>
        </w:tc>
      </w:tr>
      <w:tr>
        <w:trPr>
          <w:trHeight w:val="166"/>
        </w:trPr>
        <w:tc>
          <w:tcPr>
            <w:tcW w:w="87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Thousands</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160" w:type="dxa"/>
            <w:vAlign w:val="bottom"/>
            <w:tcBorders>
              <w:top w:val="single" w:sz="8" w:color="auto"/>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44"/>
        </w:trPr>
        <w:tc>
          <w:tcPr>
            <w:tcW w:w="8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11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679,827</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387,427</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Deposits in banks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1,409</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Restricted cash</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301,863</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87,539</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Trade receivables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86,627</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50,692</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Other receivables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72,932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99,651</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financial assets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546</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975</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Assets of disposal groups classified as held for sale</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81,661</w:t>
            </w:r>
          </w:p>
        </w:tc>
      </w:tr>
      <w:tr>
        <w:trPr>
          <w:trHeight w:val="151"/>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1,143,204</w:t>
            </w:r>
          </w:p>
        </w:tc>
        <w:tc>
          <w:tcPr>
            <w:tcW w:w="20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707,945</w:t>
            </w:r>
          </w:p>
        </w:tc>
        <w:tc>
          <w:tcPr>
            <w:tcW w:w="120" w:type="dxa"/>
            <w:vAlign w:val="bottom"/>
            <w:shd w:val="clear" w:color="auto" w:fill="CCEEFF"/>
          </w:tcPr>
          <w:p>
            <w:pPr>
              <w:spacing w:after="0"/>
              <w:rPr>
                <w:sz w:val="13"/>
                <w:szCs w:val="13"/>
                <w:color w:val="auto"/>
              </w:rPr>
            </w:pPr>
          </w:p>
        </w:tc>
      </w:tr>
      <w:tr>
        <w:trPr>
          <w:trHeight w:val="142"/>
        </w:trPr>
        <w:tc>
          <w:tcPr>
            <w:tcW w:w="8700" w:type="dxa"/>
            <w:vAlign w:val="bottom"/>
            <w:tcBorders>
              <w:top w:val="single" w:sz="8" w:color="CCEEFF"/>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Non-current assets</w:t>
            </w:r>
          </w:p>
        </w:tc>
        <w:tc>
          <w:tcPr>
            <w:tcW w:w="11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Restricted cash</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55,074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60,802</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long-term receivables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64,184</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61,045</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Deferred costs in respect of projects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481,688</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357,358</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borrowing costs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1,262</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276</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Loans to investee entities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70,320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18,112</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Investments in equity accounted investees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57,415</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Fixed assets, net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5,243,053</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3,699,192</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302,829</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291,442</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Deferred taxes assets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6,301</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10,744</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Right-of-use asset, net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222,420</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210,941</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Financial assets at fair value through profit or loss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83,644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69,216</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financial assets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44,112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59,812</w:t>
            </w:r>
          </w:p>
        </w:tc>
      </w:tr>
      <w:tr>
        <w:trPr>
          <w:trHeight w:val="20"/>
        </w:trPr>
        <w:tc>
          <w:tcPr>
            <w:tcW w:w="870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1"/>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non-current assets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6,632,302</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4,838,940</w:t>
            </w:r>
          </w:p>
        </w:tc>
      </w:tr>
      <w:tr>
        <w:trPr>
          <w:trHeight w:val="142"/>
        </w:trPr>
        <w:tc>
          <w:tcPr>
            <w:tcW w:w="870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7,775,506</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5,546,885</w:t>
            </w:r>
          </w:p>
        </w:tc>
      </w:tr>
      <w:tr>
        <w:trPr>
          <w:trHeight w:val="20"/>
        </w:trPr>
        <w:tc>
          <w:tcPr>
            <w:tcW w:w="87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6"/>
        </w:trPr>
        <w:tc>
          <w:tcPr>
            <w:tcW w:w="87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r>
    </w:tbl>
    <w:p>
      <w:pPr>
        <w:sectPr>
          <w:pgSz w:w="11900" w:h="16838" w:orient="portrait"/>
          <w:cols w:equalWidth="0" w:num="1">
            <w:col w:w="11300"/>
          </w:cols>
          <w:pgMar w:left="300" w:top="125"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b w:val="1"/>
          <w:bCs w:val="1"/>
          <w:color w:val="auto"/>
        </w:rPr>
        <w:t>Consolidated Statements of Financial Position as of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178040"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700" w:type="dxa"/>
            <w:vAlign w:val="bottom"/>
          </w:tcPr>
          <w:p>
            <w:pPr>
              <w:spacing w:after="0"/>
              <w:rPr>
                <w:sz w:val="13"/>
                <w:szCs w:val="13"/>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September 30</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December 31</w:t>
            </w:r>
          </w:p>
        </w:tc>
        <w:tc>
          <w:tcPr>
            <w:tcW w:w="0" w:type="dxa"/>
            <w:vAlign w:val="bottom"/>
          </w:tcPr>
          <w:p>
            <w:pPr>
              <w:spacing w:after="0"/>
              <w:rPr>
                <w:sz w:val="1"/>
                <w:szCs w:val="1"/>
                <w:color w:val="auto"/>
              </w:rPr>
            </w:pPr>
          </w:p>
        </w:tc>
      </w:tr>
      <w:tr>
        <w:trPr>
          <w:trHeight w:val="166"/>
        </w:trPr>
        <w:tc>
          <w:tcPr>
            <w:tcW w:w="87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870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USD in</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USD in</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8700" w:type="dxa"/>
            <w:vAlign w:val="bottom"/>
          </w:tcPr>
          <w:p>
            <w:pPr>
              <w:spacing w:after="0"/>
              <w:rPr>
                <w:sz w:val="14"/>
                <w:szCs w:val="14"/>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 and equity</w:t>
            </w:r>
          </w:p>
        </w:tc>
        <w:tc>
          <w:tcPr>
            <w:tcW w:w="114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1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Credit and current maturities of loans from</w:t>
            </w:r>
          </w:p>
        </w:tc>
        <w:tc>
          <w:tcPr>
            <w:tcW w:w="1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751,015</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87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banks and other financial institutions</w:t>
            </w: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212,246</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Trade payables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130,009</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161,991</w:t>
            </w: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Other payables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349,476</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107,825</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maturities of debentures</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25,922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44,962</w:t>
            </w: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Current maturities of lease liability</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11,386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10,240</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financial liabilities</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25,629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8,141</w:t>
            </w: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Liabilities of disposal groups classified as held for sale</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46,635</w:t>
            </w:r>
          </w:p>
        </w:tc>
        <w:tc>
          <w:tcPr>
            <w:tcW w:w="0" w:type="dxa"/>
            <w:vAlign w:val="bottom"/>
          </w:tcPr>
          <w:p>
            <w:pPr>
              <w:spacing w:after="0"/>
              <w:rPr>
                <w:sz w:val="1"/>
                <w:szCs w:val="1"/>
                <w:color w:val="auto"/>
              </w:rPr>
            </w:pPr>
          </w:p>
        </w:tc>
      </w:tr>
      <w:tr>
        <w:trPr>
          <w:trHeight w:val="151"/>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11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1,293,437</w:t>
            </w:r>
          </w:p>
        </w:tc>
        <w:tc>
          <w:tcPr>
            <w:tcW w:w="20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592,040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700" w:type="dxa"/>
            <w:vAlign w:val="bottom"/>
            <w:tcBorders>
              <w:top w:val="single" w:sz="8" w:color="CCEEFF"/>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Non-current liabilities</w:t>
            </w:r>
          </w:p>
        </w:tc>
        <w:tc>
          <w:tcPr>
            <w:tcW w:w="1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Debentures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598,799</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433,994</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financial liabilities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211,300</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107,865</w:t>
            </w: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Convertible debentures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264,052</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133,056</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Loans from banks and other financial institutions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2,556,884</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1,996,137</w:t>
            </w: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Loans from non-controlling interests</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86,192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75,598</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Financial liabilities through profit or loss</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26,688</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25,844</w:t>
            </w: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Deferred taxes liabilities</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67,998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41,792</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Employee benefits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1,495</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1,215</w:t>
            </w: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Lease liability</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225,669</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211,941</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income related to tax equity</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391,792</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403,384</w:t>
            </w: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Asset retirement obligation</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92,941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83,085</w:t>
            </w:r>
          </w:p>
        </w:tc>
        <w:tc>
          <w:tcPr>
            <w:tcW w:w="0" w:type="dxa"/>
            <w:vAlign w:val="bottom"/>
          </w:tcPr>
          <w:p>
            <w:pPr>
              <w:spacing w:after="0"/>
              <w:rPr>
                <w:sz w:val="1"/>
                <w:szCs w:val="1"/>
                <w:color w:val="auto"/>
              </w:rPr>
            </w:pPr>
          </w:p>
        </w:tc>
      </w:tr>
      <w:tr>
        <w:trPr>
          <w:trHeight w:val="151"/>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non-current liabilities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4,523,810</w:t>
            </w: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3,513,911</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70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5,817,247</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4,105,951</w:t>
            </w:r>
          </w:p>
        </w:tc>
        <w:tc>
          <w:tcPr>
            <w:tcW w:w="0" w:type="dxa"/>
            <w:vAlign w:val="bottom"/>
          </w:tcPr>
          <w:p>
            <w:pPr>
              <w:spacing w:after="0"/>
              <w:rPr>
                <w:sz w:val="1"/>
                <w:szCs w:val="1"/>
                <w:color w:val="auto"/>
              </w:rPr>
            </w:pPr>
          </w:p>
        </w:tc>
      </w:tr>
      <w:tr>
        <w:trPr>
          <w:trHeight w:val="142"/>
        </w:trPr>
        <w:tc>
          <w:tcPr>
            <w:tcW w:w="8700" w:type="dxa"/>
            <w:vAlign w:val="bottom"/>
            <w:tcBorders>
              <w:top w:val="single" w:sz="8" w:color="CCEEFF"/>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Ordinary share capital</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3,693</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3,308</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premium</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1,318,884</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1,028,532</w:t>
            </w: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Capital reserves</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79,917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25,273</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on account of convertible options</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25,083</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15,494</w:t>
            </w: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Accumulated profit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225,760</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107,919</w:t>
            </w:r>
          </w:p>
        </w:tc>
        <w:tc>
          <w:tcPr>
            <w:tcW w:w="0" w:type="dxa"/>
            <w:vAlign w:val="bottom"/>
          </w:tcPr>
          <w:p>
            <w:pPr>
              <w:spacing w:after="0"/>
              <w:rPr>
                <w:sz w:val="1"/>
                <w:szCs w:val="1"/>
                <w:color w:val="auto"/>
              </w:rPr>
            </w:pPr>
          </w:p>
        </w:tc>
      </w:tr>
      <w:tr>
        <w:trPr>
          <w:trHeight w:val="151"/>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attributable to shareholders of the Company</w:t>
            </w:r>
          </w:p>
        </w:tc>
        <w:tc>
          <w:tcPr>
            <w:tcW w:w="11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1,653,337</w:t>
            </w:r>
          </w:p>
        </w:tc>
        <w:tc>
          <w:tcPr>
            <w:tcW w:w="20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1,180,526</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Non-controlling interests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304,922</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260,408</w:t>
            </w:r>
          </w:p>
        </w:tc>
        <w:tc>
          <w:tcPr>
            <w:tcW w:w="0" w:type="dxa"/>
            <w:vAlign w:val="bottom"/>
          </w:tcPr>
          <w:p>
            <w:pPr>
              <w:spacing w:after="0"/>
              <w:rPr>
                <w:sz w:val="1"/>
                <w:szCs w:val="1"/>
                <w:color w:val="auto"/>
              </w:rPr>
            </w:pPr>
          </w:p>
        </w:tc>
      </w:tr>
      <w:tr>
        <w:trPr>
          <w:trHeight w:val="151"/>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equity</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1,958,259</w:t>
            </w: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1,440,934</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liabilities and equity</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7,775,506</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5,546,885</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87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5"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17804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000" w:type="dxa"/>
            <w:vAlign w:val="bottom"/>
          </w:tcPr>
          <w:p>
            <w:pPr>
              <w:spacing w:after="0"/>
              <w:rPr>
                <w:sz w:val="12"/>
                <w:szCs w:val="12"/>
                <w:color w:val="auto"/>
              </w:rPr>
            </w:pPr>
          </w:p>
        </w:tc>
        <w:tc>
          <w:tcPr>
            <w:tcW w:w="2720" w:type="dxa"/>
            <w:vAlign w:val="bottom"/>
            <w:gridSpan w:val="4"/>
          </w:tcPr>
          <w:p>
            <w:pPr>
              <w:jc w:val="right"/>
              <w:ind w:right="960"/>
              <w:spacing w:after="0"/>
              <w:rPr>
                <w:sz w:val="20"/>
                <w:szCs w:val="20"/>
                <w:color w:val="auto"/>
              </w:rPr>
            </w:pPr>
            <w:r>
              <w:rPr>
                <w:rFonts w:ascii="Times New Roman" w:cs="Times New Roman" w:eastAsia="Times New Roman" w:hAnsi="Times New Roman"/>
                <w:sz w:val="12"/>
                <w:szCs w:val="12"/>
                <w:b w:val="1"/>
                <w:bCs w:val="1"/>
                <w:color w:val="auto"/>
              </w:rPr>
              <w:t>For the nine months</w:t>
            </w:r>
          </w:p>
        </w:tc>
        <w:tc>
          <w:tcPr>
            <w:tcW w:w="2580" w:type="dxa"/>
            <w:vAlign w:val="bottom"/>
            <w:gridSpan w:val="4"/>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rPr>
              <w:t>For the three months</w:t>
            </w:r>
          </w:p>
        </w:tc>
      </w:tr>
      <w:tr>
        <w:trPr>
          <w:trHeight w:val="166"/>
        </w:trPr>
        <w:tc>
          <w:tcPr>
            <w:tcW w:w="6000" w:type="dxa"/>
            <w:vAlign w:val="bottom"/>
          </w:tcPr>
          <w:p>
            <w:pPr>
              <w:spacing w:after="0"/>
              <w:rPr>
                <w:sz w:val="14"/>
                <w:szCs w:val="14"/>
                <w:color w:val="auto"/>
              </w:rPr>
            </w:pPr>
          </w:p>
        </w:tc>
        <w:tc>
          <w:tcPr>
            <w:tcW w:w="2720" w:type="dxa"/>
            <w:vAlign w:val="bottom"/>
            <w:gridSpan w:val="4"/>
          </w:tcPr>
          <w:p>
            <w:pPr>
              <w:jc w:val="right"/>
              <w:ind w:right="940"/>
              <w:spacing w:after="0"/>
              <w:rPr>
                <w:sz w:val="20"/>
                <w:szCs w:val="20"/>
                <w:color w:val="auto"/>
              </w:rPr>
            </w:pPr>
            <w:r>
              <w:rPr>
                <w:rFonts w:ascii="Times New Roman" w:cs="Times New Roman" w:eastAsia="Times New Roman" w:hAnsi="Times New Roman"/>
                <w:sz w:val="12"/>
                <w:szCs w:val="12"/>
                <w:b w:val="1"/>
                <w:bCs w:val="1"/>
                <w:color w:val="auto"/>
              </w:rPr>
              <w:t>ended September 30</w:t>
            </w:r>
          </w:p>
        </w:tc>
        <w:tc>
          <w:tcPr>
            <w:tcW w:w="2580" w:type="dxa"/>
            <w:vAlign w:val="bottom"/>
            <w:gridSpan w:val="4"/>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ended September 30</w:t>
            </w:r>
          </w:p>
        </w:tc>
      </w:tr>
      <w:tr>
        <w:trPr>
          <w:trHeight w:val="153"/>
        </w:trPr>
        <w:tc>
          <w:tcPr>
            <w:tcW w:w="600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22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120" w:type="dxa"/>
            <w:vAlign w:val="bottom"/>
          </w:tcPr>
          <w:p>
            <w:pPr>
              <w:spacing w:after="0"/>
              <w:rPr>
                <w:sz w:val="13"/>
                <w:szCs w:val="13"/>
                <w:color w:val="auto"/>
              </w:rPr>
            </w:pPr>
          </w:p>
        </w:tc>
      </w:tr>
      <w:tr>
        <w:trPr>
          <w:trHeight w:val="136"/>
        </w:trPr>
        <w:tc>
          <w:tcPr>
            <w:tcW w:w="6000" w:type="dxa"/>
            <w:vAlign w:val="bottom"/>
          </w:tcPr>
          <w:p>
            <w:pPr>
              <w:spacing w:after="0"/>
              <w:rPr>
                <w:sz w:val="11"/>
                <w:szCs w:val="11"/>
                <w:color w:val="auto"/>
              </w:rPr>
            </w:pPr>
          </w:p>
        </w:tc>
        <w:tc>
          <w:tcPr>
            <w:tcW w:w="116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rPr>
              <w:t>USD in</w:t>
            </w:r>
          </w:p>
        </w:tc>
        <w:tc>
          <w:tcPr>
            <w:tcW w:w="220" w:type="dxa"/>
            <w:vAlign w:val="bottom"/>
          </w:tcPr>
          <w:p>
            <w:pPr>
              <w:spacing w:after="0"/>
              <w:rPr>
                <w:sz w:val="11"/>
                <w:szCs w:val="11"/>
                <w:color w:val="auto"/>
              </w:rPr>
            </w:pPr>
          </w:p>
        </w:tc>
        <w:tc>
          <w:tcPr>
            <w:tcW w:w="11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w w:val="97"/>
              </w:rPr>
              <w:t>USD in</w:t>
            </w:r>
          </w:p>
        </w:tc>
        <w:tc>
          <w:tcPr>
            <w:tcW w:w="220" w:type="dxa"/>
            <w:vAlign w:val="bottom"/>
          </w:tcPr>
          <w:p>
            <w:pPr>
              <w:spacing w:after="0"/>
              <w:rPr>
                <w:sz w:val="11"/>
                <w:szCs w:val="11"/>
                <w:color w:val="auto"/>
              </w:rPr>
            </w:pPr>
          </w:p>
        </w:tc>
        <w:tc>
          <w:tcPr>
            <w:tcW w:w="11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w w:val="97"/>
              </w:rPr>
              <w:t>USD in</w:t>
            </w:r>
          </w:p>
        </w:tc>
        <w:tc>
          <w:tcPr>
            <w:tcW w:w="220" w:type="dxa"/>
            <w:vAlign w:val="bottom"/>
          </w:tcPr>
          <w:p>
            <w:pPr>
              <w:spacing w:after="0"/>
              <w:rPr>
                <w:sz w:val="11"/>
                <w:szCs w:val="11"/>
                <w:color w:val="auto"/>
              </w:rPr>
            </w:pPr>
          </w:p>
        </w:tc>
        <w:tc>
          <w:tcPr>
            <w:tcW w:w="11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rPr>
              <w:t>USD in</w:t>
            </w:r>
          </w:p>
        </w:tc>
        <w:tc>
          <w:tcPr>
            <w:tcW w:w="120" w:type="dxa"/>
            <w:vAlign w:val="bottom"/>
          </w:tcPr>
          <w:p>
            <w:pPr>
              <w:spacing w:after="0"/>
              <w:rPr>
                <w:sz w:val="11"/>
                <w:szCs w:val="11"/>
                <w:color w:val="auto"/>
              </w:rPr>
            </w:pPr>
          </w:p>
        </w:tc>
      </w:tr>
      <w:tr>
        <w:trPr>
          <w:trHeight w:val="166"/>
        </w:trPr>
        <w:tc>
          <w:tcPr>
            <w:tcW w:w="600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Thousands</w:t>
            </w:r>
          </w:p>
        </w:tc>
      </w:tr>
      <w:tr>
        <w:trPr>
          <w:trHeight w:val="144"/>
        </w:trPr>
        <w:tc>
          <w:tcPr>
            <w:tcW w:w="60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for operating activities</w:t>
            </w:r>
          </w:p>
        </w:tc>
        <w:tc>
          <w:tcPr>
            <w:tcW w:w="116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Profit for the period</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139,629</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58,133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32,257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24,189</w:t>
            </w:r>
          </w:p>
        </w:tc>
      </w:tr>
      <w:tr>
        <w:trPr>
          <w:trHeight w:val="144"/>
        </w:trPr>
        <w:tc>
          <w:tcPr>
            <w:tcW w:w="6000" w:type="dxa"/>
            <w:vAlign w:val="bottom"/>
            <w:shd w:val="clear" w:color="auto" w:fill="CCEEFF"/>
          </w:tcPr>
          <w:p>
            <w:pPr>
              <w:spacing w:after="0"/>
              <w:rPr>
                <w:sz w:val="12"/>
                <w:szCs w:val="12"/>
                <w:color w:val="auto"/>
              </w:rPr>
            </w:pPr>
          </w:p>
        </w:tc>
        <w:tc>
          <w:tcPr>
            <w:tcW w:w="116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and expenses not associated with cash flows:</w:t>
            </w: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110,159</w:t>
            </w:r>
          </w:p>
        </w:tc>
        <w:tc>
          <w:tcPr>
            <w:tcW w:w="2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77,977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39,142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27,091</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Finance expenses, net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116,373</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65,182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45,300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31,416</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Share-based compensation</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5,047</w:t>
            </w:r>
          </w:p>
        </w:tc>
        <w:tc>
          <w:tcPr>
            <w:tcW w:w="2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6,027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2,053</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1,942</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Taxes on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35,083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16,154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9,477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7,024</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Tax benefits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(62,059)</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(10,102)</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(23,087)</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(3,576)</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(5,785)</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(3,113)</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(3,411)</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(3,545)</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Company’s share in losses of investee partnerships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3,904</w:t>
            </w:r>
          </w:p>
        </w:tc>
        <w:tc>
          <w:tcPr>
            <w:tcW w:w="2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1,737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2,259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1,288</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Gains (losses) from projects disposals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(96,431)</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(611)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1,397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6000" w:type="dxa"/>
            <w:vAlign w:val="bottom"/>
            <w:shd w:val="clear" w:color="auto" w:fill="CCEEFF"/>
          </w:tcPr>
          <w:p>
            <w:pPr>
              <w:spacing w:after="0"/>
              <w:rPr>
                <w:sz w:val="13"/>
                <w:szCs w:val="13"/>
                <w:color w:val="auto"/>
              </w:rPr>
            </w:pP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106,291</w:t>
            </w:r>
          </w:p>
        </w:tc>
        <w:tc>
          <w:tcPr>
            <w:tcW w:w="22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153,251</w:t>
            </w:r>
          </w:p>
        </w:tc>
        <w:tc>
          <w:tcPr>
            <w:tcW w:w="22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73,130</w:t>
            </w:r>
          </w:p>
        </w:tc>
        <w:tc>
          <w:tcPr>
            <w:tcW w:w="22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61,640</w:t>
            </w:r>
          </w:p>
        </w:tc>
        <w:tc>
          <w:tcPr>
            <w:tcW w:w="120" w:type="dxa"/>
            <w:vAlign w:val="bottom"/>
            <w:shd w:val="clear" w:color="auto" w:fill="CCEEFF"/>
          </w:tcPr>
          <w:p>
            <w:pPr>
              <w:spacing w:after="0"/>
              <w:rPr>
                <w:sz w:val="13"/>
                <w:szCs w:val="13"/>
                <w:color w:val="auto"/>
              </w:rPr>
            </w:pPr>
          </w:p>
        </w:tc>
      </w:tr>
      <w:tr>
        <w:trPr>
          <w:trHeight w:val="142"/>
        </w:trPr>
        <w:tc>
          <w:tcPr>
            <w:tcW w:w="6000" w:type="dxa"/>
            <w:vAlign w:val="bottom"/>
            <w:tcBorders>
              <w:top w:val="single" w:sz="8" w:color="CCEEFF"/>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Changes in assets and liabilities items:</w:t>
            </w:r>
          </w:p>
        </w:tc>
        <w:tc>
          <w:tcPr>
            <w:tcW w:w="116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Change in other receivables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(2,800)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6,547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1,793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10,899</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trade receivables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(27,365)</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(9,596)</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(6,480)</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(12,668)</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Change in other payables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28,405</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6,935</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(887)</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trade payables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(5,418)</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(941)</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(2,768)</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(85)</w:t>
            </w:r>
          </w:p>
        </w:tc>
      </w:tr>
      <w:tr>
        <w:trPr>
          <w:trHeight w:val="20"/>
        </w:trPr>
        <w:tc>
          <w:tcPr>
            <w:tcW w:w="600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1"/>
        </w:trPr>
        <w:tc>
          <w:tcPr>
            <w:tcW w:w="6000" w:type="dxa"/>
            <w:vAlign w:val="bottom"/>
          </w:tcPr>
          <w:p>
            <w:pPr>
              <w:spacing w:after="0"/>
              <w:rPr>
                <w:sz w:val="13"/>
                <w:szCs w:val="13"/>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(7,178)</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(4,017)</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(520)</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(2,741)</w:t>
            </w:r>
          </w:p>
        </w:tc>
      </w:tr>
      <w:tr>
        <w:trPr>
          <w:trHeight w:val="142"/>
        </w:trPr>
        <w:tc>
          <w:tcPr>
            <w:tcW w:w="600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Interest receipts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9,921</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7,805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3,587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2,439</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paid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(76,112)</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(51,548)</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(35,725)</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(17,755)</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Income Tax paid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(10,093)</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(6,084)</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(1,420)</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(1,301)</w:t>
            </w:r>
          </w:p>
        </w:tc>
      </w:tr>
      <w:tr>
        <w:trPr>
          <w:trHeight w:val="142"/>
        </w:trPr>
        <w:tc>
          <w:tcPr>
            <w:tcW w:w="600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cash from operating activities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162,458</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157,540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71,309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66,471</w:t>
            </w:r>
          </w:p>
        </w:tc>
      </w:tr>
      <w:tr>
        <w:trPr>
          <w:trHeight w:val="142"/>
        </w:trPr>
        <w:tc>
          <w:tcPr>
            <w:tcW w:w="600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flows for investing activities</w:t>
            </w: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Sale (Acquisition) of consolidated entities, net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37,832</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(1,849)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4,814</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(461)</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Changes in restricted cash and bank deposits, net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(198,170)</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(44,275)</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(206,356)</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(28,905)</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 development, and construction in respect of projects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(1,163,669)</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(678,969)</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(505,647)</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(217,168)</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Loans provided and Investment in investees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(43,264)</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(15,201)</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(16,940)</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(985)</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Repayment of loans to investees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30,815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63</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Loans provided to non-controlling interests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(297)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(297)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Payments on account of acquisition of consolidated company</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(7,447)</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(15,697)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(4,846)</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Purchase of long-term financial assets measured at fair value through profit or loss, net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(5,257)</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(12,204)</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(2,010)</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(864)</w:t>
            </w:r>
          </w:p>
        </w:tc>
      </w:tr>
      <w:tr>
        <w:trPr>
          <w:trHeight w:val="151"/>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(1,349,457)</w:t>
            </w: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(768,132)</w:t>
            </w: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(726,436)</w:t>
            </w: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(253,166)</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259"/>
        </w:trPr>
        <w:tc>
          <w:tcPr>
            <w:tcW w:w="60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r>
    </w:tbl>
    <w:p>
      <w:pPr>
        <w:sectPr>
          <w:pgSz w:w="11900" w:h="16838" w:orient="portrait"/>
          <w:cols w:equalWidth="0" w:num="1">
            <w:col w:w="11300"/>
          </w:cols>
          <w:pgMar w:left="300" w:top="125"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17804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000" w:type="dxa"/>
            <w:vAlign w:val="bottom"/>
          </w:tcPr>
          <w:p>
            <w:pPr>
              <w:spacing w:after="0"/>
              <w:rPr>
                <w:sz w:val="13"/>
                <w:szCs w:val="13"/>
                <w:color w:val="auto"/>
              </w:rPr>
            </w:pPr>
          </w:p>
        </w:tc>
        <w:tc>
          <w:tcPr>
            <w:tcW w:w="2720" w:type="dxa"/>
            <w:vAlign w:val="bottom"/>
            <w:gridSpan w:val="4"/>
          </w:tcPr>
          <w:p>
            <w:pPr>
              <w:jc w:val="right"/>
              <w:ind w:right="960"/>
              <w:spacing w:after="0"/>
              <w:rPr>
                <w:sz w:val="20"/>
                <w:szCs w:val="20"/>
                <w:color w:val="auto"/>
              </w:rPr>
            </w:pPr>
            <w:r>
              <w:rPr>
                <w:rFonts w:ascii="Times New Roman" w:cs="Times New Roman" w:eastAsia="Times New Roman" w:hAnsi="Times New Roman"/>
                <w:sz w:val="12"/>
                <w:szCs w:val="12"/>
                <w:b w:val="1"/>
                <w:bCs w:val="1"/>
                <w:color w:val="auto"/>
              </w:rPr>
              <w:t>For the nine months</w:t>
            </w:r>
          </w:p>
        </w:tc>
        <w:tc>
          <w:tcPr>
            <w:tcW w:w="2580" w:type="dxa"/>
            <w:vAlign w:val="bottom"/>
            <w:gridSpan w:val="4"/>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rPr>
              <w:t>For the three months</w:t>
            </w:r>
          </w:p>
        </w:tc>
      </w:tr>
      <w:tr>
        <w:trPr>
          <w:trHeight w:val="159"/>
        </w:trPr>
        <w:tc>
          <w:tcPr>
            <w:tcW w:w="6000" w:type="dxa"/>
            <w:vAlign w:val="bottom"/>
          </w:tcPr>
          <w:p>
            <w:pPr>
              <w:spacing w:after="0"/>
              <w:rPr>
                <w:sz w:val="13"/>
                <w:szCs w:val="13"/>
                <w:color w:val="auto"/>
              </w:rPr>
            </w:pPr>
          </w:p>
        </w:tc>
        <w:tc>
          <w:tcPr>
            <w:tcW w:w="2720" w:type="dxa"/>
            <w:vAlign w:val="bottom"/>
            <w:gridSpan w:val="4"/>
          </w:tcPr>
          <w:p>
            <w:pPr>
              <w:jc w:val="right"/>
              <w:ind w:right="940"/>
              <w:spacing w:after="0"/>
              <w:rPr>
                <w:sz w:val="20"/>
                <w:szCs w:val="20"/>
                <w:color w:val="auto"/>
              </w:rPr>
            </w:pPr>
            <w:r>
              <w:rPr>
                <w:rFonts w:ascii="Times New Roman" w:cs="Times New Roman" w:eastAsia="Times New Roman" w:hAnsi="Times New Roman"/>
                <w:sz w:val="12"/>
                <w:szCs w:val="12"/>
                <w:b w:val="1"/>
                <w:bCs w:val="1"/>
                <w:color w:val="auto"/>
              </w:rPr>
              <w:t>ended September 30</w:t>
            </w:r>
          </w:p>
        </w:tc>
        <w:tc>
          <w:tcPr>
            <w:tcW w:w="2580" w:type="dxa"/>
            <w:vAlign w:val="bottom"/>
            <w:gridSpan w:val="4"/>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ended September 30</w:t>
            </w:r>
          </w:p>
        </w:tc>
      </w:tr>
      <w:tr>
        <w:trPr>
          <w:trHeight w:val="151"/>
        </w:trPr>
        <w:tc>
          <w:tcPr>
            <w:tcW w:w="600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22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120" w:type="dxa"/>
            <w:vAlign w:val="bottom"/>
          </w:tcPr>
          <w:p>
            <w:pPr>
              <w:spacing w:after="0"/>
              <w:rPr>
                <w:sz w:val="13"/>
                <w:szCs w:val="13"/>
                <w:color w:val="auto"/>
              </w:rPr>
            </w:pPr>
          </w:p>
        </w:tc>
      </w:tr>
      <w:tr>
        <w:trPr>
          <w:trHeight w:val="136"/>
        </w:trPr>
        <w:tc>
          <w:tcPr>
            <w:tcW w:w="6000" w:type="dxa"/>
            <w:vAlign w:val="bottom"/>
          </w:tcPr>
          <w:p>
            <w:pPr>
              <w:spacing w:after="0"/>
              <w:rPr>
                <w:sz w:val="11"/>
                <w:szCs w:val="11"/>
                <w:color w:val="auto"/>
              </w:rPr>
            </w:pPr>
          </w:p>
        </w:tc>
        <w:tc>
          <w:tcPr>
            <w:tcW w:w="114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rPr>
              <w:t>USD in</w:t>
            </w:r>
          </w:p>
        </w:tc>
        <w:tc>
          <w:tcPr>
            <w:tcW w:w="240" w:type="dxa"/>
            <w:vAlign w:val="bottom"/>
          </w:tcPr>
          <w:p>
            <w:pPr>
              <w:spacing w:after="0"/>
              <w:rPr>
                <w:sz w:val="11"/>
                <w:szCs w:val="11"/>
                <w:color w:val="auto"/>
              </w:rPr>
            </w:pPr>
          </w:p>
        </w:tc>
        <w:tc>
          <w:tcPr>
            <w:tcW w:w="11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w w:val="97"/>
              </w:rPr>
              <w:t>USD in</w:t>
            </w:r>
          </w:p>
        </w:tc>
        <w:tc>
          <w:tcPr>
            <w:tcW w:w="220" w:type="dxa"/>
            <w:vAlign w:val="bottom"/>
          </w:tcPr>
          <w:p>
            <w:pPr>
              <w:spacing w:after="0"/>
              <w:rPr>
                <w:sz w:val="11"/>
                <w:szCs w:val="11"/>
                <w:color w:val="auto"/>
              </w:rPr>
            </w:pPr>
          </w:p>
        </w:tc>
        <w:tc>
          <w:tcPr>
            <w:tcW w:w="11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w w:val="97"/>
              </w:rPr>
              <w:t>USD in</w:t>
            </w:r>
          </w:p>
        </w:tc>
        <w:tc>
          <w:tcPr>
            <w:tcW w:w="220" w:type="dxa"/>
            <w:vAlign w:val="bottom"/>
          </w:tcPr>
          <w:p>
            <w:pPr>
              <w:spacing w:after="0"/>
              <w:rPr>
                <w:sz w:val="11"/>
                <w:szCs w:val="11"/>
                <w:color w:val="auto"/>
              </w:rPr>
            </w:pPr>
          </w:p>
        </w:tc>
        <w:tc>
          <w:tcPr>
            <w:tcW w:w="11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rPr>
              <w:t>USD in</w:t>
            </w:r>
          </w:p>
        </w:tc>
        <w:tc>
          <w:tcPr>
            <w:tcW w:w="120" w:type="dxa"/>
            <w:vAlign w:val="bottom"/>
          </w:tcPr>
          <w:p>
            <w:pPr>
              <w:spacing w:after="0"/>
              <w:rPr>
                <w:sz w:val="11"/>
                <w:szCs w:val="11"/>
                <w:color w:val="auto"/>
              </w:rPr>
            </w:pPr>
          </w:p>
        </w:tc>
      </w:tr>
      <w:tr>
        <w:trPr>
          <w:trHeight w:val="166"/>
        </w:trPr>
        <w:tc>
          <w:tcPr>
            <w:tcW w:w="600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Thousands</w:t>
            </w:r>
          </w:p>
        </w:tc>
      </w:tr>
      <w:tr>
        <w:trPr>
          <w:trHeight w:val="144"/>
        </w:trPr>
        <w:tc>
          <w:tcPr>
            <w:tcW w:w="60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Receipt of loans from banks and other financial institutions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1,324,524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667,857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649,840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337,408</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Repayment of loans from banks and other financial institutions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(407,239)</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(259,970)</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(183,878)</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(182,773)</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Issuance of debentures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125,838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 of convertible debentures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114,685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Repayment of debentures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(47,545)</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(26,016)</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(25,551)</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(24,732)</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Dividends and distributions by subsidiaries to non-controlling interests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(17,326)</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(23,895)</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(8,644)</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(20,445)</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investments by tax-equity investors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127,695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44,325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127,695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44,325</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Repayment of tax-equity investment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(11,590)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(638)</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Deferred borrowing costs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(47,076)</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(5,868)</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(458)</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(490)</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Repayment of loans from non-controlling interests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(858)</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(2,017)</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(858)</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(1,017)</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Increase in holding rights of consolidated entity</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(1,392)</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(167)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Receipt of loans from non-controlling interests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182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Issuance of shares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290,698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290,698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 of share options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45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15</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Repayment of lease liability</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(7,999)</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(4,713)</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(2,196)</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(596)</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investment in entities by non-controlling interest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12,799</w:t>
            </w:r>
          </w:p>
        </w:tc>
        <w:tc>
          <w:tcPr>
            <w:tcW w:w="2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6000" w:type="dxa"/>
            <w:vAlign w:val="bottom"/>
            <w:tcBorders>
              <w:top w:val="single" w:sz="8" w:color="CCEEFF"/>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cash from financing activities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1,455,441</w:t>
            </w:r>
          </w:p>
        </w:tc>
        <w:tc>
          <w:tcPr>
            <w:tcW w:w="2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389,729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846,025</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151,681</w:t>
            </w:r>
          </w:p>
        </w:tc>
      </w:tr>
      <w:tr>
        <w:trPr>
          <w:trHeight w:val="142"/>
        </w:trPr>
        <w:tc>
          <w:tcPr>
            <w:tcW w:w="6000" w:type="dxa"/>
            <w:vAlign w:val="bottom"/>
            <w:tcBorders>
              <w:top w:val="single" w:sz="8" w:color="CCEEFF"/>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Increase (Decrease) in cash and cash equivalents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268,442</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(220,863)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190,898</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(35,014)</w:t>
            </w:r>
          </w:p>
        </w:tc>
      </w:tr>
      <w:tr>
        <w:trPr>
          <w:trHeight w:val="144"/>
        </w:trPr>
        <w:tc>
          <w:tcPr>
            <w:tcW w:w="6000" w:type="dxa"/>
            <w:vAlign w:val="bottom"/>
          </w:tcPr>
          <w:p>
            <w:pPr>
              <w:spacing w:after="0"/>
              <w:rPr>
                <w:sz w:val="12"/>
                <w:szCs w:val="12"/>
                <w:color w:val="auto"/>
              </w:rPr>
            </w:pPr>
          </w:p>
        </w:tc>
        <w:tc>
          <w:tcPr>
            <w:tcW w:w="1380" w:type="dxa"/>
            <w:vAlign w:val="bottom"/>
            <w:gridSpan w:val="2"/>
          </w:tcPr>
          <w:p>
            <w:pPr>
              <w:spacing w:after="0"/>
              <w:rPr>
                <w:sz w:val="12"/>
                <w:szCs w:val="12"/>
                <w:color w:val="auto"/>
              </w:rPr>
            </w:pPr>
          </w:p>
        </w:tc>
        <w:tc>
          <w:tcPr>
            <w:tcW w:w="1340" w:type="dxa"/>
            <w:vAlign w:val="bottom"/>
            <w:gridSpan w:val="2"/>
          </w:tcPr>
          <w:p>
            <w:pPr>
              <w:spacing w:after="0"/>
              <w:rPr>
                <w:sz w:val="12"/>
                <w:szCs w:val="12"/>
                <w:color w:val="auto"/>
              </w:rPr>
            </w:pPr>
          </w:p>
        </w:tc>
        <w:tc>
          <w:tcPr>
            <w:tcW w:w="1340" w:type="dxa"/>
            <w:vAlign w:val="bottom"/>
            <w:gridSpan w:val="2"/>
          </w:tcPr>
          <w:p>
            <w:pPr>
              <w:spacing w:after="0"/>
              <w:rPr>
                <w:sz w:val="12"/>
                <w:szCs w:val="12"/>
                <w:color w:val="auto"/>
              </w:rPr>
            </w:pPr>
          </w:p>
        </w:tc>
        <w:tc>
          <w:tcPr>
            <w:tcW w:w="1240" w:type="dxa"/>
            <w:vAlign w:val="bottom"/>
            <w:gridSpan w:val="2"/>
          </w:tcPr>
          <w:p>
            <w:pPr>
              <w:spacing w:after="0"/>
              <w:rPr>
                <w:sz w:val="12"/>
                <w:szCs w:val="12"/>
                <w:color w:val="auto"/>
              </w:rPr>
            </w:pP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of cash and cash equivalents at beginning of period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387,427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403,805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480,459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208,791</w:t>
            </w:r>
          </w:p>
        </w:tc>
      </w:tr>
      <w:tr>
        <w:trPr>
          <w:trHeight w:val="144"/>
        </w:trPr>
        <w:tc>
          <w:tcPr>
            <w:tcW w:w="6000" w:type="dxa"/>
            <w:vAlign w:val="bottom"/>
          </w:tcPr>
          <w:p>
            <w:pPr>
              <w:spacing w:after="0"/>
              <w:rPr>
                <w:sz w:val="12"/>
                <w:szCs w:val="12"/>
                <w:color w:val="auto"/>
              </w:rPr>
            </w:pPr>
          </w:p>
        </w:tc>
        <w:tc>
          <w:tcPr>
            <w:tcW w:w="1380" w:type="dxa"/>
            <w:vAlign w:val="bottom"/>
            <w:gridSpan w:val="2"/>
          </w:tcPr>
          <w:p>
            <w:pPr>
              <w:spacing w:after="0"/>
              <w:rPr>
                <w:sz w:val="12"/>
                <w:szCs w:val="12"/>
                <w:color w:val="auto"/>
              </w:rPr>
            </w:pPr>
          </w:p>
        </w:tc>
        <w:tc>
          <w:tcPr>
            <w:tcW w:w="1340" w:type="dxa"/>
            <w:vAlign w:val="bottom"/>
            <w:gridSpan w:val="2"/>
          </w:tcPr>
          <w:p>
            <w:pPr>
              <w:spacing w:after="0"/>
              <w:rPr>
                <w:sz w:val="12"/>
                <w:szCs w:val="12"/>
                <w:color w:val="auto"/>
              </w:rPr>
            </w:pPr>
          </w:p>
        </w:tc>
        <w:tc>
          <w:tcPr>
            <w:tcW w:w="1340" w:type="dxa"/>
            <w:vAlign w:val="bottom"/>
            <w:gridSpan w:val="2"/>
          </w:tcPr>
          <w:p>
            <w:pPr>
              <w:spacing w:after="0"/>
              <w:rPr>
                <w:sz w:val="12"/>
                <w:szCs w:val="12"/>
                <w:color w:val="auto"/>
              </w:rPr>
            </w:pPr>
          </w:p>
        </w:tc>
        <w:tc>
          <w:tcPr>
            <w:tcW w:w="1240" w:type="dxa"/>
            <w:vAlign w:val="bottom"/>
            <w:gridSpan w:val="2"/>
          </w:tcPr>
          <w:p>
            <w:pPr>
              <w:spacing w:after="0"/>
              <w:rPr>
                <w:sz w:val="12"/>
                <w:szCs w:val="12"/>
                <w:color w:val="auto"/>
              </w:rPr>
            </w:pP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Effect of exchange rate fluctuations on cash and cash equivalents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23,958</w:t>
            </w:r>
          </w:p>
        </w:tc>
        <w:tc>
          <w:tcPr>
            <w:tcW w:w="2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(4,772)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8,470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4,393</w:t>
            </w:r>
          </w:p>
        </w:tc>
      </w:tr>
      <w:tr>
        <w:trPr>
          <w:trHeight w:val="142"/>
        </w:trPr>
        <w:tc>
          <w:tcPr>
            <w:tcW w:w="6000" w:type="dxa"/>
            <w:vAlign w:val="bottom"/>
            <w:tcBorders>
              <w:top w:val="single" w:sz="8" w:color="CCEEFF"/>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9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at end of period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679,827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178,170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679,827</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178,170</w:t>
            </w:r>
          </w:p>
        </w:tc>
      </w:tr>
      <w:tr>
        <w:trPr>
          <w:trHeight w:val="237"/>
        </w:trPr>
        <w:tc>
          <w:tcPr>
            <w:tcW w:w="6000" w:type="dxa"/>
            <w:vAlign w:val="bottom"/>
            <w:tcBorders>
              <w:top w:val="single" w:sz="8" w:color="CCEEFF"/>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CCEEFF"/>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CCEEFF"/>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CCEEFF"/>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CCEEFF"/>
              <w:bottom w:val="single" w:sz="8" w:color="auto"/>
            </w:tcBorders>
          </w:tcPr>
          <w:p>
            <w:pPr>
              <w:spacing w:after="0"/>
              <w:rPr>
                <w:sz w:val="20"/>
                <w:szCs w:val="20"/>
                <w:color w:val="auto"/>
              </w:rPr>
            </w:pPr>
          </w:p>
        </w:tc>
      </w:tr>
    </w:tbl>
    <w:p>
      <w:pPr>
        <w:sectPr>
          <w:pgSz w:w="11900" w:h="16838" w:orient="portrait"/>
          <w:cols w:equalWidth="0" w:num="1">
            <w:col w:w="11300"/>
          </w:cols>
          <w:pgMar w:left="300" w:top="125" w:right="299" w:bottom="1440" w:gutter="0" w:footer="0" w:header="0"/>
        </w:sectPr>
      </w:pPr>
    </w:p>
    <w:bookmarkStart w:id="19" w:name="page20"/>
    <w:bookmarkEnd w:id="19"/>
    <w:p>
      <w:pPr>
        <w:ind w:left="8"/>
        <w:spacing w:after="0"/>
        <w:rPr>
          <w:sz w:val="20"/>
          <w:szCs w:val="20"/>
          <w:color w:val="auto"/>
        </w:rPr>
      </w:pPr>
      <w:r>
        <w:rPr>
          <w:rFonts w:ascii="Times New Roman" w:cs="Times New Roman" w:eastAsia="Times New Roman" w:hAnsi="Times New Roman"/>
          <w:sz w:val="12"/>
          <w:szCs w:val="12"/>
          <w:b w:val="1"/>
          <w:bCs w:val="1"/>
          <w:color w:val="auto"/>
        </w:rPr>
        <w:t>Information related to Segmental Reporting</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3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80" w:type="dxa"/>
            <w:vAlign w:val="bottom"/>
            <w:gridSpan w:val="4"/>
          </w:tcPr>
          <w:p>
            <w:pPr>
              <w:jc w:val="right"/>
              <w:ind w:right="960"/>
              <w:spacing w:after="0"/>
              <w:rPr>
                <w:sz w:val="20"/>
                <w:szCs w:val="20"/>
                <w:color w:val="auto"/>
              </w:rPr>
            </w:pPr>
            <w:r>
              <w:rPr>
                <w:rFonts w:ascii="Times New Roman" w:cs="Times New Roman" w:eastAsia="Times New Roman" w:hAnsi="Times New Roman"/>
                <w:sz w:val="12"/>
                <w:szCs w:val="12"/>
                <w:b w:val="1"/>
                <w:bCs w:val="1"/>
                <w:color w:val="auto"/>
              </w:rPr>
              <w:t>For the nine months</w:t>
            </w: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4"/>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ended September 30, 2025</w:t>
            </w:r>
          </w:p>
        </w:tc>
        <w:tc>
          <w:tcPr>
            <w:tcW w:w="1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280" w:type="dxa"/>
            <w:vAlign w:val="bottom"/>
          </w:tcPr>
          <w:p>
            <w:pPr>
              <w:spacing w:after="0"/>
              <w:rPr>
                <w:sz w:val="11"/>
                <w:szCs w:val="11"/>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2"/>
                <w:szCs w:val="12"/>
                <w:b w:val="1"/>
                <w:bCs w:val="1"/>
                <w:color w:val="auto"/>
                <w:w w:val="98"/>
              </w:rPr>
              <w:t>MENA</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vMerge w:val="restart"/>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Europe</w:t>
            </w:r>
          </w:p>
        </w:tc>
        <w:tc>
          <w:tcPr>
            <w:tcW w:w="240" w:type="dxa"/>
            <w:vAlign w:val="bottom"/>
            <w:vMerge w:val="restart"/>
          </w:tcPr>
          <w:p>
            <w:pPr>
              <w:spacing w:after="0"/>
              <w:rPr>
                <w:sz w:val="11"/>
                <w:szCs w:val="11"/>
                <w:color w:val="auto"/>
              </w:rPr>
            </w:pPr>
          </w:p>
        </w:tc>
        <w:tc>
          <w:tcPr>
            <w:tcW w:w="1120" w:type="dxa"/>
            <w:vAlign w:val="bottom"/>
            <w:vMerge w:val="restart"/>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USA</w:t>
            </w:r>
          </w:p>
        </w:tc>
        <w:tc>
          <w:tcPr>
            <w:tcW w:w="220" w:type="dxa"/>
            <w:vAlign w:val="bottom"/>
            <w:vMerge w:val="restart"/>
          </w:tcPr>
          <w:p>
            <w:pPr>
              <w:spacing w:after="0"/>
              <w:rPr>
                <w:sz w:val="11"/>
                <w:szCs w:val="11"/>
                <w:color w:val="auto"/>
              </w:rPr>
            </w:pPr>
          </w:p>
        </w:tc>
        <w:tc>
          <w:tcPr>
            <w:tcW w:w="1340" w:type="dxa"/>
            <w:vAlign w:val="bottom"/>
            <w:gridSpan w:val="2"/>
          </w:tcPr>
          <w:p>
            <w:pPr>
              <w:jc w:val="right"/>
              <w:ind w:right="360"/>
              <w:spacing w:after="0" w:line="136" w:lineRule="exact"/>
              <w:rPr>
                <w:sz w:val="20"/>
                <w:szCs w:val="20"/>
                <w:color w:val="auto"/>
              </w:rPr>
            </w:pPr>
            <w:r>
              <w:rPr>
                <w:rFonts w:ascii="Times New Roman" w:cs="Times New Roman" w:eastAsia="Times New Roman" w:hAnsi="Times New Roman"/>
                <w:sz w:val="12"/>
                <w:szCs w:val="12"/>
                <w:b w:val="1"/>
                <w:bCs w:val="1"/>
                <w:color w:val="auto"/>
              </w:rPr>
              <w:t>Total reportable</w:t>
            </w:r>
          </w:p>
        </w:tc>
        <w:tc>
          <w:tcPr>
            <w:tcW w:w="1120" w:type="dxa"/>
            <w:vAlign w:val="bottom"/>
            <w:vMerge w:val="restart"/>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Others</w:t>
            </w:r>
          </w:p>
        </w:tc>
        <w:tc>
          <w:tcPr>
            <w:tcW w:w="220" w:type="dxa"/>
            <w:vAlign w:val="bottom"/>
            <w:vMerge w:val="restart"/>
          </w:tcPr>
          <w:p>
            <w:pPr>
              <w:spacing w:after="0"/>
              <w:rPr>
                <w:sz w:val="11"/>
                <w:szCs w:val="11"/>
                <w:color w:val="auto"/>
              </w:rPr>
            </w:pPr>
          </w:p>
        </w:tc>
        <w:tc>
          <w:tcPr>
            <w:tcW w:w="1120" w:type="dxa"/>
            <w:vAlign w:val="bottom"/>
            <w:vMerge w:val="restart"/>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80" w:type="dxa"/>
            <w:vAlign w:val="bottom"/>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segments(**)</w:t>
            </w:r>
          </w:p>
        </w:tc>
        <w:tc>
          <w:tcPr>
            <w:tcW w:w="220" w:type="dxa"/>
            <w:vAlign w:val="bottom"/>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USD in</w:t>
            </w:r>
          </w:p>
        </w:tc>
        <w:tc>
          <w:tcPr>
            <w:tcW w:w="134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Revenues</w:t>
            </w:r>
          </w:p>
        </w:tc>
        <w:tc>
          <w:tcPr>
            <w:tcW w:w="7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2"/>
              </w:rPr>
              <w:t>173,180</w:t>
            </w:r>
          </w:p>
        </w:tc>
        <w:tc>
          <w:tcPr>
            <w:tcW w:w="24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144,503</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45,456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363,139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1,272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364,411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Tax benefits</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65,493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65,493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65,493</w:t>
            </w:r>
          </w:p>
        </w:tc>
        <w:tc>
          <w:tcPr>
            <w:tcW w:w="0" w:type="dxa"/>
            <w:vAlign w:val="bottom"/>
          </w:tcPr>
          <w:p>
            <w:pPr>
              <w:spacing w:after="0"/>
              <w:rPr>
                <w:sz w:val="1"/>
                <w:szCs w:val="1"/>
                <w:color w:val="auto"/>
              </w:rPr>
            </w:pPr>
          </w:p>
        </w:tc>
      </w:tr>
      <w:tr>
        <w:trPr>
          <w:trHeight w:val="191"/>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revenues and income</w:t>
            </w:r>
          </w:p>
        </w:tc>
        <w:tc>
          <w:tcPr>
            <w:tcW w:w="760" w:type="dxa"/>
            <w:vAlign w:val="bottom"/>
            <w:tcBorders>
              <w:top w:val="single" w:sz="8" w:color="auto"/>
              <w:bottom w:val="single" w:sz="8" w:color="auto"/>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2"/>
              </w:rPr>
              <w:t>173,180</w:t>
            </w: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144,503</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110,949</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428,632</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1,272</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429,904</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4040" w:type="dxa"/>
            <w:vAlign w:val="bottom"/>
            <w:gridSpan w:val="2"/>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Segment adjusted EBITDA</w:t>
            </w: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2"/>
              </w:rPr>
              <w:t>160,302</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117,429</w:t>
            </w:r>
          </w:p>
        </w:tc>
        <w:tc>
          <w:tcPr>
            <w:tcW w:w="2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98,171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375,902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1,092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376,994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280" w:type="dxa"/>
            <w:vAlign w:val="bottom"/>
            <w:tcBorders>
              <w:top w:val="single" w:sz="8" w:color="CCEEFF"/>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Reconciliations of unallocated amounts:</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Headquarter costs (*)</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(37,776)</w:t>
            </w:r>
          </w:p>
        </w:tc>
        <w:tc>
          <w:tcPr>
            <w:tcW w:w="0" w:type="dxa"/>
            <w:vAlign w:val="bottom"/>
          </w:tcPr>
          <w:p>
            <w:pPr>
              <w:spacing w:after="0"/>
              <w:rPr>
                <w:sz w:val="1"/>
                <w:szCs w:val="1"/>
                <w:color w:val="auto"/>
              </w:rPr>
            </w:pPr>
          </w:p>
        </w:tc>
      </w:tr>
      <w:tr>
        <w:trPr>
          <w:trHeight w:val="15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Intersegment profit</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172</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Gains from projects disposals</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54,597</w:t>
            </w:r>
          </w:p>
        </w:tc>
        <w:tc>
          <w:tcPr>
            <w:tcW w:w="0" w:type="dxa"/>
            <w:vAlign w:val="bottom"/>
          </w:tcPr>
          <w:p>
            <w:pPr>
              <w:spacing w:after="0"/>
              <w:rPr>
                <w:sz w:val="1"/>
                <w:szCs w:val="1"/>
                <w:color w:val="auto"/>
              </w:rPr>
            </w:pPr>
          </w:p>
        </w:tc>
      </w:tr>
      <w:tr>
        <w:trPr>
          <w:trHeight w:val="15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 and share-based compensation</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(115,206)</w:t>
            </w:r>
          </w:p>
        </w:tc>
        <w:tc>
          <w:tcPr>
            <w:tcW w:w="0" w:type="dxa"/>
            <w:vAlign w:val="bottom"/>
          </w:tcPr>
          <w:p>
            <w:pPr>
              <w:spacing w:after="0"/>
              <w:rPr>
                <w:sz w:val="1"/>
                <w:szCs w:val="1"/>
                <w:color w:val="auto"/>
              </w:rPr>
            </w:pPr>
          </w:p>
        </w:tc>
      </w:tr>
      <w:tr>
        <w:trPr>
          <w:trHeight w:val="151"/>
        </w:trPr>
        <w:tc>
          <w:tcPr>
            <w:tcW w:w="40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Operating profit</w:t>
            </w:r>
          </w:p>
        </w:tc>
        <w:tc>
          <w:tcPr>
            <w:tcW w:w="38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278,781</w:t>
            </w: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income</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36,292</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Finance expenses</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(136,457)</w:t>
            </w:r>
          </w:p>
        </w:tc>
        <w:tc>
          <w:tcPr>
            <w:tcW w:w="0" w:type="dxa"/>
            <w:vAlign w:val="bottom"/>
          </w:tcPr>
          <w:p>
            <w:pPr>
              <w:spacing w:after="0"/>
              <w:rPr>
                <w:sz w:val="1"/>
                <w:szCs w:val="1"/>
                <w:color w:val="auto"/>
              </w:rPr>
            </w:pPr>
          </w:p>
        </w:tc>
      </w:tr>
      <w:tr>
        <w:trPr>
          <w:trHeight w:val="15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in the losses of equity accounted investees</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(3,904)</w:t>
            </w:r>
          </w:p>
        </w:tc>
        <w:tc>
          <w:tcPr>
            <w:tcW w:w="0" w:type="dxa"/>
            <w:vAlign w:val="bottom"/>
          </w:tcPr>
          <w:p>
            <w:pPr>
              <w:spacing w:after="0"/>
              <w:rPr>
                <w:sz w:val="1"/>
                <w:szCs w:val="1"/>
                <w:color w:val="auto"/>
              </w:rPr>
            </w:pPr>
          </w:p>
        </w:tc>
      </w:tr>
      <w:tr>
        <w:trPr>
          <w:trHeight w:val="151"/>
        </w:trPr>
        <w:tc>
          <w:tcPr>
            <w:tcW w:w="40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Profit before income taxes</w:t>
            </w:r>
          </w:p>
        </w:tc>
        <w:tc>
          <w:tcPr>
            <w:tcW w:w="38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174,712</w:t>
            </w: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388" w:hanging="388"/>
        <w:spacing w:after="0"/>
        <w:tabs>
          <w:tab w:leader="none" w:pos="388"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Including general and administrative and development expenses (excluding depreciation and amortization and share based compensation).</w:t>
      </w:r>
    </w:p>
    <w:p>
      <w:pPr>
        <w:spacing w:after="0" w:line="159" w:lineRule="exact"/>
        <w:rPr>
          <w:sz w:val="20"/>
          <w:szCs w:val="20"/>
          <w:color w:val="auto"/>
        </w:rPr>
      </w:pPr>
    </w:p>
    <w:p>
      <w:pPr>
        <w:ind w:left="348" w:right="120" w:hanging="348"/>
        <w:spacing w:after="0" w:line="344" w:lineRule="auto"/>
        <w:tabs>
          <w:tab w:leader="none" w:pos="358"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Due to the Company's organizational restructuring, the Chief Operation Decision Maker (CODM) now reviews the group’s results by segmenting them into three business units: MENA (Middle East and North Africa), Europe, and the US. Consequently, the Management and Construction segment has been excluded. The comparative figures for the nine-month and three-month periods ending September 30, 2024, have been updated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17804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20" w:name="page21"/>
    <w:bookmarkEnd w:id="20"/>
    <w:p>
      <w:pPr>
        <w:ind w:left="8"/>
        <w:spacing w:after="0"/>
        <w:rPr>
          <w:sz w:val="20"/>
          <w:szCs w:val="20"/>
          <w:color w:val="auto"/>
        </w:rPr>
      </w:pPr>
      <w:r>
        <w:rPr>
          <w:rFonts w:ascii="Times New Roman" w:cs="Times New Roman" w:eastAsia="Times New Roman" w:hAnsi="Times New Roman"/>
          <w:sz w:val="12"/>
          <w:szCs w:val="12"/>
          <w:b w:val="1"/>
          <w:bCs w:val="1"/>
          <w:color w:val="auto"/>
        </w:rPr>
        <w:t>Information related to Segmental Reporting</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3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80" w:type="dxa"/>
            <w:vAlign w:val="bottom"/>
            <w:gridSpan w:val="4"/>
          </w:tcPr>
          <w:p>
            <w:pPr>
              <w:jc w:val="right"/>
              <w:ind w:right="960"/>
              <w:spacing w:after="0"/>
              <w:rPr>
                <w:sz w:val="20"/>
                <w:szCs w:val="20"/>
                <w:color w:val="auto"/>
              </w:rPr>
            </w:pPr>
            <w:r>
              <w:rPr>
                <w:rFonts w:ascii="Times New Roman" w:cs="Times New Roman" w:eastAsia="Times New Roman" w:hAnsi="Times New Roman"/>
                <w:sz w:val="12"/>
                <w:szCs w:val="12"/>
                <w:b w:val="1"/>
                <w:bCs w:val="1"/>
                <w:color w:val="auto"/>
              </w:rPr>
              <w:t>For the nine months</w:t>
            </w: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4"/>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ended September 30, 2024</w:t>
            </w:r>
          </w:p>
        </w:tc>
        <w:tc>
          <w:tcPr>
            <w:tcW w:w="1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280" w:type="dxa"/>
            <w:vAlign w:val="bottom"/>
          </w:tcPr>
          <w:p>
            <w:pPr>
              <w:spacing w:after="0"/>
              <w:rPr>
                <w:sz w:val="11"/>
                <w:szCs w:val="11"/>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2"/>
                <w:szCs w:val="12"/>
                <w:b w:val="1"/>
                <w:bCs w:val="1"/>
                <w:color w:val="auto"/>
                <w:w w:val="98"/>
              </w:rPr>
              <w:t>MENA</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vMerge w:val="restart"/>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Europe</w:t>
            </w:r>
          </w:p>
        </w:tc>
        <w:tc>
          <w:tcPr>
            <w:tcW w:w="240" w:type="dxa"/>
            <w:vAlign w:val="bottom"/>
            <w:vMerge w:val="restart"/>
          </w:tcPr>
          <w:p>
            <w:pPr>
              <w:spacing w:after="0"/>
              <w:rPr>
                <w:sz w:val="11"/>
                <w:szCs w:val="11"/>
                <w:color w:val="auto"/>
              </w:rPr>
            </w:pPr>
          </w:p>
        </w:tc>
        <w:tc>
          <w:tcPr>
            <w:tcW w:w="1120" w:type="dxa"/>
            <w:vAlign w:val="bottom"/>
            <w:vMerge w:val="restart"/>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USA</w:t>
            </w:r>
          </w:p>
        </w:tc>
        <w:tc>
          <w:tcPr>
            <w:tcW w:w="220" w:type="dxa"/>
            <w:vAlign w:val="bottom"/>
            <w:vMerge w:val="restart"/>
          </w:tcPr>
          <w:p>
            <w:pPr>
              <w:spacing w:after="0"/>
              <w:rPr>
                <w:sz w:val="11"/>
                <w:szCs w:val="11"/>
                <w:color w:val="auto"/>
              </w:rPr>
            </w:pPr>
          </w:p>
        </w:tc>
        <w:tc>
          <w:tcPr>
            <w:tcW w:w="1340" w:type="dxa"/>
            <w:vAlign w:val="bottom"/>
            <w:gridSpan w:val="2"/>
          </w:tcPr>
          <w:p>
            <w:pPr>
              <w:jc w:val="right"/>
              <w:ind w:right="360"/>
              <w:spacing w:after="0" w:line="136" w:lineRule="exact"/>
              <w:rPr>
                <w:sz w:val="20"/>
                <w:szCs w:val="20"/>
                <w:color w:val="auto"/>
              </w:rPr>
            </w:pPr>
            <w:r>
              <w:rPr>
                <w:rFonts w:ascii="Times New Roman" w:cs="Times New Roman" w:eastAsia="Times New Roman" w:hAnsi="Times New Roman"/>
                <w:sz w:val="12"/>
                <w:szCs w:val="12"/>
                <w:b w:val="1"/>
                <w:bCs w:val="1"/>
                <w:color w:val="auto"/>
              </w:rPr>
              <w:t>Total reportable</w:t>
            </w:r>
          </w:p>
        </w:tc>
        <w:tc>
          <w:tcPr>
            <w:tcW w:w="1120" w:type="dxa"/>
            <w:vAlign w:val="bottom"/>
            <w:vMerge w:val="restart"/>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Others</w:t>
            </w:r>
          </w:p>
        </w:tc>
        <w:tc>
          <w:tcPr>
            <w:tcW w:w="220" w:type="dxa"/>
            <w:vAlign w:val="bottom"/>
            <w:vMerge w:val="restart"/>
          </w:tcPr>
          <w:p>
            <w:pPr>
              <w:spacing w:after="0"/>
              <w:rPr>
                <w:sz w:val="11"/>
                <w:szCs w:val="11"/>
                <w:color w:val="auto"/>
              </w:rPr>
            </w:pPr>
          </w:p>
        </w:tc>
        <w:tc>
          <w:tcPr>
            <w:tcW w:w="1120" w:type="dxa"/>
            <w:vAlign w:val="bottom"/>
            <w:vMerge w:val="restart"/>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80" w:type="dxa"/>
            <w:vAlign w:val="bottom"/>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segments</w:t>
            </w:r>
          </w:p>
        </w:tc>
        <w:tc>
          <w:tcPr>
            <w:tcW w:w="220" w:type="dxa"/>
            <w:vAlign w:val="bottom"/>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USD in</w:t>
            </w:r>
          </w:p>
        </w:tc>
        <w:tc>
          <w:tcPr>
            <w:tcW w:w="134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Revenues</w:t>
            </w:r>
          </w:p>
        </w:tc>
        <w:tc>
          <w:tcPr>
            <w:tcW w:w="7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2"/>
              </w:rPr>
              <w:t>121,607</w:t>
            </w:r>
          </w:p>
        </w:tc>
        <w:tc>
          <w:tcPr>
            <w:tcW w:w="24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147,164</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8,611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277,382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7,208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284,590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Tax benefits</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10,102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10,102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10,102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revenues and income</w:t>
            </w:r>
          </w:p>
        </w:tc>
        <w:tc>
          <w:tcPr>
            <w:tcW w:w="760" w:type="dxa"/>
            <w:vAlign w:val="bottom"/>
            <w:tcBorders>
              <w:top w:val="single" w:sz="8" w:color="auto"/>
              <w:bottom w:val="single" w:sz="8" w:color="auto"/>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2"/>
              </w:rPr>
              <w:t>121,607</w:t>
            </w: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147,164</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18,713</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287,484</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7,208</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294,692</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4040" w:type="dxa"/>
            <w:vAlign w:val="bottom"/>
            <w:gridSpan w:val="2"/>
          </w:tcPr>
          <w:p>
            <w:pPr>
              <w:spacing w:after="0"/>
              <w:rPr>
                <w:sz w:val="10"/>
                <w:szCs w:val="10"/>
                <w:color w:val="auto"/>
              </w:rPr>
            </w:pPr>
          </w:p>
        </w:tc>
        <w:tc>
          <w:tcPr>
            <w:tcW w:w="620" w:type="dxa"/>
            <w:vAlign w:val="bottom"/>
            <w:gridSpan w:val="2"/>
          </w:tcPr>
          <w:p>
            <w:pPr>
              <w:spacing w:after="0"/>
              <w:rPr>
                <w:sz w:val="10"/>
                <w:szCs w:val="10"/>
                <w:color w:val="auto"/>
              </w:rPr>
            </w:pPr>
          </w:p>
        </w:tc>
        <w:tc>
          <w:tcPr>
            <w:tcW w:w="138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Segment adjusted EBITDA</w:t>
            </w:r>
          </w:p>
        </w:tc>
        <w:tc>
          <w:tcPr>
            <w:tcW w:w="7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99,659</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129,386</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15,965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245,010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3,858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248,868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280" w:type="dxa"/>
            <w:vAlign w:val="bottom"/>
            <w:tcBorders>
              <w:top w:val="single" w:sz="8" w:color="CCEEFF"/>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Reconciliations of unallocated amounts:</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Headquarter costs (*)</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(25,108)</w:t>
            </w:r>
          </w:p>
        </w:tc>
        <w:tc>
          <w:tcPr>
            <w:tcW w:w="0" w:type="dxa"/>
            <w:vAlign w:val="bottom"/>
          </w:tcPr>
          <w:p>
            <w:pPr>
              <w:spacing w:after="0"/>
              <w:rPr>
                <w:sz w:val="1"/>
                <w:szCs w:val="1"/>
                <w:color w:val="auto"/>
              </w:rPr>
            </w:pPr>
          </w:p>
        </w:tc>
      </w:tr>
      <w:tr>
        <w:trPr>
          <w:trHeight w:val="15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Intersegment profit</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112</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Depreciation and amortization and share-based compensation</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(84,004)</w:t>
            </w:r>
          </w:p>
        </w:tc>
        <w:tc>
          <w:tcPr>
            <w:tcW w:w="0" w:type="dxa"/>
            <w:vAlign w:val="bottom"/>
          </w:tcPr>
          <w:p>
            <w:pPr>
              <w:spacing w:after="0"/>
              <w:rPr>
                <w:sz w:val="1"/>
                <w:szCs w:val="1"/>
                <w:color w:val="auto"/>
              </w:rPr>
            </w:pPr>
          </w:p>
        </w:tc>
      </w:tr>
      <w:tr>
        <w:trPr>
          <w:trHeight w:val="153"/>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incomes not attributed to segments</w:t>
            </w:r>
          </w:p>
        </w:tc>
        <w:tc>
          <w:tcPr>
            <w:tcW w:w="3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3,693</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0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Operating profit</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143,561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income</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18,299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Finance expenses</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(85,836)</w:t>
            </w:r>
          </w:p>
        </w:tc>
        <w:tc>
          <w:tcPr>
            <w:tcW w:w="0" w:type="dxa"/>
            <w:vAlign w:val="bottom"/>
          </w:tcPr>
          <w:p>
            <w:pPr>
              <w:spacing w:after="0"/>
              <w:rPr>
                <w:sz w:val="1"/>
                <w:szCs w:val="1"/>
                <w:color w:val="auto"/>
              </w:rPr>
            </w:pPr>
          </w:p>
        </w:tc>
      </w:tr>
      <w:tr>
        <w:trPr>
          <w:trHeight w:val="15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in the losses of equity accounted investees</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(1,737)</w:t>
            </w:r>
          </w:p>
        </w:tc>
        <w:tc>
          <w:tcPr>
            <w:tcW w:w="0" w:type="dxa"/>
            <w:vAlign w:val="bottom"/>
          </w:tcPr>
          <w:p>
            <w:pPr>
              <w:spacing w:after="0"/>
              <w:rPr>
                <w:sz w:val="1"/>
                <w:szCs w:val="1"/>
                <w:color w:val="auto"/>
              </w:rPr>
            </w:pPr>
          </w:p>
        </w:tc>
      </w:tr>
      <w:tr>
        <w:trPr>
          <w:trHeight w:val="151"/>
        </w:trPr>
        <w:tc>
          <w:tcPr>
            <w:tcW w:w="40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Profit before income taxes</w:t>
            </w:r>
          </w:p>
        </w:tc>
        <w:tc>
          <w:tcPr>
            <w:tcW w:w="38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74,287</w:t>
            </w: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448" w:hanging="448"/>
        <w:spacing w:after="0"/>
        <w:tabs>
          <w:tab w:leader="none" w:pos="448"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Including general and administrative and development expenses (excluding depreciation and amortization and share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717804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21" w:name="page22"/>
    <w:bookmarkEnd w:id="21"/>
    <w:p>
      <w:pPr>
        <w:ind w:left="8"/>
        <w:spacing w:after="0"/>
        <w:rPr>
          <w:sz w:val="20"/>
          <w:szCs w:val="20"/>
          <w:color w:val="auto"/>
        </w:rPr>
      </w:pPr>
      <w:r>
        <w:rPr>
          <w:rFonts w:ascii="Times New Roman" w:cs="Times New Roman" w:eastAsia="Times New Roman" w:hAnsi="Times New Roman"/>
          <w:sz w:val="12"/>
          <w:szCs w:val="12"/>
          <w:b w:val="1"/>
          <w:bCs w:val="1"/>
          <w:color w:val="auto"/>
        </w:rPr>
        <w:t>Information related to Segmental Reporting</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3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60" w:type="dxa"/>
            <w:vAlign w:val="bottom"/>
            <w:gridSpan w:val="4"/>
          </w:tcPr>
          <w:p>
            <w:pPr>
              <w:jc w:val="center"/>
              <w:ind w:left="340"/>
              <w:spacing w:after="0"/>
              <w:rPr>
                <w:sz w:val="20"/>
                <w:szCs w:val="20"/>
                <w:color w:val="auto"/>
              </w:rPr>
            </w:pPr>
            <w:r>
              <w:rPr>
                <w:rFonts w:ascii="Times New Roman" w:cs="Times New Roman" w:eastAsia="Times New Roman" w:hAnsi="Times New Roman"/>
                <w:sz w:val="12"/>
                <w:szCs w:val="12"/>
                <w:b w:val="1"/>
                <w:bCs w:val="1"/>
                <w:color w:val="auto"/>
                <w:w w:val="99"/>
              </w:rPr>
              <w:t>For the three months</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9"/>
        </w:trPr>
        <w:tc>
          <w:tcPr>
            <w:tcW w:w="32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4"/>
          </w:tcPr>
          <w:p>
            <w:pPr>
              <w:jc w:val="center"/>
              <w:ind w:left="360"/>
              <w:spacing w:after="0"/>
              <w:rPr>
                <w:sz w:val="20"/>
                <w:szCs w:val="20"/>
                <w:color w:val="auto"/>
              </w:rPr>
            </w:pPr>
            <w:r>
              <w:rPr>
                <w:rFonts w:ascii="Times New Roman" w:cs="Times New Roman" w:eastAsia="Times New Roman" w:hAnsi="Times New Roman"/>
                <w:sz w:val="12"/>
                <w:szCs w:val="12"/>
                <w:b w:val="1"/>
                <w:bCs w:val="1"/>
                <w:color w:val="auto"/>
                <w:w w:val="99"/>
              </w:rPr>
              <w:t>ended September 30, 2025</w:t>
            </w: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7"/>
        </w:trPr>
        <w:tc>
          <w:tcPr>
            <w:tcW w:w="3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40"/>
              <w:spacing w:after="0" w:line="128" w:lineRule="exact"/>
              <w:rPr>
                <w:sz w:val="20"/>
                <w:szCs w:val="20"/>
                <w:color w:val="auto"/>
              </w:rPr>
            </w:pPr>
            <w:r>
              <w:rPr>
                <w:rFonts w:ascii="Times New Roman" w:cs="Times New Roman" w:eastAsia="Times New Roman" w:hAnsi="Times New Roman"/>
                <w:sz w:val="12"/>
                <w:szCs w:val="12"/>
                <w:b w:val="1"/>
                <w:bCs w:val="1"/>
                <w:color w:val="auto"/>
                <w:w w:val="99"/>
              </w:rPr>
              <w:t>USA</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3"/>
          </w:tcPr>
          <w:p>
            <w:pPr>
              <w:jc w:val="right"/>
              <w:ind w:right="360"/>
              <w:spacing w:after="0" w:line="128" w:lineRule="exact"/>
              <w:rPr>
                <w:sz w:val="20"/>
                <w:szCs w:val="20"/>
                <w:color w:val="auto"/>
              </w:rPr>
            </w:pPr>
            <w:r>
              <w:rPr>
                <w:rFonts w:ascii="Times New Roman" w:cs="Times New Roman" w:eastAsia="Times New Roman" w:hAnsi="Times New Roman"/>
                <w:sz w:val="12"/>
                <w:szCs w:val="12"/>
                <w:b w:val="1"/>
                <w:bCs w:val="1"/>
                <w:color w:val="auto"/>
              </w:rPr>
              <w:t>Total reportable</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8"/>
        </w:trPr>
        <w:tc>
          <w:tcPr>
            <w:tcW w:w="3280" w:type="dxa"/>
            <w:vAlign w:val="bottom"/>
          </w:tcPr>
          <w:p>
            <w:pPr>
              <w:spacing w:after="0"/>
              <w:rPr>
                <w:sz w:val="14"/>
                <w:szCs w:val="14"/>
                <w:color w:val="auto"/>
              </w:rPr>
            </w:pPr>
          </w:p>
        </w:tc>
        <w:tc>
          <w:tcPr>
            <w:tcW w:w="7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2"/>
                <w:szCs w:val="12"/>
                <w:b w:val="1"/>
                <w:bCs w:val="1"/>
                <w:color w:val="auto"/>
              </w:rPr>
              <w:t>MENA</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Europe</w:t>
            </w:r>
          </w:p>
        </w:tc>
        <w:tc>
          <w:tcPr>
            <w:tcW w:w="2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segments</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Others</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Pr>
          <w:p>
            <w:pPr>
              <w:spacing w:after="0"/>
              <w:rPr>
                <w:sz w:val="14"/>
                <w:szCs w:val="14"/>
                <w:color w:val="auto"/>
              </w:rPr>
            </w:pPr>
          </w:p>
        </w:tc>
      </w:tr>
      <w:tr>
        <w:trPr>
          <w:trHeight w:val="151"/>
        </w:trPr>
        <w:tc>
          <w:tcPr>
            <w:tcW w:w="32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USD in</w:t>
            </w:r>
          </w:p>
        </w:tc>
        <w:tc>
          <w:tcPr>
            <w:tcW w:w="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thousands</w:t>
            </w: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Revenues</w:t>
            </w:r>
          </w:p>
        </w:tc>
        <w:tc>
          <w:tcPr>
            <w:tcW w:w="7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77,543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45,319</w:t>
            </w:r>
          </w:p>
        </w:tc>
        <w:tc>
          <w:tcPr>
            <w:tcW w:w="7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15,448</w:t>
            </w:r>
          </w:p>
        </w:tc>
        <w:tc>
          <w:tcPr>
            <w:tcW w:w="6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138,310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226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138,536</w:t>
            </w:r>
          </w:p>
        </w:tc>
        <w:tc>
          <w:tcPr>
            <w:tcW w:w="120" w:type="dxa"/>
            <w:vAlign w:val="bottom"/>
            <w:shd w:val="clear" w:color="auto" w:fill="CCEEFF"/>
          </w:tcPr>
          <w:p>
            <w:pPr>
              <w:spacing w:after="0"/>
              <w:rPr>
                <w:sz w:val="13"/>
                <w:szCs w:val="13"/>
                <w:color w:val="auto"/>
              </w:rPr>
            </w:pPr>
          </w:p>
        </w:tc>
      </w:tr>
      <w:tr>
        <w:trPr>
          <w:trHeight w:val="153"/>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Tax benefits</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26,521</w:t>
            </w:r>
          </w:p>
        </w:tc>
        <w:tc>
          <w:tcPr>
            <w:tcW w:w="62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26,521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26,521</w:t>
            </w:r>
          </w:p>
        </w:tc>
        <w:tc>
          <w:tcPr>
            <w:tcW w:w="120" w:type="dxa"/>
            <w:vAlign w:val="bottom"/>
          </w:tcPr>
          <w:p>
            <w:pPr>
              <w:spacing w:after="0"/>
              <w:rPr>
                <w:sz w:val="13"/>
                <w:szCs w:val="13"/>
                <w:color w:val="auto"/>
              </w:rPr>
            </w:pPr>
          </w:p>
        </w:tc>
      </w:tr>
      <w:tr>
        <w:trPr>
          <w:trHeight w:val="191"/>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revenues and income</w:t>
            </w:r>
          </w:p>
        </w:tc>
        <w:tc>
          <w:tcPr>
            <w:tcW w:w="780" w:type="dxa"/>
            <w:vAlign w:val="bottom"/>
            <w:tcBorders>
              <w:top w:val="single" w:sz="8" w:color="auto"/>
              <w:bottom w:val="single" w:sz="8" w:color="auto"/>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77,543</w:t>
            </w: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45,319</w:t>
            </w:r>
          </w:p>
        </w:tc>
        <w:tc>
          <w:tcPr>
            <w:tcW w:w="2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41,969</w:t>
            </w:r>
          </w:p>
        </w:tc>
        <w:tc>
          <w:tcPr>
            <w:tcW w:w="2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164,831</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226</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165,057</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20"/>
        </w:trPr>
        <w:tc>
          <w:tcPr>
            <w:tcW w:w="4060" w:type="dxa"/>
            <w:vAlign w:val="bottom"/>
            <w:gridSpan w:val="2"/>
          </w:tcPr>
          <w:p>
            <w:pPr>
              <w:spacing w:after="0"/>
              <w:rPr>
                <w:sz w:val="10"/>
                <w:szCs w:val="10"/>
                <w:color w:val="auto"/>
              </w:rPr>
            </w:pPr>
          </w:p>
        </w:tc>
        <w:tc>
          <w:tcPr>
            <w:tcW w:w="600" w:type="dxa"/>
            <w:vAlign w:val="bottom"/>
            <w:gridSpan w:val="2"/>
          </w:tcPr>
          <w:p>
            <w:pPr>
              <w:spacing w:after="0"/>
              <w:rPr>
                <w:sz w:val="10"/>
                <w:szCs w:val="10"/>
                <w:color w:val="auto"/>
              </w:rPr>
            </w:pPr>
          </w:p>
        </w:tc>
        <w:tc>
          <w:tcPr>
            <w:tcW w:w="1380" w:type="dxa"/>
            <w:vAlign w:val="bottom"/>
            <w:gridSpan w:val="2"/>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9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Segment adjusted EBITDA</w:t>
            </w:r>
          </w:p>
        </w:tc>
        <w:tc>
          <w:tcPr>
            <w:tcW w:w="7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53,271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35,203</w:t>
            </w:r>
          </w:p>
        </w:tc>
        <w:tc>
          <w:tcPr>
            <w:tcW w:w="7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38,258</w:t>
            </w:r>
          </w:p>
        </w:tc>
        <w:tc>
          <w:tcPr>
            <w:tcW w:w="6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126,732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126,745</w:t>
            </w:r>
          </w:p>
        </w:tc>
        <w:tc>
          <w:tcPr>
            <w:tcW w:w="120" w:type="dxa"/>
            <w:vAlign w:val="bottom"/>
            <w:shd w:val="clear" w:color="auto" w:fill="CCEEFF"/>
          </w:tcPr>
          <w:p>
            <w:pPr>
              <w:spacing w:after="0"/>
              <w:rPr>
                <w:sz w:val="16"/>
                <w:szCs w:val="16"/>
                <w:color w:val="auto"/>
              </w:rPr>
            </w:pPr>
          </w:p>
        </w:tc>
      </w:tr>
      <w:tr>
        <w:trPr>
          <w:trHeight w:val="120"/>
        </w:trPr>
        <w:tc>
          <w:tcPr>
            <w:tcW w:w="3280" w:type="dxa"/>
            <w:vAlign w:val="bottom"/>
            <w:tcBorders>
              <w:top w:val="single" w:sz="8" w:color="CCEEFF"/>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5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Reconciliations of unallocated amounts:</w:t>
            </w: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Headquarter costs (*)</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(14,818)</w:t>
            </w:r>
          </w:p>
        </w:tc>
      </w:tr>
      <w:tr>
        <w:trPr>
          <w:trHeight w:val="15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Intersegment profit</w:t>
            </w: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45</w:t>
            </w:r>
          </w:p>
        </w:tc>
        <w:tc>
          <w:tcPr>
            <w:tcW w:w="120" w:type="dxa"/>
            <w:vAlign w:val="bottom"/>
            <w:shd w:val="clear" w:color="auto" w:fill="CCEEFF"/>
          </w:tcPr>
          <w:p>
            <w:pPr>
              <w:spacing w:after="0"/>
              <w:rPr>
                <w:sz w:val="13"/>
                <w:szCs w:val="13"/>
                <w:color w:val="auto"/>
              </w:rPr>
            </w:pPr>
          </w:p>
        </w:tc>
      </w:tr>
      <w:tr>
        <w:trPr>
          <w:trHeight w:val="153"/>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Losses from projects disposals</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(739)</w:t>
            </w:r>
          </w:p>
        </w:tc>
      </w:tr>
      <w:tr>
        <w:trPr>
          <w:trHeight w:val="15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 and share-based compensation</w:t>
            </w: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(41,195)</w:t>
            </w:r>
          </w:p>
        </w:tc>
      </w:tr>
      <w:tr>
        <w:trPr>
          <w:trHeight w:val="151"/>
        </w:trPr>
        <w:tc>
          <w:tcPr>
            <w:tcW w:w="40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Operating profit</w:t>
            </w:r>
          </w:p>
        </w:tc>
        <w:tc>
          <w:tcPr>
            <w:tcW w:w="36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6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70,038</w:t>
            </w:r>
          </w:p>
        </w:tc>
        <w:tc>
          <w:tcPr>
            <w:tcW w:w="120" w:type="dxa"/>
            <w:vAlign w:val="bottom"/>
            <w:tcBorders>
              <w:top w:val="single" w:sz="8" w:color="CCEEFF"/>
            </w:tcBorders>
          </w:tcPr>
          <w:p>
            <w:pPr>
              <w:spacing w:after="0"/>
              <w:rPr>
                <w:sz w:val="13"/>
                <w:szCs w:val="13"/>
                <w:color w:val="auto"/>
              </w:rPr>
            </w:pPr>
          </w:p>
        </w:tc>
      </w:tr>
      <w:tr>
        <w:trPr>
          <w:trHeight w:val="151"/>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income</w:t>
            </w: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28,126</w:t>
            </w:r>
          </w:p>
        </w:tc>
        <w:tc>
          <w:tcPr>
            <w:tcW w:w="120" w:type="dxa"/>
            <w:vAlign w:val="bottom"/>
            <w:shd w:val="clear" w:color="auto" w:fill="CCEEFF"/>
          </w:tcPr>
          <w:p>
            <w:pPr>
              <w:spacing w:after="0"/>
              <w:rPr>
                <w:sz w:val="13"/>
                <w:szCs w:val="13"/>
                <w:color w:val="auto"/>
              </w:rPr>
            </w:pPr>
          </w:p>
        </w:tc>
      </w:tr>
      <w:tr>
        <w:trPr>
          <w:trHeight w:val="153"/>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Finance expenses</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(54,171)</w:t>
            </w:r>
          </w:p>
        </w:tc>
      </w:tr>
      <w:tr>
        <w:trPr>
          <w:trHeight w:val="15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in the losses of equity accounted investees</w:t>
            </w: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(2,259)</w:t>
            </w:r>
          </w:p>
        </w:tc>
      </w:tr>
      <w:tr>
        <w:trPr>
          <w:trHeight w:val="151"/>
        </w:trPr>
        <w:tc>
          <w:tcPr>
            <w:tcW w:w="40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Profit before income taxes</w:t>
            </w:r>
          </w:p>
        </w:tc>
        <w:tc>
          <w:tcPr>
            <w:tcW w:w="36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6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41,734</w:t>
            </w:r>
          </w:p>
        </w:tc>
        <w:tc>
          <w:tcPr>
            <w:tcW w:w="120" w:type="dxa"/>
            <w:vAlign w:val="bottom"/>
            <w:tcBorders>
              <w:top w:val="single" w:sz="8" w:color="CCEEFF"/>
            </w:tcBorders>
          </w:tcPr>
          <w:p>
            <w:pPr>
              <w:spacing w:after="0"/>
              <w:rPr>
                <w:sz w:val="13"/>
                <w:szCs w:val="13"/>
                <w:color w:val="auto"/>
              </w:rPr>
            </w:pPr>
          </w:p>
        </w:tc>
      </w:tr>
      <w:tr>
        <w:trPr>
          <w:trHeight w:val="20"/>
        </w:trPr>
        <w:tc>
          <w:tcPr>
            <w:tcW w:w="3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2" w:lineRule="exact"/>
        <w:rPr>
          <w:sz w:val="20"/>
          <w:szCs w:val="20"/>
          <w:color w:val="auto"/>
        </w:rPr>
      </w:pPr>
    </w:p>
    <w:p>
      <w:pPr>
        <w:ind w:left="448" w:hanging="448"/>
        <w:spacing w:after="0"/>
        <w:tabs>
          <w:tab w:leader="none" w:pos="448"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Including general and administrative and development expenses (excluding depreciation and amortization and share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717804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22" w:name="page23"/>
    <w:bookmarkEnd w:id="22"/>
    <w:p>
      <w:pPr>
        <w:ind w:left="8"/>
        <w:spacing w:after="0"/>
        <w:rPr>
          <w:sz w:val="20"/>
          <w:szCs w:val="20"/>
          <w:color w:val="auto"/>
        </w:rPr>
      </w:pPr>
      <w:r>
        <w:rPr>
          <w:rFonts w:ascii="Times New Roman" w:cs="Times New Roman" w:eastAsia="Times New Roman" w:hAnsi="Times New Roman"/>
          <w:sz w:val="12"/>
          <w:szCs w:val="12"/>
          <w:b w:val="1"/>
          <w:bCs w:val="1"/>
          <w:color w:val="auto"/>
        </w:rPr>
        <w:t>Information related to Segmental Reporting</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3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60" w:type="dxa"/>
            <w:vAlign w:val="bottom"/>
            <w:gridSpan w:val="4"/>
          </w:tcPr>
          <w:p>
            <w:pPr>
              <w:jc w:val="center"/>
              <w:ind w:left="380"/>
              <w:spacing w:after="0"/>
              <w:rPr>
                <w:sz w:val="20"/>
                <w:szCs w:val="20"/>
                <w:color w:val="auto"/>
              </w:rPr>
            </w:pPr>
            <w:r>
              <w:rPr>
                <w:rFonts w:ascii="Times New Roman" w:cs="Times New Roman" w:eastAsia="Times New Roman" w:hAnsi="Times New Roman"/>
                <w:sz w:val="12"/>
                <w:szCs w:val="12"/>
                <w:b w:val="1"/>
                <w:bCs w:val="1"/>
                <w:color w:val="auto"/>
                <w:w w:val="99"/>
              </w:rPr>
              <w:t>For the three months</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9"/>
        </w:trPr>
        <w:tc>
          <w:tcPr>
            <w:tcW w:w="32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4"/>
          </w:tcPr>
          <w:p>
            <w:pPr>
              <w:jc w:val="center"/>
              <w:ind w:left="360"/>
              <w:spacing w:after="0"/>
              <w:rPr>
                <w:sz w:val="20"/>
                <w:szCs w:val="20"/>
                <w:color w:val="auto"/>
              </w:rPr>
            </w:pPr>
            <w:r>
              <w:rPr>
                <w:rFonts w:ascii="Times New Roman" w:cs="Times New Roman" w:eastAsia="Times New Roman" w:hAnsi="Times New Roman"/>
                <w:sz w:val="12"/>
                <w:szCs w:val="12"/>
                <w:b w:val="1"/>
                <w:bCs w:val="1"/>
                <w:color w:val="auto"/>
                <w:w w:val="99"/>
              </w:rPr>
              <w:t>ended September 30, 2024</w:t>
            </w: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7"/>
        </w:trPr>
        <w:tc>
          <w:tcPr>
            <w:tcW w:w="3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40"/>
              <w:spacing w:after="0" w:line="128" w:lineRule="exact"/>
              <w:rPr>
                <w:sz w:val="20"/>
                <w:szCs w:val="20"/>
                <w:color w:val="auto"/>
              </w:rPr>
            </w:pPr>
            <w:r>
              <w:rPr>
                <w:rFonts w:ascii="Times New Roman" w:cs="Times New Roman" w:eastAsia="Times New Roman" w:hAnsi="Times New Roman"/>
                <w:sz w:val="12"/>
                <w:szCs w:val="12"/>
                <w:b w:val="1"/>
                <w:bCs w:val="1"/>
                <w:color w:val="auto"/>
                <w:w w:val="99"/>
              </w:rPr>
              <w:t>USA</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3"/>
          </w:tcPr>
          <w:p>
            <w:pPr>
              <w:jc w:val="right"/>
              <w:ind w:right="360"/>
              <w:spacing w:after="0" w:line="128" w:lineRule="exact"/>
              <w:rPr>
                <w:sz w:val="20"/>
                <w:szCs w:val="20"/>
                <w:color w:val="auto"/>
              </w:rPr>
            </w:pPr>
            <w:r>
              <w:rPr>
                <w:rFonts w:ascii="Times New Roman" w:cs="Times New Roman" w:eastAsia="Times New Roman" w:hAnsi="Times New Roman"/>
                <w:sz w:val="12"/>
                <w:szCs w:val="12"/>
                <w:b w:val="1"/>
                <w:bCs w:val="1"/>
                <w:color w:val="auto"/>
              </w:rPr>
              <w:t>Total reportable</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8"/>
        </w:trPr>
        <w:tc>
          <w:tcPr>
            <w:tcW w:w="3280" w:type="dxa"/>
            <w:vAlign w:val="bottom"/>
          </w:tcPr>
          <w:p>
            <w:pPr>
              <w:spacing w:after="0"/>
              <w:rPr>
                <w:sz w:val="14"/>
                <w:szCs w:val="14"/>
                <w:color w:val="auto"/>
              </w:rPr>
            </w:pPr>
          </w:p>
        </w:tc>
        <w:tc>
          <w:tcPr>
            <w:tcW w:w="7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2"/>
                <w:szCs w:val="12"/>
                <w:b w:val="1"/>
                <w:bCs w:val="1"/>
                <w:color w:val="auto"/>
              </w:rPr>
              <w:t>MENA</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Europe</w:t>
            </w:r>
          </w:p>
        </w:tc>
        <w:tc>
          <w:tcPr>
            <w:tcW w:w="2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segments</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Others</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Pr>
          <w:p>
            <w:pPr>
              <w:spacing w:after="0"/>
              <w:rPr>
                <w:sz w:val="14"/>
                <w:szCs w:val="14"/>
                <w:color w:val="auto"/>
              </w:rPr>
            </w:pPr>
          </w:p>
        </w:tc>
      </w:tr>
      <w:tr>
        <w:trPr>
          <w:trHeight w:val="151"/>
        </w:trPr>
        <w:tc>
          <w:tcPr>
            <w:tcW w:w="32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USD in</w:t>
            </w:r>
          </w:p>
        </w:tc>
        <w:tc>
          <w:tcPr>
            <w:tcW w:w="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thousands</w:t>
            </w: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Revenues</w:t>
            </w:r>
          </w:p>
        </w:tc>
        <w:tc>
          <w:tcPr>
            <w:tcW w:w="7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55,566</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46,041</w:t>
            </w:r>
          </w:p>
        </w:tc>
        <w:tc>
          <w:tcPr>
            <w:tcW w:w="7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5,180</w:t>
            </w:r>
          </w:p>
        </w:tc>
        <w:tc>
          <w:tcPr>
            <w:tcW w:w="6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106,787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2,708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109,495</w:t>
            </w:r>
          </w:p>
        </w:tc>
        <w:tc>
          <w:tcPr>
            <w:tcW w:w="120" w:type="dxa"/>
            <w:vAlign w:val="bottom"/>
            <w:shd w:val="clear" w:color="auto" w:fill="CCEEFF"/>
          </w:tcPr>
          <w:p>
            <w:pPr>
              <w:spacing w:after="0"/>
              <w:rPr>
                <w:sz w:val="13"/>
                <w:szCs w:val="13"/>
                <w:color w:val="auto"/>
              </w:rPr>
            </w:pPr>
          </w:p>
        </w:tc>
      </w:tr>
      <w:tr>
        <w:trPr>
          <w:trHeight w:val="153"/>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Tax benefits</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3,576</w:t>
            </w:r>
          </w:p>
        </w:tc>
        <w:tc>
          <w:tcPr>
            <w:tcW w:w="62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3,576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3,576</w:t>
            </w:r>
          </w:p>
        </w:tc>
        <w:tc>
          <w:tcPr>
            <w:tcW w:w="120" w:type="dxa"/>
            <w:vAlign w:val="bottom"/>
          </w:tcPr>
          <w:p>
            <w:pPr>
              <w:spacing w:after="0"/>
              <w:rPr>
                <w:sz w:val="13"/>
                <w:szCs w:val="13"/>
                <w:color w:val="auto"/>
              </w:rPr>
            </w:pPr>
          </w:p>
        </w:tc>
      </w:tr>
      <w:tr>
        <w:trPr>
          <w:trHeight w:val="191"/>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revenues and income</w:t>
            </w:r>
          </w:p>
        </w:tc>
        <w:tc>
          <w:tcPr>
            <w:tcW w:w="780" w:type="dxa"/>
            <w:vAlign w:val="bottom"/>
            <w:tcBorders>
              <w:top w:val="single" w:sz="8" w:color="auto"/>
              <w:bottom w:val="single" w:sz="8" w:color="auto"/>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55,566</w:t>
            </w: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46,041</w:t>
            </w:r>
          </w:p>
        </w:tc>
        <w:tc>
          <w:tcPr>
            <w:tcW w:w="2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8,756</w:t>
            </w:r>
          </w:p>
        </w:tc>
        <w:tc>
          <w:tcPr>
            <w:tcW w:w="2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110,363</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2,708</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113,071</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20"/>
        </w:trPr>
        <w:tc>
          <w:tcPr>
            <w:tcW w:w="4060" w:type="dxa"/>
            <w:vAlign w:val="bottom"/>
            <w:gridSpan w:val="2"/>
          </w:tcPr>
          <w:p>
            <w:pPr>
              <w:spacing w:after="0"/>
              <w:rPr>
                <w:sz w:val="10"/>
                <w:szCs w:val="10"/>
                <w:color w:val="auto"/>
              </w:rPr>
            </w:pPr>
          </w:p>
        </w:tc>
        <w:tc>
          <w:tcPr>
            <w:tcW w:w="600" w:type="dxa"/>
            <w:vAlign w:val="bottom"/>
            <w:gridSpan w:val="2"/>
          </w:tcPr>
          <w:p>
            <w:pPr>
              <w:spacing w:after="0"/>
              <w:rPr>
                <w:sz w:val="10"/>
                <w:szCs w:val="10"/>
                <w:color w:val="auto"/>
              </w:rPr>
            </w:pPr>
          </w:p>
        </w:tc>
        <w:tc>
          <w:tcPr>
            <w:tcW w:w="1380" w:type="dxa"/>
            <w:vAlign w:val="bottom"/>
            <w:gridSpan w:val="2"/>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9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Segment adjusted EBITDA</w:t>
            </w:r>
          </w:p>
        </w:tc>
        <w:tc>
          <w:tcPr>
            <w:tcW w:w="7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44,786</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46,133</w:t>
            </w:r>
          </w:p>
        </w:tc>
        <w:tc>
          <w:tcPr>
            <w:tcW w:w="7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8,134</w:t>
            </w:r>
          </w:p>
        </w:tc>
        <w:tc>
          <w:tcPr>
            <w:tcW w:w="6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99,053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1,567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100,620</w:t>
            </w:r>
          </w:p>
        </w:tc>
        <w:tc>
          <w:tcPr>
            <w:tcW w:w="120" w:type="dxa"/>
            <w:vAlign w:val="bottom"/>
            <w:shd w:val="clear" w:color="auto" w:fill="CCEEFF"/>
          </w:tcPr>
          <w:p>
            <w:pPr>
              <w:spacing w:after="0"/>
              <w:rPr>
                <w:sz w:val="16"/>
                <w:szCs w:val="16"/>
                <w:color w:val="auto"/>
              </w:rPr>
            </w:pPr>
          </w:p>
        </w:tc>
      </w:tr>
      <w:tr>
        <w:trPr>
          <w:trHeight w:val="120"/>
        </w:trPr>
        <w:tc>
          <w:tcPr>
            <w:tcW w:w="3280" w:type="dxa"/>
            <w:vAlign w:val="bottom"/>
            <w:tcBorders>
              <w:top w:val="single" w:sz="8" w:color="CCEEFF"/>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5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Reconciliations of unallocated amounts:</w:t>
            </w: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Headquarter costs (*)</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(9,479)</w:t>
            </w:r>
          </w:p>
        </w:tc>
      </w:tr>
      <w:tr>
        <w:trPr>
          <w:trHeight w:val="15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Intersegment loss</w:t>
            </w: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(9)</w:t>
            </w:r>
          </w:p>
        </w:tc>
      </w:tr>
      <w:tr>
        <w:trPr>
          <w:trHeight w:val="153"/>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Depreciation and amortization and share-based compensation</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(29,033)</w:t>
            </w:r>
          </w:p>
        </w:tc>
      </w:tr>
      <w:tr>
        <w:trPr>
          <w:trHeight w:val="153"/>
        </w:trPr>
        <w:tc>
          <w:tcPr>
            <w:tcW w:w="4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incomes not attributed to segments</w:t>
            </w:r>
          </w:p>
        </w:tc>
        <w:tc>
          <w:tcPr>
            <w:tcW w:w="3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3,693</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51"/>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Operating profit</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65,792</w:t>
            </w:r>
          </w:p>
        </w:tc>
        <w:tc>
          <w:tcPr>
            <w:tcW w:w="120" w:type="dxa"/>
            <w:vAlign w:val="bottom"/>
          </w:tcPr>
          <w:p>
            <w:pPr>
              <w:spacing w:after="0"/>
              <w:rPr>
                <w:sz w:val="13"/>
                <w:szCs w:val="13"/>
                <w:color w:val="auto"/>
              </w:rPr>
            </w:pPr>
          </w:p>
        </w:tc>
      </w:tr>
      <w:tr>
        <w:trPr>
          <w:trHeight w:val="151"/>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income</w:t>
            </w: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3,234</w:t>
            </w:r>
          </w:p>
        </w:tc>
        <w:tc>
          <w:tcPr>
            <w:tcW w:w="120" w:type="dxa"/>
            <w:vAlign w:val="bottom"/>
            <w:shd w:val="clear" w:color="auto" w:fill="CCEEFF"/>
          </w:tcPr>
          <w:p>
            <w:pPr>
              <w:spacing w:after="0"/>
              <w:rPr>
                <w:sz w:val="13"/>
                <w:szCs w:val="13"/>
                <w:color w:val="auto"/>
              </w:rPr>
            </w:pPr>
          </w:p>
        </w:tc>
      </w:tr>
      <w:tr>
        <w:trPr>
          <w:trHeight w:val="153"/>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Finance expenses</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(36,525)</w:t>
            </w:r>
          </w:p>
        </w:tc>
      </w:tr>
      <w:tr>
        <w:trPr>
          <w:trHeight w:val="15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in the losses of equity accounted investees</w:t>
            </w: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(1,288)</w:t>
            </w:r>
          </w:p>
        </w:tc>
      </w:tr>
      <w:tr>
        <w:trPr>
          <w:trHeight w:val="151"/>
        </w:trPr>
        <w:tc>
          <w:tcPr>
            <w:tcW w:w="40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Profit before income taxes</w:t>
            </w:r>
          </w:p>
        </w:tc>
        <w:tc>
          <w:tcPr>
            <w:tcW w:w="36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6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31,213</w:t>
            </w:r>
          </w:p>
        </w:tc>
        <w:tc>
          <w:tcPr>
            <w:tcW w:w="120" w:type="dxa"/>
            <w:vAlign w:val="bottom"/>
            <w:tcBorders>
              <w:top w:val="single" w:sz="8" w:color="CCEEFF"/>
            </w:tcBorders>
          </w:tcPr>
          <w:p>
            <w:pPr>
              <w:spacing w:after="0"/>
              <w:rPr>
                <w:sz w:val="13"/>
                <w:szCs w:val="13"/>
                <w:color w:val="auto"/>
              </w:rPr>
            </w:pPr>
          </w:p>
        </w:tc>
      </w:tr>
      <w:tr>
        <w:trPr>
          <w:trHeight w:val="20"/>
        </w:trPr>
        <w:tc>
          <w:tcPr>
            <w:tcW w:w="3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2" w:lineRule="exact"/>
        <w:rPr>
          <w:sz w:val="20"/>
          <w:szCs w:val="20"/>
          <w:color w:val="auto"/>
        </w:rPr>
      </w:pPr>
    </w:p>
    <w:p>
      <w:pPr>
        <w:ind w:left="448" w:hanging="448"/>
        <w:spacing w:after="0"/>
        <w:tabs>
          <w:tab w:leader="none" w:pos="448"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Including general and administrative and development expenses (excluding depreciation and amortization and share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273685</wp:posOffset>
            </wp:positionV>
            <wp:extent cx="717804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23" w:name="page24"/>
    <w:bookmarkEnd w:id="23"/>
    <w:tbl>
      <w:tblPr>
        <w:tblLayout w:type="fixed"/>
        <w:tblInd w:w="18" w:type="dxa"/>
        <w:tblCellMar>
          <w:top w:w="0" w:type="dxa"/>
          <w:left w:w="0" w:type="dxa"/>
          <w:bottom w:w="0" w:type="dxa"/>
          <w:right w:w="0" w:type="dxa"/>
        </w:tblCellMar>
      </w:tblPr>
      <w:tr>
        <w:trPr>
          <w:trHeight w:val="159"/>
        </w:trPr>
        <w:tc>
          <w:tcPr>
            <w:tcW w:w="49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Appendix 2 - Reconciliations between Net Income to Adjusted EBITDA</w:t>
            </w: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53"/>
        </w:trPr>
        <w:tc>
          <w:tcPr>
            <w:tcW w:w="4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53"/>
        </w:trPr>
        <w:tc>
          <w:tcPr>
            <w:tcW w:w="4920" w:type="dxa"/>
            <w:vAlign w:val="bottom"/>
            <w:tcBorders>
              <w:left w:val="single" w:sz="8" w:color="0070C0"/>
              <w:right w:val="single" w:sz="8" w:color="0070C0"/>
            </w:tcBorders>
            <w:shd w:val="clear" w:color="auto" w:fill="0070C0"/>
          </w:tcPr>
          <w:p>
            <w:pPr>
              <w:spacing w:after="0"/>
              <w:rPr>
                <w:sz w:val="20"/>
                <w:szCs w:val="20"/>
                <w:color w:val="auto"/>
              </w:rPr>
            </w:pPr>
            <w:r>
              <w:rPr>
                <w:rFonts w:ascii="Times New Roman" w:cs="Times New Roman" w:eastAsia="Times New Roman" w:hAnsi="Times New Roman"/>
                <w:sz w:val="12"/>
                <w:szCs w:val="12"/>
                <w:color w:val="FFFFFF"/>
              </w:rPr>
              <w:t>($ thousands)</w:t>
            </w:r>
          </w:p>
        </w:tc>
        <w:tc>
          <w:tcPr>
            <w:tcW w:w="160" w:type="dxa"/>
            <w:vAlign w:val="bottom"/>
            <w:tcBorders>
              <w:right w:val="single" w:sz="8" w:color="0070C0"/>
            </w:tcBorders>
            <w:shd w:val="clear" w:color="auto" w:fill="0070C0"/>
          </w:tcPr>
          <w:p>
            <w:pPr>
              <w:spacing w:after="0"/>
              <w:rPr>
                <w:sz w:val="13"/>
                <w:szCs w:val="13"/>
                <w:color w:val="auto"/>
              </w:rPr>
            </w:pPr>
          </w:p>
        </w:tc>
        <w:tc>
          <w:tcPr>
            <w:tcW w:w="2200" w:type="dxa"/>
            <w:vAlign w:val="bottom"/>
            <w:gridSpan w:val="3"/>
            <w:shd w:val="clear" w:color="auto" w:fill="0070C0"/>
          </w:tcPr>
          <w:p>
            <w:pPr>
              <w:ind w:left="1080"/>
              <w:spacing w:after="0"/>
              <w:rPr>
                <w:sz w:val="20"/>
                <w:szCs w:val="20"/>
                <w:color w:val="auto"/>
              </w:rPr>
            </w:pPr>
            <w:r>
              <w:rPr>
                <w:rFonts w:ascii="Times New Roman" w:cs="Times New Roman" w:eastAsia="Times New Roman" w:hAnsi="Times New Roman"/>
                <w:sz w:val="12"/>
                <w:szCs w:val="12"/>
                <w:b w:val="1"/>
                <w:bCs w:val="1"/>
                <w:color w:val="FFFFFF"/>
              </w:rPr>
              <w:t>For the nine months</w:t>
            </w:r>
          </w:p>
        </w:tc>
        <w:tc>
          <w:tcPr>
            <w:tcW w:w="1020" w:type="dxa"/>
            <w:vAlign w:val="bottom"/>
            <w:tcBorders>
              <w:right w:val="single" w:sz="8" w:color="0070C0"/>
            </w:tcBorders>
            <w:shd w:val="clear" w:color="auto" w:fill="0070C0"/>
          </w:tcPr>
          <w:p>
            <w:pPr>
              <w:spacing w:after="0"/>
              <w:rPr>
                <w:sz w:val="13"/>
                <w:szCs w:val="13"/>
                <w:color w:val="auto"/>
              </w:rPr>
            </w:pPr>
          </w:p>
        </w:tc>
        <w:tc>
          <w:tcPr>
            <w:tcW w:w="160" w:type="dxa"/>
            <w:vAlign w:val="bottom"/>
            <w:tcBorders>
              <w:right w:val="single" w:sz="8" w:color="0070C0"/>
            </w:tcBorders>
            <w:shd w:val="clear" w:color="auto" w:fill="0070C0"/>
          </w:tcPr>
          <w:p>
            <w:pPr>
              <w:spacing w:after="0"/>
              <w:rPr>
                <w:sz w:val="13"/>
                <w:szCs w:val="13"/>
                <w:color w:val="auto"/>
              </w:rPr>
            </w:pPr>
          </w:p>
        </w:tc>
        <w:tc>
          <w:tcPr>
            <w:tcW w:w="840" w:type="dxa"/>
            <w:vAlign w:val="bottom"/>
            <w:shd w:val="clear" w:color="auto" w:fill="0070C0"/>
          </w:tcPr>
          <w:p>
            <w:pPr>
              <w:spacing w:after="0"/>
              <w:rPr>
                <w:sz w:val="13"/>
                <w:szCs w:val="13"/>
                <w:color w:val="auto"/>
              </w:rPr>
            </w:pPr>
          </w:p>
        </w:tc>
        <w:tc>
          <w:tcPr>
            <w:tcW w:w="2000" w:type="dxa"/>
            <w:vAlign w:val="bottom"/>
            <w:tcBorders>
              <w:right w:val="single" w:sz="8" w:color="0070C0"/>
            </w:tcBorders>
            <w:gridSpan w:val="3"/>
            <w:shd w:val="clear" w:color="auto" w:fill="0070C0"/>
          </w:tcPr>
          <w:p>
            <w:pPr>
              <w:jc w:val="center"/>
              <w:ind w:right="780"/>
              <w:spacing w:after="0"/>
              <w:rPr>
                <w:sz w:val="20"/>
                <w:szCs w:val="20"/>
                <w:color w:val="auto"/>
              </w:rPr>
            </w:pPr>
            <w:r>
              <w:rPr>
                <w:rFonts w:ascii="Times New Roman" w:cs="Times New Roman" w:eastAsia="Times New Roman" w:hAnsi="Times New Roman"/>
                <w:sz w:val="12"/>
                <w:szCs w:val="12"/>
                <w:b w:val="1"/>
                <w:bCs w:val="1"/>
                <w:color w:val="FFFFFF"/>
                <w:w w:val="99"/>
              </w:rPr>
              <w:t>For the three months</w:t>
            </w:r>
          </w:p>
        </w:tc>
      </w:tr>
      <w:tr>
        <w:trPr>
          <w:trHeight w:val="153"/>
        </w:trPr>
        <w:tc>
          <w:tcPr>
            <w:tcW w:w="4920" w:type="dxa"/>
            <w:vAlign w:val="bottom"/>
            <w:tcBorders>
              <w:left w:val="single" w:sz="8" w:color="0070C0"/>
              <w:right w:val="single" w:sz="8" w:color="0070C0"/>
            </w:tcBorders>
            <w:shd w:val="clear" w:color="auto" w:fill="0070C0"/>
          </w:tcPr>
          <w:p>
            <w:pPr>
              <w:spacing w:after="0"/>
              <w:rPr>
                <w:sz w:val="13"/>
                <w:szCs w:val="13"/>
                <w:color w:val="auto"/>
              </w:rPr>
            </w:pPr>
          </w:p>
        </w:tc>
        <w:tc>
          <w:tcPr>
            <w:tcW w:w="160" w:type="dxa"/>
            <w:vAlign w:val="bottom"/>
            <w:tcBorders>
              <w:right w:val="single" w:sz="8" w:color="0070C0"/>
            </w:tcBorders>
            <w:shd w:val="clear" w:color="auto" w:fill="0070C0"/>
          </w:tcPr>
          <w:p>
            <w:pPr>
              <w:spacing w:after="0"/>
              <w:rPr>
                <w:sz w:val="13"/>
                <w:szCs w:val="13"/>
                <w:color w:val="auto"/>
              </w:rPr>
            </w:pPr>
          </w:p>
        </w:tc>
        <w:tc>
          <w:tcPr>
            <w:tcW w:w="2200" w:type="dxa"/>
            <w:vAlign w:val="bottom"/>
            <w:gridSpan w:val="3"/>
            <w:shd w:val="clear" w:color="auto" w:fill="0070C0"/>
          </w:tcPr>
          <w:p>
            <w:pPr>
              <w:ind w:left="1100"/>
              <w:spacing w:after="0"/>
              <w:rPr>
                <w:sz w:val="20"/>
                <w:szCs w:val="20"/>
                <w:color w:val="auto"/>
              </w:rPr>
            </w:pPr>
            <w:r>
              <w:rPr>
                <w:rFonts w:ascii="Times New Roman" w:cs="Times New Roman" w:eastAsia="Times New Roman" w:hAnsi="Times New Roman"/>
                <w:sz w:val="12"/>
                <w:szCs w:val="12"/>
                <w:b w:val="1"/>
                <w:bCs w:val="1"/>
                <w:color w:val="FFFFFF"/>
              </w:rPr>
              <w:t>ended September 30</w:t>
            </w:r>
          </w:p>
        </w:tc>
        <w:tc>
          <w:tcPr>
            <w:tcW w:w="1020" w:type="dxa"/>
            <w:vAlign w:val="bottom"/>
            <w:tcBorders>
              <w:right w:val="single" w:sz="8" w:color="0070C0"/>
            </w:tcBorders>
            <w:shd w:val="clear" w:color="auto" w:fill="0070C0"/>
          </w:tcPr>
          <w:p>
            <w:pPr>
              <w:spacing w:after="0"/>
              <w:rPr>
                <w:sz w:val="13"/>
                <w:szCs w:val="13"/>
                <w:color w:val="auto"/>
              </w:rPr>
            </w:pPr>
          </w:p>
        </w:tc>
        <w:tc>
          <w:tcPr>
            <w:tcW w:w="160" w:type="dxa"/>
            <w:vAlign w:val="bottom"/>
            <w:tcBorders>
              <w:right w:val="single" w:sz="8" w:color="0070C0"/>
            </w:tcBorders>
            <w:shd w:val="clear" w:color="auto" w:fill="0070C0"/>
          </w:tcPr>
          <w:p>
            <w:pPr>
              <w:spacing w:after="0"/>
              <w:rPr>
                <w:sz w:val="13"/>
                <w:szCs w:val="13"/>
                <w:color w:val="auto"/>
              </w:rPr>
            </w:pPr>
          </w:p>
        </w:tc>
        <w:tc>
          <w:tcPr>
            <w:tcW w:w="840" w:type="dxa"/>
            <w:vAlign w:val="bottom"/>
            <w:shd w:val="clear" w:color="auto" w:fill="0070C0"/>
          </w:tcPr>
          <w:p>
            <w:pPr>
              <w:spacing w:after="0"/>
              <w:rPr>
                <w:sz w:val="13"/>
                <w:szCs w:val="13"/>
                <w:color w:val="auto"/>
              </w:rPr>
            </w:pPr>
          </w:p>
        </w:tc>
        <w:tc>
          <w:tcPr>
            <w:tcW w:w="2000" w:type="dxa"/>
            <w:vAlign w:val="bottom"/>
            <w:tcBorders>
              <w:right w:val="single" w:sz="8" w:color="0070C0"/>
            </w:tcBorders>
            <w:gridSpan w:val="3"/>
            <w:shd w:val="clear" w:color="auto" w:fill="0070C0"/>
          </w:tcPr>
          <w:p>
            <w:pPr>
              <w:jc w:val="center"/>
              <w:ind w:right="780"/>
              <w:spacing w:after="0"/>
              <w:rPr>
                <w:sz w:val="20"/>
                <w:szCs w:val="20"/>
                <w:color w:val="auto"/>
              </w:rPr>
            </w:pPr>
            <w:r>
              <w:rPr>
                <w:rFonts w:ascii="Times New Roman" w:cs="Times New Roman" w:eastAsia="Times New Roman" w:hAnsi="Times New Roman"/>
                <w:sz w:val="12"/>
                <w:szCs w:val="12"/>
                <w:b w:val="1"/>
                <w:bCs w:val="1"/>
                <w:color w:val="FFFFFF"/>
                <w:w w:val="99"/>
              </w:rPr>
              <w:t>ended September 30</w:t>
            </w:r>
          </w:p>
        </w:tc>
      </w:tr>
      <w:tr>
        <w:trPr>
          <w:trHeight w:val="153"/>
        </w:trPr>
        <w:tc>
          <w:tcPr>
            <w:tcW w:w="4920" w:type="dxa"/>
            <w:vAlign w:val="bottom"/>
            <w:tcBorders>
              <w:left w:val="single" w:sz="8" w:color="0070C0"/>
              <w:bottom w:val="single" w:sz="8" w:color="auto"/>
              <w:right w:val="single" w:sz="8" w:color="0070C0"/>
            </w:tcBorders>
            <w:shd w:val="clear" w:color="auto" w:fill="0070C0"/>
          </w:tcPr>
          <w:p>
            <w:pPr>
              <w:spacing w:after="0"/>
              <w:rPr>
                <w:sz w:val="13"/>
                <w:szCs w:val="13"/>
                <w:color w:val="auto"/>
              </w:rPr>
            </w:pPr>
          </w:p>
        </w:tc>
        <w:tc>
          <w:tcPr>
            <w:tcW w:w="160" w:type="dxa"/>
            <w:vAlign w:val="bottom"/>
            <w:tcBorders>
              <w:bottom w:val="single" w:sz="8" w:color="auto"/>
              <w:right w:val="single" w:sz="8" w:color="0070C0"/>
            </w:tcBorders>
            <w:shd w:val="clear" w:color="auto" w:fill="0070C0"/>
          </w:tcPr>
          <w:p>
            <w:pPr>
              <w:spacing w:after="0"/>
              <w:rPr>
                <w:sz w:val="13"/>
                <w:szCs w:val="13"/>
                <w:color w:val="auto"/>
              </w:rPr>
            </w:pPr>
          </w:p>
        </w:tc>
        <w:tc>
          <w:tcPr>
            <w:tcW w:w="1420" w:type="dxa"/>
            <w:vAlign w:val="bottom"/>
            <w:tcBorders>
              <w:bottom w:val="single" w:sz="8" w:color="auto"/>
              <w:right w:val="single" w:sz="8" w:color="0070C0"/>
            </w:tcBorders>
            <w:shd w:val="clear" w:color="auto" w:fill="0070C0"/>
          </w:tcPr>
          <w:p>
            <w:pPr>
              <w:jc w:val="center"/>
              <w:spacing w:after="0"/>
              <w:rPr>
                <w:sz w:val="20"/>
                <w:szCs w:val="20"/>
                <w:color w:val="auto"/>
              </w:rPr>
            </w:pPr>
            <w:r>
              <w:rPr>
                <w:rFonts w:ascii="Times New Roman" w:cs="Times New Roman" w:eastAsia="Times New Roman" w:hAnsi="Times New Roman"/>
                <w:sz w:val="12"/>
                <w:szCs w:val="12"/>
                <w:b w:val="1"/>
                <w:bCs w:val="1"/>
                <w:color w:val="FFFFFF"/>
                <w:w w:val="99"/>
              </w:rPr>
              <w:t>2025</w:t>
            </w:r>
          </w:p>
        </w:tc>
        <w:tc>
          <w:tcPr>
            <w:tcW w:w="280" w:type="dxa"/>
            <w:vAlign w:val="bottom"/>
            <w:tcBorders>
              <w:bottom w:val="single" w:sz="8" w:color="auto"/>
              <w:right w:val="single" w:sz="8" w:color="0070C0"/>
            </w:tcBorders>
            <w:shd w:val="clear" w:color="auto" w:fill="0070C0"/>
          </w:tcPr>
          <w:p>
            <w:pPr>
              <w:spacing w:after="0"/>
              <w:rPr>
                <w:sz w:val="13"/>
                <w:szCs w:val="13"/>
                <w:color w:val="auto"/>
              </w:rPr>
            </w:pPr>
          </w:p>
        </w:tc>
        <w:tc>
          <w:tcPr>
            <w:tcW w:w="500" w:type="dxa"/>
            <w:vAlign w:val="bottom"/>
            <w:tcBorders>
              <w:bottom w:val="single" w:sz="8" w:color="auto"/>
            </w:tcBorders>
            <w:shd w:val="clear" w:color="auto" w:fill="0070C0"/>
          </w:tcPr>
          <w:p>
            <w:pPr>
              <w:spacing w:after="0"/>
              <w:rPr>
                <w:sz w:val="13"/>
                <w:szCs w:val="13"/>
                <w:color w:val="auto"/>
              </w:rPr>
            </w:pPr>
          </w:p>
        </w:tc>
        <w:tc>
          <w:tcPr>
            <w:tcW w:w="1020" w:type="dxa"/>
            <w:vAlign w:val="bottom"/>
            <w:tcBorders>
              <w:bottom w:val="single" w:sz="8" w:color="auto"/>
              <w:right w:val="single" w:sz="8" w:color="0070C0"/>
            </w:tcBorders>
            <w:shd w:val="clear" w:color="auto" w:fill="0070C0"/>
          </w:tcPr>
          <w:p>
            <w:pPr>
              <w:jc w:val="center"/>
              <w:ind w:right="480"/>
              <w:spacing w:after="0"/>
              <w:rPr>
                <w:sz w:val="20"/>
                <w:szCs w:val="20"/>
                <w:color w:val="auto"/>
              </w:rPr>
            </w:pPr>
            <w:r>
              <w:rPr>
                <w:rFonts w:ascii="Times New Roman" w:cs="Times New Roman" w:eastAsia="Times New Roman" w:hAnsi="Times New Roman"/>
                <w:sz w:val="12"/>
                <w:szCs w:val="12"/>
                <w:b w:val="1"/>
                <w:bCs w:val="1"/>
                <w:color w:val="FFFFFF"/>
                <w:w w:val="99"/>
              </w:rPr>
              <w:t>2024</w:t>
            </w:r>
          </w:p>
        </w:tc>
        <w:tc>
          <w:tcPr>
            <w:tcW w:w="1000" w:type="dxa"/>
            <w:vAlign w:val="bottom"/>
            <w:tcBorders>
              <w:bottom w:val="single" w:sz="8" w:color="auto"/>
            </w:tcBorders>
            <w:gridSpan w:val="2"/>
            <w:shd w:val="clear" w:color="auto" w:fill="0070C0"/>
          </w:tcPr>
          <w:p>
            <w:pPr>
              <w:jc w:val="center"/>
              <w:ind w:left="460"/>
              <w:spacing w:after="0"/>
              <w:rPr>
                <w:sz w:val="20"/>
                <w:szCs w:val="20"/>
                <w:color w:val="auto"/>
              </w:rPr>
            </w:pPr>
            <w:r>
              <w:rPr>
                <w:rFonts w:ascii="Times New Roman" w:cs="Times New Roman" w:eastAsia="Times New Roman" w:hAnsi="Times New Roman"/>
                <w:sz w:val="12"/>
                <w:szCs w:val="12"/>
                <w:b w:val="1"/>
                <w:bCs w:val="1"/>
                <w:color w:val="FFFFFF"/>
                <w:w w:val="99"/>
              </w:rPr>
              <w:t>2025</w:t>
            </w:r>
          </w:p>
        </w:tc>
        <w:tc>
          <w:tcPr>
            <w:tcW w:w="2000" w:type="dxa"/>
            <w:vAlign w:val="bottom"/>
            <w:tcBorders>
              <w:bottom w:val="single" w:sz="8" w:color="auto"/>
              <w:right w:val="single" w:sz="8" w:color="0070C0"/>
            </w:tcBorders>
            <w:gridSpan w:val="3"/>
            <w:shd w:val="clear" w:color="auto" w:fill="0070C0"/>
          </w:tcPr>
          <w:p>
            <w:pPr>
              <w:jc w:val="center"/>
              <w:ind w:left="540"/>
              <w:spacing w:after="0"/>
              <w:rPr>
                <w:sz w:val="20"/>
                <w:szCs w:val="20"/>
                <w:color w:val="auto"/>
              </w:rPr>
            </w:pPr>
            <w:r>
              <w:rPr>
                <w:rFonts w:ascii="Times New Roman" w:cs="Times New Roman" w:eastAsia="Times New Roman" w:hAnsi="Times New Roman"/>
                <w:sz w:val="12"/>
                <w:szCs w:val="12"/>
                <w:b w:val="1"/>
                <w:bCs w:val="1"/>
                <w:color w:val="FFFFFF"/>
                <w:w w:val="99"/>
              </w:rPr>
              <w:t>2024</w:t>
            </w:r>
          </w:p>
        </w:tc>
      </w:tr>
      <w:tr>
        <w:trPr>
          <w:trHeight w:val="151"/>
        </w:trPr>
        <w:tc>
          <w:tcPr>
            <w:tcW w:w="4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132547"/>
              </w:rPr>
              <w:t>Net Income</w:t>
            </w:r>
          </w:p>
        </w:tc>
        <w:tc>
          <w:tcPr>
            <w:tcW w:w="160" w:type="dxa"/>
            <w:vAlign w:val="bottom"/>
            <w:tcBorders>
              <w:bottom w:val="single" w:sz="8" w:color="auto"/>
              <w:right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139,629</w:t>
            </w:r>
          </w:p>
        </w:tc>
        <w:tc>
          <w:tcPr>
            <w:tcW w:w="28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jc w:val="center"/>
              <w:ind w:right="460"/>
              <w:spacing w:after="0"/>
              <w:rPr>
                <w:sz w:val="20"/>
                <w:szCs w:val="20"/>
                <w:color w:val="auto"/>
              </w:rPr>
            </w:pPr>
            <w:r>
              <w:rPr>
                <w:rFonts w:ascii="Times New Roman" w:cs="Times New Roman" w:eastAsia="Times New Roman" w:hAnsi="Times New Roman"/>
                <w:sz w:val="12"/>
                <w:szCs w:val="12"/>
                <w:color w:val="auto"/>
              </w:rPr>
              <w:t>58,133</w:t>
            </w:r>
          </w:p>
        </w:tc>
        <w:tc>
          <w:tcPr>
            <w:tcW w:w="16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tcBorders>
          </w:tcPr>
          <w:p>
            <w:pPr>
              <w:jc w:val="center"/>
              <w:ind w:left="300"/>
              <w:spacing w:after="0"/>
              <w:rPr>
                <w:sz w:val="20"/>
                <w:szCs w:val="20"/>
                <w:color w:val="auto"/>
              </w:rPr>
            </w:pPr>
            <w:r>
              <w:rPr>
                <w:rFonts w:ascii="Times New Roman" w:cs="Times New Roman" w:eastAsia="Times New Roman" w:hAnsi="Times New Roman"/>
                <w:sz w:val="12"/>
                <w:szCs w:val="12"/>
                <w:color w:val="auto"/>
                <w:w w:val="96"/>
              </w:rPr>
              <w:t>32,257</w:t>
            </w:r>
          </w:p>
        </w:tc>
        <w:tc>
          <w:tcPr>
            <w:tcW w:w="36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24,189</w:t>
            </w:r>
          </w:p>
        </w:tc>
      </w:tr>
      <w:tr>
        <w:trPr>
          <w:trHeight w:val="151"/>
        </w:trPr>
        <w:tc>
          <w:tcPr>
            <w:tcW w:w="4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132547"/>
              </w:rPr>
              <w:t>Depreciation and amortization</w:t>
            </w:r>
          </w:p>
        </w:tc>
        <w:tc>
          <w:tcPr>
            <w:tcW w:w="160" w:type="dxa"/>
            <w:vAlign w:val="bottom"/>
            <w:tcBorders>
              <w:bottom w:val="single" w:sz="8" w:color="auto"/>
              <w:right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110,159</w:t>
            </w:r>
          </w:p>
        </w:tc>
        <w:tc>
          <w:tcPr>
            <w:tcW w:w="28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jc w:val="center"/>
              <w:ind w:right="460"/>
              <w:spacing w:after="0"/>
              <w:rPr>
                <w:sz w:val="20"/>
                <w:szCs w:val="20"/>
                <w:color w:val="auto"/>
              </w:rPr>
            </w:pPr>
            <w:r>
              <w:rPr>
                <w:rFonts w:ascii="Times New Roman" w:cs="Times New Roman" w:eastAsia="Times New Roman" w:hAnsi="Times New Roman"/>
                <w:sz w:val="12"/>
                <w:szCs w:val="12"/>
                <w:color w:val="auto"/>
              </w:rPr>
              <w:t>77,977</w:t>
            </w:r>
          </w:p>
        </w:tc>
        <w:tc>
          <w:tcPr>
            <w:tcW w:w="16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tcBorders>
          </w:tcPr>
          <w:p>
            <w:pPr>
              <w:jc w:val="center"/>
              <w:ind w:left="300"/>
              <w:spacing w:after="0"/>
              <w:rPr>
                <w:sz w:val="20"/>
                <w:szCs w:val="20"/>
                <w:color w:val="auto"/>
              </w:rPr>
            </w:pPr>
            <w:r>
              <w:rPr>
                <w:rFonts w:ascii="Times New Roman" w:cs="Times New Roman" w:eastAsia="Times New Roman" w:hAnsi="Times New Roman"/>
                <w:sz w:val="12"/>
                <w:szCs w:val="12"/>
                <w:color w:val="auto"/>
                <w:w w:val="96"/>
              </w:rPr>
              <w:t>39,142</w:t>
            </w:r>
          </w:p>
        </w:tc>
        <w:tc>
          <w:tcPr>
            <w:tcW w:w="36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27,091</w:t>
            </w:r>
          </w:p>
        </w:tc>
      </w:tr>
      <w:tr>
        <w:trPr>
          <w:trHeight w:val="151"/>
        </w:trPr>
        <w:tc>
          <w:tcPr>
            <w:tcW w:w="4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132547"/>
              </w:rPr>
              <w:t>Share based compensation</w:t>
            </w:r>
          </w:p>
        </w:tc>
        <w:tc>
          <w:tcPr>
            <w:tcW w:w="160" w:type="dxa"/>
            <w:vAlign w:val="bottom"/>
            <w:tcBorders>
              <w:bottom w:val="single" w:sz="8" w:color="auto"/>
              <w:right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5,047</w:t>
            </w:r>
          </w:p>
        </w:tc>
        <w:tc>
          <w:tcPr>
            <w:tcW w:w="28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jc w:val="center"/>
              <w:ind w:right="460"/>
              <w:spacing w:after="0"/>
              <w:rPr>
                <w:sz w:val="20"/>
                <w:szCs w:val="20"/>
                <w:color w:val="auto"/>
              </w:rPr>
            </w:pPr>
            <w:r>
              <w:rPr>
                <w:rFonts w:ascii="Times New Roman" w:cs="Times New Roman" w:eastAsia="Times New Roman" w:hAnsi="Times New Roman"/>
                <w:sz w:val="12"/>
                <w:szCs w:val="12"/>
                <w:color w:val="auto"/>
                <w:w w:val="96"/>
              </w:rPr>
              <w:t>6,027</w:t>
            </w:r>
          </w:p>
        </w:tc>
        <w:tc>
          <w:tcPr>
            <w:tcW w:w="16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tcBorders>
          </w:tcPr>
          <w:p>
            <w:pPr>
              <w:jc w:val="center"/>
              <w:ind w:left="300"/>
              <w:spacing w:after="0"/>
              <w:rPr>
                <w:sz w:val="20"/>
                <w:szCs w:val="20"/>
                <w:color w:val="auto"/>
              </w:rPr>
            </w:pPr>
            <w:r>
              <w:rPr>
                <w:rFonts w:ascii="Times New Roman" w:cs="Times New Roman" w:eastAsia="Times New Roman" w:hAnsi="Times New Roman"/>
                <w:sz w:val="12"/>
                <w:szCs w:val="12"/>
                <w:color w:val="auto"/>
              </w:rPr>
              <w:t>2,053</w:t>
            </w:r>
          </w:p>
        </w:tc>
        <w:tc>
          <w:tcPr>
            <w:tcW w:w="36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1,942</w:t>
            </w:r>
          </w:p>
        </w:tc>
      </w:tr>
      <w:tr>
        <w:trPr>
          <w:trHeight w:val="151"/>
        </w:trPr>
        <w:tc>
          <w:tcPr>
            <w:tcW w:w="4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132547"/>
              </w:rPr>
              <w:t>Finance income</w:t>
            </w:r>
          </w:p>
        </w:tc>
        <w:tc>
          <w:tcPr>
            <w:tcW w:w="160" w:type="dxa"/>
            <w:vAlign w:val="bottom"/>
            <w:tcBorders>
              <w:bottom w:val="single" w:sz="8" w:color="auto"/>
              <w:right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(36,292)</w:t>
            </w:r>
          </w:p>
        </w:tc>
        <w:tc>
          <w:tcPr>
            <w:tcW w:w="28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jc w:val="center"/>
              <w:ind w:right="460"/>
              <w:spacing w:after="0"/>
              <w:rPr>
                <w:sz w:val="20"/>
                <w:szCs w:val="20"/>
                <w:color w:val="auto"/>
              </w:rPr>
            </w:pPr>
            <w:r>
              <w:rPr>
                <w:rFonts w:ascii="Times New Roman" w:cs="Times New Roman" w:eastAsia="Times New Roman" w:hAnsi="Times New Roman"/>
                <w:sz w:val="12"/>
                <w:szCs w:val="12"/>
                <w:color w:val="auto"/>
              </w:rPr>
              <w:t>(18,299)</w:t>
            </w:r>
          </w:p>
        </w:tc>
        <w:tc>
          <w:tcPr>
            <w:tcW w:w="16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tcBorders>
          </w:tcPr>
          <w:p>
            <w:pPr>
              <w:jc w:val="center"/>
              <w:ind w:left="300"/>
              <w:spacing w:after="0"/>
              <w:rPr>
                <w:sz w:val="20"/>
                <w:szCs w:val="20"/>
                <w:color w:val="auto"/>
              </w:rPr>
            </w:pPr>
            <w:r>
              <w:rPr>
                <w:rFonts w:ascii="Times New Roman" w:cs="Times New Roman" w:eastAsia="Times New Roman" w:hAnsi="Times New Roman"/>
                <w:sz w:val="12"/>
                <w:szCs w:val="12"/>
                <w:color w:val="auto"/>
                <w:w w:val="97"/>
              </w:rPr>
              <w:t>(28,126)</w:t>
            </w:r>
          </w:p>
        </w:tc>
        <w:tc>
          <w:tcPr>
            <w:tcW w:w="36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(3,234)</w:t>
            </w:r>
          </w:p>
        </w:tc>
      </w:tr>
      <w:tr>
        <w:trPr>
          <w:trHeight w:val="151"/>
        </w:trPr>
        <w:tc>
          <w:tcPr>
            <w:tcW w:w="4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132547"/>
              </w:rPr>
              <w:t>Finance expenses</w:t>
            </w:r>
          </w:p>
        </w:tc>
        <w:tc>
          <w:tcPr>
            <w:tcW w:w="160" w:type="dxa"/>
            <w:vAlign w:val="bottom"/>
            <w:tcBorders>
              <w:bottom w:val="single" w:sz="8" w:color="auto"/>
              <w:right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136,457</w:t>
            </w:r>
          </w:p>
        </w:tc>
        <w:tc>
          <w:tcPr>
            <w:tcW w:w="28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jc w:val="center"/>
              <w:ind w:right="460"/>
              <w:spacing w:after="0"/>
              <w:rPr>
                <w:sz w:val="20"/>
                <w:szCs w:val="20"/>
                <w:color w:val="auto"/>
              </w:rPr>
            </w:pPr>
            <w:r>
              <w:rPr>
                <w:rFonts w:ascii="Times New Roman" w:cs="Times New Roman" w:eastAsia="Times New Roman" w:hAnsi="Times New Roman"/>
                <w:sz w:val="12"/>
                <w:szCs w:val="12"/>
                <w:color w:val="auto"/>
              </w:rPr>
              <w:t>85,836</w:t>
            </w:r>
          </w:p>
        </w:tc>
        <w:tc>
          <w:tcPr>
            <w:tcW w:w="16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tcBorders>
          </w:tcPr>
          <w:p>
            <w:pPr>
              <w:jc w:val="center"/>
              <w:ind w:left="300"/>
              <w:spacing w:after="0"/>
              <w:rPr>
                <w:sz w:val="20"/>
                <w:szCs w:val="20"/>
                <w:color w:val="auto"/>
              </w:rPr>
            </w:pPr>
            <w:r>
              <w:rPr>
                <w:rFonts w:ascii="Times New Roman" w:cs="Times New Roman" w:eastAsia="Times New Roman" w:hAnsi="Times New Roman"/>
                <w:sz w:val="12"/>
                <w:szCs w:val="12"/>
                <w:color w:val="auto"/>
                <w:w w:val="96"/>
              </w:rPr>
              <w:t>54,171</w:t>
            </w:r>
          </w:p>
        </w:tc>
        <w:tc>
          <w:tcPr>
            <w:tcW w:w="36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36,525</w:t>
            </w:r>
          </w:p>
        </w:tc>
      </w:tr>
      <w:tr>
        <w:trPr>
          <w:trHeight w:val="151"/>
        </w:trPr>
        <w:tc>
          <w:tcPr>
            <w:tcW w:w="4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132547"/>
              </w:rPr>
              <w:t>Gains from projects disposals (*)</w:t>
            </w:r>
          </w:p>
        </w:tc>
        <w:tc>
          <w:tcPr>
            <w:tcW w:w="160" w:type="dxa"/>
            <w:vAlign w:val="bottom"/>
            <w:tcBorders>
              <w:bottom w:val="single" w:sz="8" w:color="auto"/>
              <w:right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(54,597)</w:t>
            </w:r>
          </w:p>
        </w:tc>
        <w:tc>
          <w:tcPr>
            <w:tcW w:w="28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jc w:val="center"/>
              <w:ind w:right="480"/>
              <w:spacing w:after="0"/>
              <w:rPr>
                <w:sz w:val="20"/>
                <w:szCs w:val="20"/>
                <w:color w:val="auto"/>
              </w:rPr>
            </w:pPr>
            <w:r>
              <w:rPr>
                <w:rFonts w:ascii="Times New Roman" w:cs="Times New Roman" w:eastAsia="Times New Roman" w:hAnsi="Times New Roman"/>
                <w:sz w:val="12"/>
                <w:szCs w:val="12"/>
                <w:color w:val="auto"/>
                <w:w w:val="98"/>
              </w:rPr>
              <w:t>-</w:t>
            </w:r>
          </w:p>
        </w:tc>
        <w:tc>
          <w:tcPr>
            <w:tcW w:w="16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tcBorders>
          </w:tcPr>
          <w:p>
            <w:pPr>
              <w:jc w:val="center"/>
              <w:ind w:left="280"/>
              <w:spacing w:after="0"/>
              <w:rPr>
                <w:sz w:val="20"/>
                <w:szCs w:val="20"/>
                <w:color w:val="auto"/>
              </w:rPr>
            </w:pPr>
            <w:r>
              <w:rPr>
                <w:rFonts w:ascii="Times New Roman" w:cs="Times New Roman" w:eastAsia="Times New Roman" w:hAnsi="Times New Roman"/>
                <w:sz w:val="12"/>
                <w:szCs w:val="12"/>
                <w:color w:val="auto"/>
                <w:w w:val="99"/>
              </w:rPr>
              <w:t>739</w:t>
            </w:r>
          </w:p>
        </w:tc>
        <w:tc>
          <w:tcPr>
            <w:tcW w:w="36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r>
      <w:tr>
        <w:trPr>
          <w:trHeight w:val="151"/>
        </w:trPr>
        <w:tc>
          <w:tcPr>
            <w:tcW w:w="4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132547"/>
              </w:rPr>
              <w:t>Non-recurring other income, net (**)</w:t>
            </w:r>
          </w:p>
        </w:tc>
        <w:tc>
          <w:tcPr>
            <w:tcW w:w="160" w:type="dxa"/>
            <w:vAlign w:val="bottom"/>
            <w:tcBorders>
              <w:bottom w:val="single" w:sz="8" w:color="auto"/>
              <w:right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28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jc w:val="center"/>
              <w:ind w:right="460"/>
              <w:spacing w:after="0"/>
              <w:rPr>
                <w:sz w:val="20"/>
                <w:szCs w:val="20"/>
                <w:color w:val="auto"/>
              </w:rPr>
            </w:pPr>
            <w:r>
              <w:rPr>
                <w:rFonts w:ascii="Times New Roman" w:cs="Times New Roman" w:eastAsia="Times New Roman" w:hAnsi="Times New Roman"/>
                <w:sz w:val="12"/>
                <w:szCs w:val="12"/>
                <w:color w:val="auto"/>
                <w:w w:val="97"/>
              </w:rPr>
              <w:t>(3,693)</w:t>
            </w:r>
          </w:p>
        </w:tc>
        <w:tc>
          <w:tcPr>
            <w:tcW w:w="16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tcBorders>
          </w:tcPr>
          <w:p>
            <w:pPr>
              <w:jc w:val="center"/>
              <w:ind w:left="300"/>
              <w:spacing w:after="0"/>
              <w:rPr>
                <w:sz w:val="20"/>
                <w:szCs w:val="20"/>
                <w:color w:val="auto"/>
              </w:rPr>
            </w:pPr>
            <w:r>
              <w:rPr>
                <w:rFonts w:ascii="Times New Roman" w:cs="Times New Roman" w:eastAsia="Times New Roman" w:hAnsi="Times New Roman"/>
                <w:sz w:val="12"/>
                <w:szCs w:val="12"/>
                <w:color w:val="auto"/>
                <w:w w:val="98"/>
              </w:rPr>
              <w:t>-</w:t>
            </w:r>
          </w:p>
        </w:tc>
        <w:tc>
          <w:tcPr>
            <w:tcW w:w="36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(3,693)</w:t>
            </w:r>
          </w:p>
        </w:tc>
      </w:tr>
      <w:tr>
        <w:trPr>
          <w:trHeight w:val="151"/>
        </w:trPr>
        <w:tc>
          <w:tcPr>
            <w:tcW w:w="4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132547"/>
              </w:rPr>
              <w:t>Share of losses of equity accounted investees</w:t>
            </w:r>
          </w:p>
        </w:tc>
        <w:tc>
          <w:tcPr>
            <w:tcW w:w="160" w:type="dxa"/>
            <w:vAlign w:val="bottom"/>
            <w:tcBorders>
              <w:bottom w:val="single" w:sz="8" w:color="auto"/>
              <w:right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3,904</w:t>
            </w:r>
          </w:p>
        </w:tc>
        <w:tc>
          <w:tcPr>
            <w:tcW w:w="28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jc w:val="center"/>
              <w:ind w:right="460"/>
              <w:spacing w:after="0"/>
              <w:rPr>
                <w:sz w:val="20"/>
                <w:szCs w:val="20"/>
                <w:color w:val="auto"/>
              </w:rPr>
            </w:pPr>
            <w:r>
              <w:rPr>
                <w:rFonts w:ascii="Times New Roman" w:cs="Times New Roman" w:eastAsia="Times New Roman" w:hAnsi="Times New Roman"/>
                <w:sz w:val="12"/>
                <w:szCs w:val="12"/>
                <w:color w:val="auto"/>
                <w:w w:val="96"/>
              </w:rPr>
              <w:t>1,737</w:t>
            </w:r>
          </w:p>
        </w:tc>
        <w:tc>
          <w:tcPr>
            <w:tcW w:w="16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tcBorders>
          </w:tcPr>
          <w:p>
            <w:pPr>
              <w:jc w:val="center"/>
              <w:ind w:left="300"/>
              <w:spacing w:after="0"/>
              <w:rPr>
                <w:sz w:val="20"/>
                <w:szCs w:val="20"/>
                <w:color w:val="auto"/>
              </w:rPr>
            </w:pPr>
            <w:r>
              <w:rPr>
                <w:rFonts w:ascii="Times New Roman" w:cs="Times New Roman" w:eastAsia="Times New Roman" w:hAnsi="Times New Roman"/>
                <w:sz w:val="12"/>
                <w:szCs w:val="12"/>
                <w:color w:val="auto"/>
              </w:rPr>
              <w:t>2,259</w:t>
            </w:r>
          </w:p>
        </w:tc>
        <w:tc>
          <w:tcPr>
            <w:tcW w:w="36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1,288</w:t>
            </w:r>
          </w:p>
        </w:tc>
      </w:tr>
      <w:tr>
        <w:trPr>
          <w:trHeight w:val="175"/>
        </w:trPr>
        <w:tc>
          <w:tcPr>
            <w:tcW w:w="4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132547"/>
              </w:rPr>
              <w:t>Taxes on income</w:t>
            </w:r>
          </w:p>
        </w:tc>
        <w:tc>
          <w:tcPr>
            <w:tcW w:w="16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35,083</w:t>
            </w:r>
          </w:p>
        </w:tc>
        <w:tc>
          <w:tcPr>
            <w:tcW w:w="280" w:type="dxa"/>
            <w:vAlign w:val="bottom"/>
            <w:tcBorders>
              <w:bottom w:val="single" w:sz="8" w:color="auto"/>
              <w:right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jc w:val="center"/>
              <w:ind w:right="460"/>
              <w:spacing w:after="0"/>
              <w:rPr>
                <w:sz w:val="20"/>
                <w:szCs w:val="20"/>
                <w:color w:val="auto"/>
              </w:rPr>
            </w:pPr>
            <w:r>
              <w:rPr>
                <w:rFonts w:ascii="Times New Roman" w:cs="Times New Roman" w:eastAsia="Times New Roman" w:hAnsi="Times New Roman"/>
                <w:sz w:val="12"/>
                <w:szCs w:val="12"/>
                <w:color w:val="auto"/>
              </w:rPr>
              <w:t>16,154</w:t>
            </w:r>
          </w:p>
        </w:tc>
        <w:tc>
          <w:tcPr>
            <w:tcW w:w="16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tcBorders>
          </w:tcPr>
          <w:p>
            <w:pPr>
              <w:jc w:val="center"/>
              <w:ind w:left="300"/>
              <w:spacing w:after="0"/>
              <w:rPr>
                <w:sz w:val="20"/>
                <w:szCs w:val="20"/>
                <w:color w:val="auto"/>
              </w:rPr>
            </w:pPr>
            <w:r>
              <w:rPr>
                <w:rFonts w:ascii="Times New Roman" w:cs="Times New Roman" w:eastAsia="Times New Roman" w:hAnsi="Times New Roman"/>
                <w:sz w:val="12"/>
                <w:szCs w:val="12"/>
                <w:color w:val="auto"/>
              </w:rPr>
              <w:t>9,477</w:t>
            </w:r>
          </w:p>
        </w:tc>
        <w:tc>
          <w:tcPr>
            <w:tcW w:w="36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7,024</w:t>
            </w:r>
          </w:p>
        </w:tc>
      </w:tr>
      <w:tr>
        <w:trPr>
          <w:trHeight w:val="131"/>
        </w:trPr>
        <w:tc>
          <w:tcPr>
            <w:tcW w:w="4920" w:type="dxa"/>
            <w:vAlign w:val="bottom"/>
            <w:tcBorders>
              <w:top w:val="single" w:sz="8" w:color="92BAEA"/>
              <w:left w:val="single" w:sz="8" w:color="auto"/>
              <w:bottom w:val="single" w:sz="8" w:color="auto"/>
              <w:right w:val="single" w:sz="8" w:color="auto"/>
            </w:tcBorders>
            <w:shd w:val="clear" w:color="auto" w:fill="92BAEA"/>
          </w:tcPr>
          <w:p>
            <w:pPr>
              <w:ind w:left="20"/>
              <w:spacing w:after="0" w:line="131" w:lineRule="exact"/>
              <w:rPr>
                <w:sz w:val="20"/>
                <w:szCs w:val="20"/>
                <w:color w:val="auto"/>
              </w:rPr>
            </w:pPr>
            <w:r>
              <w:rPr>
                <w:rFonts w:ascii="Times New Roman" w:cs="Times New Roman" w:eastAsia="Times New Roman" w:hAnsi="Times New Roman"/>
                <w:sz w:val="12"/>
                <w:szCs w:val="12"/>
                <w:b w:val="1"/>
                <w:bCs w:val="1"/>
                <w:color w:val="132547"/>
              </w:rPr>
              <w:t>Adjusted EBITDA</w:t>
            </w:r>
          </w:p>
        </w:tc>
        <w:tc>
          <w:tcPr>
            <w:tcW w:w="160" w:type="dxa"/>
            <w:vAlign w:val="bottom"/>
            <w:tcBorders>
              <w:top w:val="single" w:sz="8" w:color="92BAEA"/>
              <w:bottom w:val="single" w:sz="8" w:color="auto"/>
              <w:right w:val="single" w:sz="8" w:color="auto"/>
            </w:tcBorders>
            <w:shd w:val="clear" w:color="auto" w:fill="92BAEA"/>
          </w:tcPr>
          <w:p>
            <w:pPr>
              <w:spacing w:after="0"/>
              <w:rPr>
                <w:sz w:val="11"/>
                <w:szCs w:val="11"/>
                <w:color w:val="auto"/>
              </w:rPr>
            </w:pPr>
          </w:p>
        </w:tc>
        <w:tc>
          <w:tcPr>
            <w:tcW w:w="1420" w:type="dxa"/>
            <w:vAlign w:val="bottom"/>
            <w:tcBorders>
              <w:top w:val="single" w:sz="8" w:color="92BAEA"/>
              <w:bottom w:val="single" w:sz="8" w:color="auto"/>
              <w:right w:val="single" w:sz="8" w:color="auto"/>
            </w:tcBorders>
            <w:shd w:val="clear" w:color="auto" w:fill="92BAEA"/>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rPr>
              <w:t>339,390</w:t>
            </w:r>
          </w:p>
        </w:tc>
        <w:tc>
          <w:tcPr>
            <w:tcW w:w="280" w:type="dxa"/>
            <w:vAlign w:val="bottom"/>
            <w:tcBorders>
              <w:top w:val="single" w:sz="8" w:color="92BAEA"/>
              <w:bottom w:val="single" w:sz="8" w:color="auto"/>
              <w:right w:val="single" w:sz="8" w:color="auto"/>
            </w:tcBorders>
            <w:shd w:val="clear" w:color="auto" w:fill="92BAEA"/>
          </w:tcPr>
          <w:p>
            <w:pPr>
              <w:spacing w:after="0"/>
              <w:rPr>
                <w:sz w:val="11"/>
                <w:szCs w:val="11"/>
                <w:color w:val="auto"/>
              </w:rPr>
            </w:pPr>
          </w:p>
        </w:tc>
        <w:tc>
          <w:tcPr>
            <w:tcW w:w="500" w:type="dxa"/>
            <w:vAlign w:val="bottom"/>
            <w:tcBorders>
              <w:top w:val="single" w:sz="8" w:color="92BAEA"/>
              <w:bottom w:val="single" w:sz="8" w:color="auto"/>
            </w:tcBorders>
            <w:shd w:val="clear" w:color="auto" w:fill="92BAEA"/>
          </w:tcPr>
          <w:p>
            <w:pPr>
              <w:spacing w:after="0"/>
              <w:rPr>
                <w:sz w:val="11"/>
                <w:szCs w:val="11"/>
                <w:color w:val="auto"/>
              </w:rPr>
            </w:pPr>
          </w:p>
        </w:tc>
        <w:tc>
          <w:tcPr>
            <w:tcW w:w="1020" w:type="dxa"/>
            <w:vAlign w:val="bottom"/>
            <w:tcBorders>
              <w:top w:val="single" w:sz="8" w:color="92BAEA"/>
              <w:bottom w:val="single" w:sz="8" w:color="auto"/>
              <w:right w:val="single" w:sz="8" w:color="auto"/>
            </w:tcBorders>
            <w:shd w:val="clear" w:color="auto" w:fill="92BAEA"/>
          </w:tcPr>
          <w:p>
            <w:pPr>
              <w:jc w:val="center"/>
              <w:ind w:right="460"/>
              <w:spacing w:after="0" w:line="131" w:lineRule="exact"/>
              <w:rPr>
                <w:sz w:val="20"/>
                <w:szCs w:val="20"/>
                <w:color w:val="auto"/>
              </w:rPr>
            </w:pPr>
            <w:r>
              <w:rPr>
                <w:rFonts w:ascii="Times New Roman" w:cs="Times New Roman" w:eastAsia="Times New Roman" w:hAnsi="Times New Roman"/>
                <w:sz w:val="12"/>
                <w:szCs w:val="12"/>
                <w:b w:val="1"/>
                <w:bCs w:val="1"/>
                <w:color w:val="auto"/>
                <w:w w:val="97"/>
              </w:rPr>
              <w:t>223,872</w:t>
            </w:r>
          </w:p>
        </w:tc>
        <w:tc>
          <w:tcPr>
            <w:tcW w:w="160" w:type="dxa"/>
            <w:vAlign w:val="bottom"/>
            <w:tcBorders>
              <w:top w:val="single" w:sz="8" w:color="92BAEA"/>
              <w:bottom w:val="single" w:sz="8" w:color="auto"/>
              <w:right w:val="single" w:sz="8" w:color="auto"/>
            </w:tcBorders>
            <w:shd w:val="clear" w:color="auto" w:fill="92BAEA"/>
          </w:tcPr>
          <w:p>
            <w:pPr>
              <w:spacing w:after="0"/>
              <w:rPr>
                <w:sz w:val="11"/>
                <w:szCs w:val="11"/>
                <w:color w:val="auto"/>
              </w:rPr>
            </w:pPr>
          </w:p>
        </w:tc>
        <w:tc>
          <w:tcPr>
            <w:tcW w:w="840" w:type="dxa"/>
            <w:vAlign w:val="bottom"/>
            <w:tcBorders>
              <w:top w:val="single" w:sz="8" w:color="92BAEA"/>
              <w:bottom w:val="single" w:sz="8" w:color="auto"/>
            </w:tcBorders>
            <w:shd w:val="clear" w:color="auto" w:fill="92BAEA"/>
          </w:tcPr>
          <w:p>
            <w:pPr>
              <w:jc w:val="center"/>
              <w:ind w:left="280"/>
              <w:spacing w:after="0" w:line="131" w:lineRule="exact"/>
              <w:rPr>
                <w:sz w:val="20"/>
                <w:szCs w:val="20"/>
                <w:color w:val="auto"/>
              </w:rPr>
            </w:pPr>
            <w:r>
              <w:rPr>
                <w:rFonts w:ascii="Times New Roman" w:cs="Times New Roman" w:eastAsia="Times New Roman" w:hAnsi="Times New Roman"/>
                <w:sz w:val="12"/>
                <w:szCs w:val="12"/>
                <w:b w:val="1"/>
                <w:bCs w:val="1"/>
                <w:color w:val="auto"/>
                <w:w w:val="97"/>
              </w:rPr>
              <w:t>111,972</w:t>
            </w:r>
          </w:p>
        </w:tc>
        <w:tc>
          <w:tcPr>
            <w:tcW w:w="360" w:type="dxa"/>
            <w:vAlign w:val="bottom"/>
            <w:tcBorders>
              <w:top w:val="single" w:sz="8" w:color="92BAEA"/>
              <w:bottom w:val="single" w:sz="8" w:color="auto"/>
              <w:right w:val="single" w:sz="8" w:color="auto"/>
            </w:tcBorders>
            <w:shd w:val="clear" w:color="auto" w:fill="92BAEA"/>
          </w:tcPr>
          <w:p>
            <w:pPr>
              <w:spacing w:after="0"/>
              <w:rPr>
                <w:sz w:val="11"/>
                <w:szCs w:val="11"/>
                <w:color w:val="auto"/>
              </w:rPr>
            </w:pPr>
          </w:p>
        </w:tc>
        <w:tc>
          <w:tcPr>
            <w:tcW w:w="260" w:type="dxa"/>
            <w:vAlign w:val="bottom"/>
            <w:tcBorders>
              <w:top w:val="single" w:sz="8" w:color="92BAEA"/>
              <w:bottom w:val="single" w:sz="8" w:color="auto"/>
              <w:right w:val="single" w:sz="8" w:color="auto"/>
            </w:tcBorders>
            <w:shd w:val="clear" w:color="auto" w:fill="92BAEA"/>
          </w:tcPr>
          <w:p>
            <w:pPr>
              <w:spacing w:after="0"/>
              <w:rPr>
                <w:sz w:val="11"/>
                <w:szCs w:val="11"/>
                <w:color w:val="auto"/>
              </w:rPr>
            </w:pPr>
          </w:p>
        </w:tc>
        <w:tc>
          <w:tcPr>
            <w:tcW w:w="1380" w:type="dxa"/>
            <w:vAlign w:val="bottom"/>
            <w:tcBorders>
              <w:top w:val="single" w:sz="8" w:color="auto"/>
              <w:bottom w:val="single" w:sz="8" w:color="auto"/>
              <w:right w:val="single" w:sz="8" w:color="auto"/>
            </w:tcBorders>
            <w:shd w:val="clear" w:color="auto" w:fill="92BAEA"/>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rPr>
              <w:t>91,132</w:t>
            </w:r>
          </w:p>
        </w:tc>
      </w:tr>
    </w:tbl>
    <w:p>
      <w:pPr>
        <w:spacing w:after="0" w:line="1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132547"/>
        </w:rPr>
        <w:t>*  Profit from revaluation linked to partial sale of asset.</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132547"/>
        </w:rPr>
        <w:t>** Recognition of income related to lower earn-out payments offset by a revaluation in the value of financial assets.</w:t>
      </w:r>
    </w:p>
    <w:p>
      <w:pPr>
        <w:spacing w:after="0" w:line="15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Appendix 3 – Debentures Covenants</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Debentures Covenants</w:t>
      </w:r>
    </w:p>
    <w:p>
      <w:pPr>
        <w:spacing w:after="0" w:line="172" w:lineRule="exact"/>
        <w:rPr>
          <w:sz w:val="20"/>
          <w:szCs w:val="20"/>
          <w:color w:val="auto"/>
        </w:rPr>
      </w:pPr>
    </w:p>
    <w:p>
      <w:pPr>
        <w:jc w:val="both"/>
        <w:ind w:left="8"/>
        <w:spacing w:after="0" w:line="259" w:lineRule="auto"/>
        <w:rPr>
          <w:sz w:val="20"/>
          <w:szCs w:val="20"/>
          <w:color w:val="auto"/>
        </w:rPr>
      </w:pPr>
      <w:r>
        <w:rPr>
          <w:rFonts w:ascii="Times New Roman" w:cs="Times New Roman" w:eastAsia="Times New Roman" w:hAnsi="Times New Roman"/>
          <w:sz w:val="12"/>
          <w:szCs w:val="12"/>
          <w:color w:val="auto"/>
        </w:rPr>
        <w:t>As of September 30, 2025, the Company was in compliance with all of its financial covenants under the indenture for the Series C, D, F, G and H Debentures, based on having achieved the following in its consolidated financial results:</w:t>
      </w:r>
    </w:p>
    <w:p>
      <w:pPr>
        <w:spacing w:after="0" w:line="29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Minimum equity</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The company's equity shall be maintained at no less than NIS 375 million so long as debentures F remain outstanding, NIS 1,250 million so long as debentures C and D remain outstanding, and USD 600 million so long as debentures</w:t>
      </w:r>
    </w:p>
    <w:p>
      <w:pPr>
        <w:spacing w:after="0" w:line="17" w:lineRule="exact"/>
        <w:rPr>
          <w:sz w:val="20"/>
          <w:szCs w:val="20"/>
          <w:color w:val="auto"/>
        </w:rPr>
      </w:pPr>
    </w:p>
    <w:p>
      <w:pPr>
        <w:ind w:left="228" w:hanging="228"/>
        <w:spacing w:after="0"/>
        <w:tabs>
          <w:tab w:leader="none" w:pos="228"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 H remain outstanding.</w:t>
      </w:r>
    </w:p>
    <w:p>
      <w:pPr>
        <w:spacing w:after="0" w:line="15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September 30, 2025, the company’s equity amounted to NIS 6,474 million (USD 1,958 million).</w:t>
      </w:r>
    </w:p>
    <w:p>
      <w:pPr>
        <w:spacing w:after="0" w:line="1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Net financial debt to net CAP</w:t>
      </w:r>
    </w:p>
    <w:p>
      <w:pPr>
        <w:spacing w:after="0" w:line="163" w:lineRule="exact"/>
        <w:rPr>
          <w:sz w:val="20"/>
          <w:szCs w:val="20"/>
          <w:color w:val="auto"/>
        </w:rPr>
      </w:pPr>
    </w:p>
    <w:p>
      <w:pPr>
        <w:ind w:left="8" w:right="20"/>
        <w:spacing w:after="0" w:line="295" w:lineRule="auto"/>
        <w:rPr>
          <w:sz w:val="20"/>
          <w:szCs w:val="20"/>
          <w:color w:val="auto"/>
        </w:rPr>
      </w:pPr>
      <w:r>
        <w:rPr>
          <w:rFonts w:ascii="Times New Roman" w:cs="Times New Roman" w:eastAsia="Times New Roman" w:hAnsi="Times New Roman"/>
          <w:sz w:val="12"/>
          <w:szCs w:val="12"/>
          <w:color w:val="auto"/>
        </w:rPr>
        <w:t>The ratio of standalone net financial debt to net CAP shall not exceed 70% for two consecutive financial periods so long as debentures F remain outstanding and shall not exceed 65% for two consecutive financial periods so long as debentures C, D, G and H remain outstanding.</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September 30, 2025, the net financial debt to net CAP ratio, as defined above, stands at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7178040"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b w:val="1"/>
          <w:bCs w:val="1"/>
          <w:u w:val="single" w:color="auto"/>
          <w:color w:val="auto"/>
        </w:rPr>
        <w:t>Net financial debt to EBITDA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So long as debentures F remain outstanding, standalone financial debt shall not exceed NIS 10 million, and the consolidated financial debt to EBITDA ratio shall not exceed 18 for more than two consecutive financial periods.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as long as debentures C and D remain outstanding, the consolidated financial debt to EBITDA ratio shall not exceed 15 for more than two consecutive financial periods.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as long as debentures G and H remain outstanding, the consolidated financial debt to EBITDA ratio shall not exceed 17 for more than two consecutive financial periods.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September 30, 2025, the net financial debt to EBITDA ratio, as defined above, stands at 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Equity to balance sheet</w:t>
      </w:r>
    </w:p>
    <w:p>
      <w:pPr>
        <w:spacing w:after="0" w:line="163"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2"/>
          <w:szCs w:val="12"/>
          <w:color w:val="auto"/>
        </w:rPr>
        <w:t>The standalone equity to total balance sheet ratio shall be maintained at no less than 20% ,25% and 28%, respectively, for two consecutive financial periods for as long as debentures F, debentures C and D and debentures G and H remain outstanding.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September 30, 2025, the equity to balance sheet ratio, as defined above, stands at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182245</wp:posOffset>
            </wp:positionV>
            <wp:extent cx="717804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b w:val="1"/>
          <w:bCs w:val="1"/>
          <w:color w:val="auto"/>
        </w:rPr>
        <w:t>Appendix 5</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 Segment information: Operational projects</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000" w:type="dxa"/>
            <w:vAlign w:val="bottom"/>
            <w:tcBorders>
              <w:top w:val="single" w:sz="8" w:color="auto"/>
              <w:left w:val="single" w:sz="8" w:color="auto"/>
              <w:bottom w:val="single" w:sz="8" w:color="auto"/>
              <w:right w:val="single" w:sz="8" w:color="0070C0"/>
            </w:tcBorders>
            <w:shd w:val="clear" w:color="auto" w:fill="0070C0"/>
          </w:tcPr>
          <w:p>
            <w:pPr>
              <w:ind w:left="20"/>
              <w:spacing w:after="0"/>
              <w:rPr>
                <w:sz w:val="20"/>
                <w:szCs w:val="20"/>
                <w:color w:val="auto"/>
              </w:rPr>
            </w:pPr>
            <w:r>
              <w:rPr>
                <w:rFonts w:ascii="Times New Roman" w:cs="Times New Roman" w:eastAsia="Times New Roman" w:hAnsi="Times New Roman"/>
                <w:sz w:val="11"/>
                <w:szCs w:val="11"/>
                <w:i w:val="1"/>
                <w:iCs w:val="1"/>
                <w:color w:val="FFFFFF"/>
              </w:rPr>
              <w:t>($ thousands)</w:t>
            </w:r>
          </w:p>
        </w:tc>
        <w:tc>
          <w:tcPr>
            <w:tcW w:w="660" w:type="dxa"/>
            <w:vAlign w:val="bottom"/>
            <w:tcBorders>
              <w:top w:val="single" w:sz="8" w:color="auto"/>
              <w:bottom w:val="single" w:sz="8" w:color="auto"/>
              <w:right w:val="single" w:sz="8" w:color="auto"/>
            </w:tcBorders>
            <w:shd w:val="clear" w:color="auto" w:fill="0070C0"/>
          </w:tcPr>
          <w:p>
            <w:pPr>
              <w:spacing w:after="0"/>
              <w:rPr>
                <w:sz w:val="14"/>
                <w:szCs w:val="14"/>
                <w:color w:val="auto"/>
              </w:rPr>
            </w:pPr>
          </w:p>
        </w:tc>
        <w:tc>
          <w:tcPr>
            <w:tcW w:w="740" w:type="dxa"/>
            <w:vAlign w:val="bottom"/>
            <w:tcBorders>
              <w:top w:val="single" w:sz="8" w:color="auto"/>
              <w:bottom w:val="single" w:sz="8" w:color="auto"/>
              <w:right w:val="single" w:sz="8" w:color="auto"/>
            </w:tcBorders>
            <w:shd w:val="clear" w:color="auto" w:fill="0070C0"/>
          </w:tcPr>
          <w:p>
            <w:pPr>
              <w:spacing w:after="0"/>
              <w:rPr>
                <w:sz w:val="14"/>
                <w:szCs w:val="14"/>
                <w:color w:val="auto"/>
              </w:rPr>
            </w:pPr>
          </w:p>
        </w:tc>
        <w:tc>
          <w:tcPr>
            <w:tcW w:w="500" w:type="dxa"/>
            <w:vAlign w:val="bottom"/>
            <w:tcBorders>
              <w:top w:val="single" w:sz="8" w:color="auto"/>
              <w:bottom w:val="single" w:sz="8" w:color="auto"/>
              <w:right w:val="single" w:sz="8" w:color="0070C0"/>
            </w:tcBorders>
            <w:shd w:val="clear" w:color="auto" w:fill="0070C0"/>
          </w:tcPr>
          <w:p>
            <w:pPr>
              <w:spacing w:after="0"/>
              <w:rPr>
                <w:sz w:val="14"/>
                <w:szCs w:val="14"/>
                <w:color w:val="auto"/>
              </w:rPr>
            </w:pPr>
          </w:p>
        </w:tc>
        <w:tc>
          <w:tcPr>
            <w:tcW w:w="500" w:type="dxa"/>
            <w:vAlign w:val="bottom"/>
            <w:tcBorders>
              <w:top w:val="single" w:sz="8" w:color="auto"/>
              <w:bottom w:val="single" w:sz="8" w:color="auto"/>
              <w:right w:val="single" w:sz="8" w:color="0070C0"/>
            </w:tcBorders>
            <w:shd w:val="clear" w:color="auto" w:fill="0070C0"/>
          </w:tcPr>
          <w:p>
            <w:pPr>
              <w:spacing w:after="0"/>
              <w:rPr>
                <w:sz w:val="14"/>
                <w:szCs w:val="14"/>
                <w:color w:val="auto"/>
              </w:rPr>
            </w:pPr>
          </w:p>
        </w:tc>
        <w:tc>
          <w:tcPr>
            <w:tcW w:w="180" w:type="dxa"/>
            <w:vAlign w:val="bottom"/>
            <w:tcBorders>
              <w:top w:val="single" w:sz="8" w:color="auto"/>
              <w:bottom w:val="single" w:sz="8" w:color="auto"/>
            </w:tcBorders>
            <w:shd w:val="clear" w:color="auto" w:fill="0070C0"/>
          </w:tcPr>
          <w:p>
            <w:pPr>
              <w:spacing w:after="0"/>
              <w:rPr>
                <w:sz w:val="14"/>
                <w:szCs w:val="14"/>
                <w:color w:val="auto"/>
              </w:rPr>
            </w:pPr>
          </w:p>
        </w:tc>
        <w:tc>
          <w:tcPr>
            <w:tcW w:w="400" w:type="dxa"/>
            <w:vAlign w:val="bottom"/>
            <w:tcBorders>
              <w:top w:val="single" w:sz="8" w:color="auto"/>
              <w:bottom w:val="single" w:sz="8" w:color="auto"/>
            </w:tcBorders>
            <w:shd w:val="clear" w:color="auto" w:fill="0070C0"/>
          </w:tcPr>
          <w:p>
            <w:pPr>
              <w:spacing w:after="0"/>
              <w:rPr>
                <w:sz w:val="14"/>
                <w:szCs w:val="14"/>
                <w:color w:val="auto"/>
              </w:rPr>
            </w:pPr>
          </w:p>
        </w:tc>
        <w:tc>
          <w:tcPr>
            <w:tcW w:w="1680" w:type="dxa"/>
            <w:vAlign w:val="bottom"/>
            <w:tcBorders>
              <w:top w:val="single" w:sz="8" w:color="auto"/>
              <w:bottom w:val="single" w:sz="8" w:color="auto"/>
              <w:right w:val="single" w:sz="8" w:color="0070C0"/>
            </w:tcBorders>
            <w:gridSpan w:val="4"/>
            <w:shd w:val="clear" w:color="auto" w:fill="0070C0"/>
          </w:tcPr>
          <w:p>
            <w:pPr>
              <w:ind w:left="80"/>
              <w:spacing w:after="0"/>
              <w:rPr>
                <w:sz w:val="20"/>
                <w:szCs w:val="20"/>
                <w:color w:val="auto"/>
              </w:rPr>
            </w:pPr>
            <w:r>
              <w:rPr>
                <w:rFonts w:ascii="Times New Roman" w:cs="Times New Roman" w:eastAsia="Times New Roman" w:hAnsi="Times New Roman"/>
                <w:sz w:val="11"/>
                <w:szCs w:val="11"/>
                <w:b w:val="1"/>
                <w:bCs w:val="1"/>
                <w:color w:val="FFFFFF"/>
              </w:rPr>
              <w:t>9 Months ended September 30</w:t>
            </w:r>
          </w:p>
        </w:tc>
        <w:tc>
          <w:tcPr>
            <w:tcW w:w="740" w:type="dxa"/>
            <w:vAlign w:val="bottom"/>
            <w:tcBorders>
              <w:top w:val="single" w:sz="8" w:color="auto"/>
              <w:bottom w:val="single" w:sz="8" w:color="auto"/>
              <w:right w:val="single" w:sz="8" w:color="0070C0"/>
            </w:tcBorders>
            <w:shd w:val="clear" w:color="auto" w:fill="0070C0"/>
          </w:tcPr>
          <w:p>
            <w:pPr>
              <w:spacing w:after="0"/>
              <w:rPr>
                <w:sz w:val="14"/>
                <w:szCs w:val="14"/>
                <w:color w:val="auto"/>
              </w:rPr>
            </w:pPr>
          </w:p>
        </w:tc>
        <w:tc>
          <w:tcPr>
            <w:tcW w:w="760" w:type="dxa"/>
            <w:vAlign w:val="bottom"/>
            <w:tcBorders>
              <w:top w:val="single" w:sz="8" w:color="auto"/>
              <w:bottom w:val="single" w:sz="8" w:color="auto"/>
              <w:right w:val="single" w:sz="8" w:color="auto"/>
            </w:tcBorders>
            <w:shd w:val="clear" w:color="auto" w:fill="0070C0"/>
          </w:tcPr>
          <w:p>
            <w:pPr>
              <w:spacing w:after="0"/>
              <w:rPr>
                <w:sz w:val="14"/>
                <w:szCs w:val="14"/>
                <w:color w:val="auto"/>
              </w:rPr>
            </w:pPr>
          </w:p>
        </w:tc>
        <w:tc>
          <w:tcPr>
            <w:tcW w:w="160" w:type="dxa"/>
            <w:vAlign w:val="bottom"/>
            <w:tcBorders>
              <w:top w:val="single" w:sz="8" w:color="auto"/>
              <w:bottom w:val="single" w:sz="8" w:color="auto"/>
              <w:right w:val="single" w:sz="8" w:color="0070C0"/>
            </w:tcBorders>
            <w:shd w:val="clear" w:color="auto" w:fill="0070C0"/>
          </w:tcPr>
          <w:p>
            <w:pPr>
              <w:spacing w:after="0"/>
              <w:rPr>
                <w:sz w:val="14"/>
                <w:szCs w:val="14"/>
                <w:color w:val="auto"/>
              </w:rPr>
            </w:pPr>
          </w:p>
        </w:tc>
        <w:tc>
          <w:tcPr>
            <w:tcW w:w="340" w:type="dxa"/>
            <w:vAlign w:val="bottom"/>
            <w:tcBorders>
              <w:top w:val="single" w:sz="8" w:color="auto"/>
              <w:bottom w:val="single" w:sz="8" w:color="auto"/>
            </w:tcBorders>
            <w:shd w:val="clear" w:color="auto" w:fill="0070C0"/>
          </w:tcPr>
          <w:p>
            <w:pPr>
              <w:spacing w:after="0"/>
              <w:rPr>
                <w:sz w:val="14"/>
                <w:szCs w:val="14"/>
                <w:color w:val="auto"/>
              </w:rPr>
            </w:pPr>
          </w:p>
        </w:tc>
        <w:tc>
          <w:tcPr>
            <w:tcW w:w="200" w:type="dxa"/>
            <w:vAlign w:val="bottom"/>
            <w:tcBorders>
              <w:top w:val="single" w:sz="8" w:color="auto"/>
              <w:bottom w:val="single" w:sz="8" w:color="auto"/>
              <w:right w:val="single" w:sz="8" w:color="0070C0"/>
            </w:tcBorders>
            <w:shd w:val="clear" w:color="auto" w:fill="0070C0"/>
          </w:tcPr>
          <w:p>
            <w:pPr>
              <w:spacing w:after="0"/>
              <w:rPr>
                <w:sz w:val="14"/>
                <w:szCs w:val="14"/>
                <w:color w:val="auto"/>
              </w:rPr>
            </w:pPr>
          </w:p>
        </w:tc>
        <w:tc>
          <w:tcPr>
            <w:tcW w:w="560" w:type="dxa"/>
            <w:vAlign w:val="bottom"/>
            <w:tcBorders>
              <w:top w:val="single" w:sz="8" w:color="auto"/>
              <w:bottom w:val="single" w:sz="8" w:color="auto"/>
            </w:tcBorders>
            <w:shd w:val="clear" w:color="auto" w:fill="0070C0"/>
          </w:tcPr>
          <w:p>
            <w:pPr>
              <w:spacing w:after="0"/>
              <w:rPr>
                <w:sz w:val="14"/>
                <w:szCs w:val="14"/>
                <w:color w:val="auto"/>
              </w:rPr>
            </w:pPr>
          </w:p>
        </w:tc>
        <w:tc>
          <w:tcPr>
            <w:tcW w:w="1580" w:type="dxa"/>
            <w:vAlign w:val="bottom"/>
            <w:tcBorders>
              <w:top w:val="single" w:sz="8" w:color="auto"/>
              <w:bottom w:val="single" w:sz="8" w:color="auto"/>
              <w:right w:val="single" w:sz="8" w:color="0070C0"/>
            </w:tcBorders>
            <w:gridSpan w:val="3"/>
            <w:shd w:val="clear" w:color="auto" w:fill="0070C0"/>
          </w:tcPr>
          <w:p>
            <w:pPr>
              <w:ind w:left="100"/>
              <w:spacing w:after="0"/>
              <w:rPr>
                <w:sz w:val="20"/>
                <w:szCs w:val="20"/>
                <w:color w:val="auto"/>
              </w:rPr>
            </w:pPr>
            <w:r>
              <w:rPr>
                <w:rFonts w:ascii="Times New Roman" w:cs="Times New Roman" w:eastAsia="Times New Roman" w:hAnsi="Times New Roman"/>
                <w:sz w:val="11"/>
                <w:szCs w:val="11"/>
                <w:b w:val="1"/>
                <w:bCs w:val="1"/>
                <w:color w:val="FFFFFF"/>
              </w:rPr>
              <w:t>3 Months ended September 30</w:t>
            </w:r>
          </w:p>
        </w:tc>
        <w:tc>
          <w:tcPr>
            <w:tcW w:w="900" w:type="dxa"/>
            <w:vAlign w:val="bottom"/>
            <w:tcBorders>
              <w:top w:val="single" w:sz="8" w:color="auto"/>
              <w:bottom w:val="single" w:sz="8" w:color="auto"/>
              <w:right w:val="single" w:sz="8" w:color="0070C0"/>
            </w:tcBorders>
            <w:shd w:val="clear" w:color="auto" w:fill="0070C0"/>
          </w:tcPr>
          <w:p>
            <w:pPr>
              <w:spacing w:after="0"/>
              <w:rPr>
                <w:sz w:val="14"/>
                <w:szCs w:val="14"/>
                <w:color w:val="auto"/>
              </w:rPr>
            </w:pPr>
          </w:p>
        </w:tc>
        <w:tc>
          <w:tcPr>
            <w:tcW w:w="420" w:type="dxa"/>
            <w:vAlign w:val="bottom"/>
            <w:tcBorders>
              <w:top w:val="single" w:sz="8" w:color="auto"/>
              <w:bottom w:val="single" w:sz="8" w:color="auto"/>
              <w:right w:val="single" w:sz="8" w:color="auto"/>
            </w:tcBorders>
            <w:shd w:val="clear" w:color="auto" w:fill="0070C0"/>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000" w:type="dxa"/>
            <w:vAlign w:val="bottom"/>
            <w:tcBorders>
              <w:left w:val="single" w:sz="8" w:color="auto"/>
              <w:right w:val="single" w:sz="8" w:color="auto"/>
            </w:tcBorders>
            <w:shd w:val="clear" w:color="auto" w:fill="0070C0"/>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FFFFFF"/>
                <w:w w:val="98"/>
              </w:rPr>
              <w:t>Operational</w:t>
            </w:r>
          </w:p>
        </w:tc>
        <w:tc>
          <w:tcPr>
            <w:tcW w:w="660" w:type="dxa"/>
            <w:vAlign w:val="bottom"/>
            <w:tcBorders>
              <w:right w:val="single" w:sz="8" w:color="auto"/>
            </w:tcBorders>
            <w:shd w:val="clear" w:color="auto" w:fill="0070C0"/>
          </w:tcPr>
          <w:p>
            <w:pPr>
              <w:jc w:val="center"/>
              <w:spacing w:after="0" w:line="123" w:lineRule="exact"/>
              <w:rPr>
                <w:sz w:val="20"/>
                <w:szCs w:val="20"/>
                <w:color w:val="auto"/>
              </w:rPr>
            </w:pPr>
            <w:r>
              <w:rPr>
                <w:rFonts w:ascii="Times New Roman" w:cs="Times New Roman" w:eastAsia="Times New Roman" w:hAnsi="Times New Roman"/>
                <w:sz w:val="11"/>
                <w:szCs w:val="11"/>
                <w:color w:val="FFFFFF"/>
              </w:rPr>
              <w:t>Installed</w:t>
            </w:r>
          </w:p>
        </w:tc>
        <w:tc>
          <w:tcPr>
            <w:tcW w:w="74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1"/>
                <w:szCs w:val="11"/>
                <w:color w:val="FFFFFF"/>
                <w:w w:val="94"/>
              </w:rPr>
              <w:t>Installed</w:t>
            </w:r>
          </w:p>
        </w:tc>
        <w:tc>
          <w:tcPr>
            <w:tcW w:w="500" w:type="dxa"/>
            <w:vAlign w:val="bottom"/>
            <w:tcBorders>
              <w:right w:val="single" w:sz="8" w:color="0070C0"/>
            </w:tcBorders>
            <w:shd w:val="clear" w:color="auto" w:fill="0070C0"/>
          </w:tcPr>
          <w:p>
            <w:pPr>
              <w:spacing w:after="0"/>
              <w:rPr>
                <w:sz w:val="10"/>
                <w:szCs w:val="10"/>
                <w:color w:val="auto"/>
              </w:rPr>
            </w:pPr>
          </w:p>
        </w:tc>
        <w:tc>
          <w:tcPr>
            <w:tcW w:w="680" w:type="dxa"/>
            <w:vAlign w:val="bottom"/>
            <w:gridSpan w:val="2"/>
            <w:vMerge w:val="restart"/>
            <w:shd w:val="clear" w:color="auto" w:fill="0070C0"/>
          </w:tcPr>
          <w:p>
            <w:pPr>
              <w:jc w:val="center"/>
              <w:ind w:left="26"/>
              <w:spacing w:after="0"/>
              <w:rPr>
                <w:sz w:val="20"/>
                <w:szCs w:val="20"/>
                <w:color w:val="auto"/>
              </w:rPr>
            </w:pPr>
            <w:r>
              <w:rPr>
                <w:rFonts w:ascii="Times New Roman" w:cs="Times New Roman" w:eastAsia="Times New Roman" w:hAnsi="Times New Roman"/>
                <w:sz w:val="11"/>
                <w:szCs w:val="11"/>
                <w:color w:val="FFFFFF"/>
                <w:w w:val="98"/>
              </w:rPr>
              <w:t>Generation</w:t>
            </w:r>
          </w:p>
        </w:tc>
        <w:tc>
          <w:tcPr>
            <w:tcW w:w="400" w:type="dxa"/>
            <w:vAlign w:val="bottom"/>
            <w:shd w:val="clear" w:color="auto" w:fill="0070C0"/>
          </w:tcPr>
          <w:p>
            <w:pPr>
              <w:spacing w:after="0"/>
              <w:rPr>
                <w:sz w:val="10"/>
                <w:szCs w:val="10"/>
                <w:color w:val="auto"/>
              </w:rPr>
            </w:pPr>
          </w:p>
        </w:tc>
        <w:tc>
          <w:tcPr>
            <w:tcW w:w="180" w:type="dxa"/>
            <w:vAlign w:val="bottom"/>
            <w:tcBorders>
              <w:right w:val="single" w:sz="8" w:color="auto"/>
            </w:tcBorders>
            <w:shd w:val="clear" w:color="auto" w:fill="0070C0"/>
          </w:tcPr>
          <w:p>
            <w:pPr>
              <w:spacing w:after="0"/>
              <w:rPr>
                <w:sz w:val="10"/>
                <w:szCs w:val="10"/>
                <w:color w:val="auto"/>
              </w:rPr>
            </w:pPr>
          </w:p>
        </w:tc>
        <w:tc>
          <w:tcPr>
            <w:tcW w:w="1500" w:type="dxa"/>
            <w:vAlign w:val="bottom"/>
            <w:tcBorders>
              <w:right w:val="single" w:sz="8" w:color="auto"/>
            </w:tcBorders>
            <w:gridSpan w:val="3"/>
            <w:vMerge w:val="restart"/>
            <w:shd w:val="clear" w:color="auto" w:fill="0070C0"/>
          </w:tcPr>
          <w:p>
            <w:pPr>
              <w:jc w:val="center"/>
              <w:spacing w:after="0"/>
              <w:rPr>
                <w:sz w:val="20"/>
                <w:szCs w:val="20"/>
                <w:color w:val="auto"/>
              </w:rPr>
            </w:pPr>
            <w:r>
              <w:rPr>
                <w:rFonts w:ascii="Times New Roman" w:cs="Times New Roman" w:eastAsia="Times New Roman" w:hAnsi="Times New Roman"/>
                <w:sz w:val="11"/>
                <w:szCs w:val="11"/>
                <w:color w:val="FFFFFF"/>
                <w:w w:val="97"/>
              </w:rPr>
              <w:t>Revenues and</w:t>
            </w:r>
          </w:p>
        </w:tc>
        <w:tc>
          <w:tcPr>
            <w:tcW w:w="1500" w:type="dxa"/>
            <w:vAlign w:val="bottom"/>
            <w:tcBorders>
              <w:right w:val="single" w:sz="8" w:color="auto"/>
            </w:tcBorders>
            <w:gridSpan w:val="2"/>
            <w:vMerge w:val="restart"/>
            <w:shd w:val="clear" w:color="auto" w:fill="0070C0"/>
          </w:tcPr>
          <w:p>
            <w:pPr>
              <w:jc w:val="center"/>
              <w:ind w:right="6"/>
              <w:spacing w:after="0"/>
              <w:rPr>
                <w:sz w:val="20"/>
                <w:szCs w:val="20"/>
                <w:color w:val="auto"/>
              </w:rPr>
            </w:pPr>
            <w:r>
              <w:rPr>
                <w:rFonts w:ascii="Times New Roman" w:cs="Times New Roman" w:eastAsia="Times New Roman" w:hAnsi="Times New Roman"/>
                <w:sz w:val="11"/>
                <w:szCs w:val="11"/>
                <w:color w:val="FFFFFF"/>
                <w:w w:val="98"/>
              </w:rPr>
              <w:t>Segment Adjusted</w:t>
            </w:r>
          </w:p>
        </w:tc>
        <w:tc>
          <w:tcPr>
            <w:tcW w:w="160" w:type="dxa"/>
            <w:vAlign w:val="bottom"/>
            <w:tcBorders>
              <w:right w:val="single" w:sz="8" w:color="0070C0"/>
            </w:tcBorders>
            <w:shd w:val="clear" w:color="auto" w:fill="0070C0"/>
          </w:tcPr>
          <w:p>
            <w:pPr>
              <w:spacing w:after="0"/>
              <w:rPr>
                <w:sz w:val="10"/>
                <w:szCs w:val="10"/>
                <w:color w:val="auto"/>
              </w:rPr>
            </w:pPr>
          </w:p>
        </w:tc>
        <w:tc>
          <w:tcPr>
            <w:tcW w:w="1100" w:type="dxa"/>
            <w:vAlign w:val="bottom"/>
            <w:gridSpan w:val="3"/>
            <w:vMerge w:val="restart"/>
            <w:shd w:val="clear" w:color="auto" w:fill="0070C0"/>
          </w:tcPr>
          <w:p>
            <w:pPr>
              <w:jc w:val="center"/>
              <w:ind w:right="6"/>
              <w:spacing w:after="0"/>
              <w:rPr>
                <w:sz w:val="20"/>
                <w:szCs w:val="20"/>
                <w:color w:val="auto"/>
              </w:rPr>
            </w:pPr>
            <w:r>
              <w:rPr>
                <w:rFonts w:ascii="Times New Roman" w:cs="Times New Roman" w:eastAsia="Times New Roman" w:hAnsi="Times New Roman"/>
                <w:sz w:val="11"/>
                <w:szCs w:val="11"/>
                <w:color w:val="FFFFFF"/>
                <w:w w:val="98"/>
              </w:rPr>
              <w:t>Generation</w:t>
            </w:r>
          </w:p>
        </w:tc>
        <w:tc>
          <w:tcPr>
            <w:tcW w:w="140" w:type="dxa"/>
            <w:vAlign w:val="bottom"/>
            <w:tcBorders>
              <w:right w:val="single" w:sz="8" w:color="auto"/>
            </w:tcBorders>
            <w:shd w:val="clear" w:color="auto" w:fill="0070C0"/>
          </w:tcPr>
          <w:p>
            <w:pPr>
              <w:spacing w:after="0"/>
              <w:rPr>
                <w:sz w:val="10"/>
                <w:szCs w:val="10"/>
                <w:color w:val="auto"/>
              </w:rPr>
            </w:pPr>
          </w:p>
        </w:tc>
        <w:tc>
          <w:tcPr>
            <w:tcW w:w="640" w:type="dxa"/>
            <w:vAlign w:val="bottom"/>
            <w:tcBorders>
              <w:right w:val="single" w:sz="8" w:color="0070C0"/>
            </w:tcBorders>
            <w:shd w:val="clear" w:color="auto" w:fill="0070C0"/>
          </w:tcPr>
          <w:p>
            <w:pPr>
              <w:spacing w:after="0"/>
              <w:rPr>
                <w:sz w:val="10"/>
                <w:szCs w:val="10"/>
                <w:color w:val="auto"/>
              </w:rPr>
            </w:pPr>
          </w:p>
        </w:tc>
        <w:tc>
          <w:tcPr>
            <w:tcW w:w="800" w:type="dxa"/>
            <w:vAlign w:val="bottom"/>
            <w:tcBorders>
              <w:right w:val="single" w:sz="8" w:color="auto"/>
            </w:tcBorders>
            <w:shd w:val="clear" w:color="auto" w:fill="0070C0"/>
          </w:tcPr>
          <w:p>
            <w:pPr>
              <w:spacing w:after="0"/>
              <w:rPr>
                <w:sz w:val="10"/>
                <w:szCs w:val="10"/>
                <w:color w:val="auto"/>
              </w:rPr>
            </w:pPr>
          </w:p>
        </w:tc>
        <w:tc>
          <w:tcPr>
            <w:tcW w:w="1320" w:type="dxa"/>
            <w:vAlign w:val="bottom"/>
            <w:tcBorders>
              <w:right w:val="single" w:sz="8" w:color="auto"/>
            </w:tcBorders>
            <w:gridSpan w:val="2"/>
            <w:vMerge w:val="restart"/>
            <w:shd w:val="clear" w:color="auto" w:fill="0070C0"/>
          </w:tcPr>
          <w:p>
            <w:pPr>
              <w:jc w:val="center"/>
              <w:ind w:right="26"/>
              <w:spacing w:after="0"/>
              <w:rPr>
                <w:sz w:val="20"/>
                <w:szCs w:val="20"/>
                <w:color w:val="auto"/>
              </w:rPr>
            </w:pPr>
            <w:r>
              <w:rPr>
                <w:rFonts w:ascii="Times New Roman" w:cs="Times New Roman" w:eastAsia="Times New Roman" w:hAnsi="Times New Roman"/>
                <w:sz w:val="11"/>
                <w:szCs w:val="11"/>
                <w:color w:val="FFFFFF"/>
                <w:w w:val="98"/>
              </w:rPr>
              <w:t>Segment Adjusted</w:t>
            </w:r>
          </w:p>
        </w:tc>
        <w:tc>
          <w:tcPr>
            <w:tcW w:w="0" w:type="dxa"/>
            <w:vAlign w:val="bottom"/>
          </w:tcPr>
          <w:p>
            <w:pPr>
              <w:spacing w:after="0"/>
              <w:rPr>
                <w:sz w:val="1"/>
                <w:szCs w:val="1"/>
                <w:color w:val="auto"/>
              </w:rPr>
            </w:pPr>
          </w:p>
        </w:tc>
      </w:tr>
      <w:tr>
        <w:trPr>
          <w:trHeight w:val="65"/>
        </w:trPr>
        <w:tc>
          <w:tcPr>
            <w:tcW w:w="1000" w:type="dxa"/>
            <w:vAlign w:val="bottom"/>
            <w:tcBorders>
              <w:left w:val="single" w:sz="8" w:color="auto"/>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1"/>
                <w:szCs w:val="11"/>
                <w:b w:val="1"/>
                <w:bCs w:val="1"/>
                <w:color w:val="FFFFFF"/>
                <w:w w:val="99"/>
              </w:rPr>
              <w:t>Project</w:t>
            </w:r>
          </w:p>
        </w:tc>
        <w:tc>
          <w:tcPr>
            <w:tcW w:w="66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1"/>
                <w:szCs w:val="11"/>
                <w:color w:val="FFFFFF"/>
                <w:w w:val="97"/>
              </w:rPr>
              <w:t>Capacity</w:t>
            </w:r>
          </w:p>
        </w:tc>
        <w:tc>
          <w:tcPr>
            <w:tcW w:w="740" w:type="dxa"/>
            <w:vAlign w:val="bottom"/>
            <w:tcBorders>
              <w:right w:val="single" w:sz="8" w:color="auto"/>
            </w:tcBorders>
            <w:vMerge w:val="continue"/>
            <w:shd w:val="clear" w:color="auto" w:fill="0070C0"/>
          </w:tcPr>
          <w:p>
            <w:pPr>
              <w:spacing w:after="0"/>
              <w:rPr>
                <w:sz w:val="5"/>
                <w:szCs w:val="5"/>
                <w:color w:val="auto"/>
              </w:rPr>
            </w:pPr>
          </w:p>
        </w:tc>
        <w:tc>
          <w:tcPr>
            <w:tcW w:w="500" w:type="dxa"/>
            <w:vAlign w:val="bottom"/>
            <w:tcBorders>
              <w:right w:val="single" w:sz="8" w:color="0070C0"/>
            </w:tcBorders>
            <w:shd w:val="clear" w:color="auto" w:fill="0070C0"/>
          </w:tcPr>
          <w:p>
            <w:pPr>
              <w:spacing w:after="0"/>
              <w:rPr>
                <w:sz w:val="5"/>
                <w:szCs w:val="5"/>
                <w:color w:val="auto"/>
              </w:rPr>
            </w:pPr>
          </w:p>
        </w:tc>
        <w:tc>
          <w:tcPr>
            <w:tcW w:w="680" w:type="dxa"/>
            <w:vAlign w:val="bottom"/>
            <w:gridSpan w:val="2"/>
            <w:vMerge w:val="continue"/>
            <w:shd w:val="clear" w:color="auto" w:fill="0070C0"/>
          </w:tcPr>
          <w:p>
            <w:pPr>
              <w:spacing w:after="0"/>
              <w:rPr>
                <w:sz w:val="5"/>
                <w:szCs w:val="5"/>
                <w:color w:val="auto"/>
              </w:rPr>
            </w:pPr>
          </w:p>
        </w:tc>
        <w:tc>
          <w:tcPr>
            <w:tcW w:w="400" w:type="dxa"/>
            <w:vAlign w:val="bottom"/>
            <w:shd w:val="clear" w:color="auto" w:fill="0070C0"/>
          </w:tcPr>
          <w:p>
            <w:pPr>
              <w:spacing w:after="0"/>
              <w:rPr>
                <w:sz w:val="5"/>
                <w:szCs w:val="5"/>
                <w:color w:val="auto"/>
              </w:rPr>
            </w:pPr>
          </w:p>
        </w:tc>
        <w:tc>
          <w:tcPr>
            <w:tcW w:w="180" w:type="dxa"/>
            <w:vAlign w:val="bottom"/>
            <w:tcBorders>
              <w:right w:val="single" w:sz="8" w:color="auto"/>
            </w:tcBorders>
            <w:shd w:val="clear" w:color="auto" w:fill="0070C0"/>
          </w:tcPr>
          <w:p>
            <w:pPr>
              <w:spacing w:after="0"/>
              <w:rPr>
                <w:sz w:val="5"/>
                <w:szCs w:val="5"/>
                <w:color w:val="auto"/>
              </w:rPr>
            </w:pPr>
          </w:p>
        </w:tc>
        <w:tc>
          <w:tcPr>
            <w:tcW w:w="1500" w:type="dxa"/>
            <w:vAlign w:val="bottom"/>
            <w:tcBorders>
              <w:right w:val="single" w:sz="8" w:color="auto"/>
            </w:tcBorders>
            <w:gridSpan w:val="3"/>
            <w:vMerge w:val="continue"/>
            <w:shd w:val="clear" w:color="auto" w:fill="0070C0"/>
          </w:tcPr>
          <w:p>
            <w:pPr>
              <w:spacing w:after="0"/>
              <w:rPr>
                <w:sz w:val="5"/>
                <w:szCs w:val="5"/>
                <w:color w:val="auto"/>
              </w:rPr>
            </w:pPr>
          </w:p>
        </w:tc>
        <w:tc>
          <w:tcPr>
            <w:tcW w:w="1500" w:type="dxa"/>
            <w:vAlign w:val="bottom"/>
            <w:tcBorders>
              <w:right w:val="single" w:sz="8" w:color="auto"/>
            </w:tcBorders>
            <w:gridSpan w:val="2"/>
            <w:vMerge w:val="continue"/>
            <w:shd w:val="clear" w:color="auto" w:fill="0070C0"/>
          </w:tcPr>
          <w:p>
            <w:pPr>
              <w:spacing w:after="0"/>
              <w:rPr>
                <w:sz w:val="5"/>
                <w:szCs w:val="5"/>
                <w:color w:val="auto"/>
              </w:rPr>
            </w:pPr>
          </w:p>
        </w:tc>
        <w:tc>
          <w:tcPr>
            <w:tcW w:w="160" w:type="dxa"/>
            <w:vAlign w:val="bottom"/>
            <w:tcBorders>
              <w:right w:val="single" w:sz="8" w:color="0070C0"/>
            </w:tcBorders>
            <w:shd w:val="clear" w:color="auto" w:fill="0070C0"/>
          </w:tcPr>
          <w:p>
            <w:pPr>
              <w:spacing w:after="0"/>
              <w:rPr>
                <w:sz w:val="5"/>
                <w:szCs w:val="5"/>
                <w:color w:val="auto"/>
              </w:rPr>
            </w:pPr>
          </w:p>
        </w:tc>
        <w:tc>
          <w:tcPr>
            <w:tcW w:w="1100" w:type="dxa"/>
            <w:vAlign w:val="bottom"/>
            <w:gridSpan w:val="3"/>
            <w:vMerge w:val="continue"/>
            <w:shd w:val="clear" w:color="auto" w:fill="0070C0"/>
          </w:tcPr>
          <w:p>
            <w:pPr>
              <w:spacing w:after="0"/>
              <w:rPr>
                <w:sz w:val="5"/>
                <w:szCs w:val="5"/>
                <w:color w:val="auto"/>
              </w:rPr>
            </w:pPr>
          </w:p>
        </w:tc>
        <w:tc>
          <w:tcPr>
            <w:tcW w:w="140" w:type="dxa"/>
            <w:vAlign w:val="bottom"/>
            <w:tcBorders>
              <w:right w:val="single" w:sz="8" w:color="auto"/>
            </w:tcBorders>
            <w:shd w:val="clear" w:color="auto" w:fill="0070C0"/>
          </w:tcPr>
          <w:p>
            <w:pPr>
              <w:spacing w:after="0"/>
              <w:rPr>
                <w:sz w:val="5"/>
                <w:szCs w:val="5"/>
                <w:color w:val="auto"/>
              </w:rPr>
            </w:pPr>
          </w:p>
        </w:tc>
        <w:tc>
          <w:tcPr>
            <w:tcW w:w="1440" w:type="dxa"/>
            <w:vAlign w:val="bottom"/>
            <w:tcBorders>
              <w:right w:val="single" w:sz="8" w:color="auto"/>
            </w:tcBorders>
            <w:gridSpan w:val="2"/>
            <w:vMerge w:val="restart"/>
            <w:shd w:val="clear" w:color="auto" w:fill="0070C0"/>
          </w:tcPr>
          <w:p>
            <w:pPr>
              <w:ind w:left="320"/>
              <w:spacing w:after="0"/>
              <w:rPr>
                <w:sz w:val="20"/>
                <w:szCs w:val="20"/>
                <w:color w:val="auto"/>
              </w:rPr>
            </w:pPr>
            <w:r>
              <w:rPr>
                <w:rFonts w:ascii="Times New Roman" w:cs="Times New Roman" w:eastAsia="Times New Roman" w:hAnsi="Times New Roman"/>
                <w:sz w:val="11"/>
                <w:szCs w:val="11"/>
                <w:color w:val="FFFFFF"/>
              </w:rPr>
              <w:t>Reported Revenue</w:t>
            </w:r>
          </w:p>
        </w:tc>
        <w:tc>
          <w:tcPr>
            <w:tcW w:w="1320" w:type="dxa"/>
            <w:vAlign w:val="bottom"/>
            <w:tcBorders>
              <w:right w:val="single" w:sz="8" w:color="auto"/>
            </w:tcBorders>
            <w:gridSpan w:val="2"/>
            <w:vMerge w:val="continue"/>
            <w:shd w:val="clear" w:color="auto" w:fill="0070C0"/>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1000" w:type="dxa"/>
            <w:vAlign w:val="bottom"/>
            <w:tcBorders>
              <w:left w:val="single" w:sz="8" w:color="auto"/>
              <w:right w:val="single" w:sz="8" w:color="auto"/>
            </w:tcBorders>
            <w:vMerge w:val="continue"/>
            <w:shd w:val="clear" w:color="auto" w:fill="0070C0"/>
          </w:tcPr>
          <w:p>
            <w:pPr>
              <w:spacing w:after="0"/>
              <w:rPr>
                <w:sz w:val="6"/>
                <w:szCs w:val="6"/>
                <w:color w:val="auto"/>
              </w:rPr>
            </w:pPr>
          </w:p>
        </w:tc>
        <w:tc>
          <w:tcPr>
            <w:tcW w:w="660" w:type="dxa"/>
            <w:vAlign w:val="bottom"/>
            <w:tcBorders>
              <w:right w:val="single" w:sz="8" w:color="auto"/>
            </w:tcBorders>
            <w:vMerge w:val="continue"/>
            <w:shd w:val="clear" w:color="auto" w:fill="0070C0"/>
          </w:tcPr>
          <w:p>
            <w:pPr>
              <w:spacing w:after="0"/>
              <w:rPr>
                <w:sz w:val="6"/>
                <w:szCs w:val="6"/>
                <w:color w:val="auto"/>
              </w:rPr>
            </w:pPr>
          </w:p>
        </w:tc>
        <w:tc>
          <w:tcPr>
            <w:tcW w:w="74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1"/>
                <w:szCs w:val="11"/>
                <w:color w:val="FFFFFF"/>
                <w:w w:val="97"/>
              </w:rPr>
              <w:t>Storage (MWh)</w:t>
            </w:r>
          </w:p>
        </w:tc>
        <w:tc>
          <w:tcPr>
            <w:tcW w:w="500" w:type="dxa"/>
            <w:vAlign w:val="bottom"/>
            <w:tcBorders>
              <w:right w:val="single" w:sz="8" w:color="0070C0"/>
            </w:tcBorders>
            <w:shd w:val="clear" w:color="auto" w:fill="0070C0"/>
          </w:tcPr>
          <w:p>
            <w:pPr>
              <w:spacing w:after="0"/>
              <w:rPr>
                <w:sz w:val="6"/>
                <w:szCs w:val="6"/>
                <w:color w:val="auto"/>
              </w:rPr>
            </w:pPr>
          </w:p>
        </w:tc>
        <w:tc>
          <w:tcPr>
            <w:tcW w:w="680" w:type="dxa"/>
            <w:vAlign w:val="bottom"/>
            <w:gridSpan w:val="2"/>
            <w:vMerge w:val="restart"/>
            <w:shd w:val="clear" w:color="auto" w:fill="0070C0"/>
          </w:tcPr>
          <w:p>
            <w:pPr>
              <w:jc w:val="center"/>
              <w:ind w:left="6"/>
              <w:spacing w:after="0"/>
              <w:rPr>
                <w:sz w:val="20"/>
                <w:szCs w:val="20"/>
                <w:color w:val="auto"/>
              </w:rPr>
            </w:pPr>
            <w:r>
              <w:rPr>
                <w:rFonts w:ascii="Times New Roman" w:cs="Times New Roman" w:eastAsia="Times New Roman" w:hAnsi="Times New Roman"/>
                <w:sz w:val="11"/>
                <w:szCs w:val="11"/>
                <w:color w:val="FFFFFF"/>
                <w:w w:val="96"/>
              </w:rPr>
              <w:t>(GWh)</w:t>
            </w:r>
          </w:p>
        </w:tc>
        <w:tc>
          <w:tcPr>
            <w:tcW w:w="400" w:type="dxa"/>
            <w:vAlign w:val="bottom"/>
            <w:shd w:val="clear" w:color="auto" w:fill="0070C0"/>
          </w:tcPr>
          <w:p>
            <w:pPr>
              <w:spacing w:after="0"/>
              <w:rPr>
                <w:sz w:val="6"/>
                <w:szCs w:val="6"/>
                <w:color w:val="auto"/>
              </w:rPr>
            </w:pPr>
          </w:p>
        </w:tc>
        <w:tc>
          <w:tcPr>
            <w:tcW w:w="180" w:type="dxa"/>
            <w:vAlign w:val="bottom"/>
            <w:tcBorders>
              <w:right w:val="single" w:sz="8" w:color="auto"/>
            </w:tcBorders>
            <w:shd w:val="clear" w:color="auto" w:fill="0070C0"/>
          </w:tcPr>
          <w:p>
            <w:pPr>
              <w:spacing w:after="0"/>
              <w:rPr>
                <w:sz w:val="6"/>
                <w:szCs w:val="6"/>
                <w:color w:val="auto"/>
              </w:rPr>
            </w:pPr>
          </w:p>
        </w:tc>
        <w:tc>
          <w:tcPr>
            <w:tcW w:w="560" w:type="dxa"/>
            <w:vAlign w:val="bottom"/>
            <w:shd w:val="clear" w:color="auto" w:fill="0070C0"/>
          </w:tcPr>
          <w:p>
            <w:pPr>
              <w:spacing w:after="0"/>
              <w:rPr>
                <w:sz w:val="6"/>
                <w:szCs w:val="6"/>
                <w:color w:val="auto"/>
              </w:rPr>
            </w:pPr>
          </w:p>
        </w:tc>
        <w:tc>
          <w:tcPr>
            <w:tcW w:w="940" w:type="dxa"/>
            <w:vAlign w:val="bottom"/>
            <w:tcBorders>
              <w:right w:val="single" w:sz="8" w:color="auto"/>
            </w:tcBorders>
            <w:gridSpan w:val="2"/>
            <w:vMerge w:val="restart"/>
            <w:shd w:val="clear" w:color="auto" w:fill="0070C0"/>
          </w:tcPr>
          <w:p>
            <w:pPr>
              <w:jc w:val="center"/>
              <w:ind w:right="526"/>
              <w:spacing w:after="0"/>
              <w:rPr>
                <w:sz w:val="20"/>
                <w:szCs w:val="20"/>
                <w:color w:val="auto"/>
              </w:rPr>
            </w:pPr>
            <w:r>
              <w:rPr>
                <w:rFonts w:ascii="Times New Roman" w:cs="Times New Roman" w:eastAsia="Times New Roman" w:hAnsi="Times New Roman"/>
                <w:sz w:val="11"/>
                <w:szCs w:val="11"/>
                <w:color w:val="FFFFFF"/>
                <w:w w:val="98"/>
              </w:rPr>
              <w:t>income</w:t>
            </w:r>
          </w:p>
        </w:tc>
        <w:tc>
          <w:tcPr>
            <w:tcW w:w="1500" w:type="dxa"/>
            <w:vAlign w:val="bottom"/>
            <w:tcBorders>
              <w:right w:val="single" w:sz="8" w:color="auto"/>
            </w:tcBorders>
            <w:gridSpan w:val="2"/>
            <w:vMerge w:val="restart"/>
            <w:shd w:val="clear" w:color="auto" w:fill="0070C0"/>
          </w:tcPr>
          <w:p>
            <w:pPr>
              <w:jc w:val="center"/>
              <w:spacing w:after="0"/>
              <w:rPr>
                <w:sz w:val="20"/>
                <w:szCs w:val="20"/>
                <w:color w:val="auto"/>
              </w:rPr>
            </w:pPr>
            <w:r>
              <w:rPr>
                <w:rFonts w:ascii="Times New Roman" w:cs="Times New Roman" w:eastAsia="Times New Roman" w:hAnsi="Times New Roman"/>
                <w:sz w:val="11"/>
                <w:szCs w:val="11"/>
                <w:color w:val="FFFFFF"/>
                <w:w w:val="95"/>
              </w:rPr>
              <w:t>EBITDA*</w:t>
            </w:r>
          </w:p>
        </w:tc>
        <w:tc>
          <w:tcPr>
            <w:tcW w:w="160" w:type="dxa"/>
            <w:vAlign w:val="bottom"/>
            <w:tcBorders>
              <w:right w:val="single" w:sz="8" w:color="0070C0"/>
            </w:tcBorders>
            <w:shd w:val="clear" w:color="auto" w:fill="0070C0"/>
          </w:tcPr>
          <w:p>
            <w:pPr>
              <w:spacing w:after="0"/>
              <w:rPr>
                <w:sz w:val="6"/>
                <w:szCs w:val="6"/>
                <w:color w:val="auto"/>
              </w:rPr>
            </w:pPr>
          </w:p>
        </w:tc>
        <w:tc>
          <w:tcPr>
            <w:tcW w:w="340" w:type="dxa"/>
            <w:vAlign w:val="bottom"/>
            <w:shd w:val="clear" w:color="auto" w:fill="0070C0"/>
          </w:tcPr>
          <w:p>
            <w:pPr>
              <w:spacing w:after="0"/>
              <w:rPr>
                <w:sz w:val="6"/>
                <w:szCs w:val="6"/>
                <w:color w:val="auto"/>
              </w:rPr>
            </w:pPr>
          </w:p>
        </w:tc>
        <w:tc>
          <w:tcPr>
            <w:tcW w:w="760" w:type="dxa"/>
            <w:vAlign w:val="bottom"/>
            <w:gridSpan w:val="2"/>
            <w:vMerge w:val="restart"/>
            <w:shd w:val="clear" w:color="auto" w:fill="0070C0"/>
          </w:tcPr>
          <w:p>
            <w:pPr>
              <w:jc w:val="center"/>
              <w:ind w:right="326"/>
              <w:spacing w:after="0"/>
              <w:rPr>
                <w:sz w:val="20"/>
                <w:szCs w:val="20"/>
                <w:color w:val="auto"/>
              </w:rPr>
            </w:pPr>
            <w:r>
              <w:rPr>
                <w:rFonts w:ascii="Times New Roman" w:cs="Times New Roman" w:eastAsia="Times New Roman" w:hAnsi="Times New Roman"/>
                <w:sz w:val="11"/>
                <w:szCs w:val="11"/>
                <w:color w:val="FFFFFF"/>
                <w:w w:val="96"/>
              </w:rPr>
              <w:t>(GWh)</w:t>
            </w:r>
          </w:p>
        </w:tc>
        <w:tc>
          <w:tcPr>
            <w:tcW w:w="140" w:type="dxa"/>
            <w:vAlign w:val="bottom"/>
            <w:tcBorders>
              <w:right w:val="single" w:sz="8" w:color="auto"/>
            </w:tcBorders>
            <w:shd w:val="clear" w:color="auto" w:fill="0070C0"/>
          </w:tcPr>
          <w:p>
            <w:pPr>
              <w:spacing w:after="0"/>
              <w:rPr>
                <w:sz w:val="6"/>
                <w:szCs w:val="6"/>
                <w:color w:val="auto"/>
              </w:rPr>
            </w:pPr>
          </w:p>
        </w:tc>
        <w:tc>
          <w:tcPr>
            <w:tcW w:w="1440" w:type="dxa"/>
            <w:vAlign w:val="bottom"/>
            <w:tcBorders>
              <w:right w:val="single" w:sz="8" w:color="auto"/>
            </w:tcBorders>
            <w:gridSpan w:val="2"/>
            <w:vMerge w:val="continue"/>
            <w:shd w:val="clear" w:color="auto" w:fill="0070C0"/>
          </w:tcPr>
          <w:p>
            <w:pPr>
              <w:spacing w:after="0"/>
              <w:rPr>
                <w:sz w:val="6"/>
                <w:szCs w:val="6"/>
                <w:color w:val="auto"/>
              </w:rPr>
            </w:pPr>
          </w:p>
        </w:tc>
        <w:tc>
          <w:tcPr>
            <w:tcW w:w="900" w:type="dxa"/>
            <w:vAlign w:val="bottom"/>
            <w:tcBorders>
              <w:right w:val="single" w:sz="8" w:color="0070C0"/>
            </w:tcBorders>
            <w:vMerge w:val="restart"/>
            <w:shd w:val="clear" w:color="auto" w:fill="0070C0"/>
          </w:tcPr>
          <w:p>
            <w:pPr>
              <w:jc w:val="center"/>
              <w:ind w:left="326"/>
              <w:spacing w:after="0"/>
              <w:rPr>
                <w:sz w:val="20"/>
                <w:szCs w:val="20"/>
                <w:color w:val="auto"/>
              </w:rPr>
            </w:pPr>
            <w:r>
              <w:rPr>
                <w:rFonts w:ascii="Times New Roman" w:cs="Times New Roman" w:eastAsia="Times New Roman" w:hAnsi="Times New Roman"/>
                <w:sz w:val="11"/>
                <w:szCs w:val="11"/>
                <w:color w:val="FFFFFF"/>
                <w:w w:val="95"/>
              </w:rPr>
              <w:t>EBITDA*</w:t>
            </w:r>
          </w:p>
        </w:tc>
        <w:tc>
          <w:tcPr>
            <w:tcW w:w="420" w:type="dxa"/>
            <w:vAlign w:val="bottom"/>
            <w:tcBorders>
              <w:right w:val="single" w:sz="8" w:color="auto"/>
            </w:tcBorders>
            <w:shd w:val="clear" w:color="auto" w:fill="0070C0"/>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000" w:type="dxa"/>
            <w:vAlign w:val="bottom"/>
            <w:tcBorders>
              <w:left w:val="single" w:sz="8" w:color="auto"/>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1"/>
                <w:szCs w:val="11"/>
                <w:b w:val="1"/>
                <w:bCs w:val="1"/>
                <w:color w:val="FFFFFF"/>
                <w:w w:val="98"/>
              </w:rPr>
              <w:t>Segments</w:t>
            </w:r>
          </w:p>
        </w:tc>
        <w:tc>
          <w:tcPr>
            <w:tcW w:w="66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1"/>
                <w:szCs w:val="11"/>
                <w:color w:val="FFFFFF"/>
              </w:rPr>
              <w:t>(MW)</w:t>
            </w:r>
          </w:p>
        </w:tc>
        <w:tc>
          <w:tcPr>
            <w:tcW w:w="740" w:type="dxa"/>
            <w:vAlign w:val="bottom"/>
            <w:tcBorders>
              <w:right w:val="single" w:sz="8" w:color="auto"/>
            </w:tcBorders>
            <w:vMerge w:val="continue"/>
            <w:shd w:val="clear" w:color="auto" w:fill="0070C0"/>
          </w:tcPr>
          <w:p>
            <w:pPr>
              <w:spacing w:after="0"/>
              <w:rPr>
                <w:sz w:val="6"/>
                <w:szCs w:val="6"/>
                <w:color w:val="auto"/>
              </w:rPr>
            </w:pPr>
          </w:p>
        </w:tc>
        <w:tc>
          <w:tcPr>
            <w:tcW w:w="500" w:type="dxa"/>
            <w:vAlign w:val="bottom"/>
            <w:tcBorders>
              <w:right w:val="single" w:sz="8" w:color="0070C0"/>
            </w:tcBorders>
            <w:shd w:val="clear" w:color="auto" w:fill="0070C0"/>
          </w:tcPr>
          <w:p>
            <w:pPr>
              <w:spacing w:after="0"/>
              <w:rPr>
                <w:sz w:val="6"/>
                <w:szCs w:val="6"/>
                <w:color w:val="auto"/>
              </w:rPr>
            </w:pPr>
          </w:p>
        </w:tc>
        <w:tc>
          <w:tcPr>
            <w:tcW w:w="680" w:type="dxa"/>
            <w:vAlign w:val="bottom"/>
            <w:gridSpan w:val="2"/>
            <w:vMerge w:val="continue"/>
            <w:shd w:val="clear" w:color="auto" w:fill="0070C0"/>
          </w:tcPr>
          <w:p>
            <w:pPr>
              <w:spacing w:after="0"/>
              <w:rPr>
                <w:sz w:val="6"/>
                <w:szCs w:val="6"/>
                <w:color w:val="auto"/>
              </w:rPr>
            </w:pPr>
          </w:p>
        </w:tc>
        <w:tc>
          <w:tcPr>
            <w:tcW w:w="400" w:type="dxa"/>
            <w:vAlign w:val="bottom"/>
            <w:shd w:val="clear" w:color="auto" w:fill="0070C0"/>
          </w:tcPr>
          <w:p>
            <w:pPr>
              <w:spacing w:after="0"/>
              <w:rPr>
                <w:sz w:val="6"/>
                <w:szCs w:val="6"/>
                <w:color w:val="auto"/>
              </w:rPr>
            </w:pPr>
          </w:p>
        </w:tc>
        <w:tc>
          <w:tcPr>
            <w:tcW w:w="180" w:type="dxa"/>
            <w:vAlign w:val="bottom"/>
            <w:tcBorders>
              <w:right w:val="single" w:sz="8" w:color="auto"/>
            </w:tcBorders>
            <w:shd w:val="clear" w:color="auto" w:fill="0070C0"/>
          </w:tcPr>
          <w:p>
            <w:pPr>
              <w:spacing w:after="0"/>
              <w:rPr>
                <w:sz w:val="6"/>
                <w:szCs w:val="6"/>
                <w:color w:val="auto"/>
              </w:rPr>
            </w:pPr>
          </w:p>
        </w:tc>
        <w:tc>
          <w:tcPr>
            <w:tcW w:w="560" w:type="dxa"/>
            <w:vAlign w:val="bottom"/>
            <w:shd w:val="clear" w:color="auto" w:fill="0070C0"/>
          </w:tcPr>
          <w:p>
            <w:pPr>
              <w:spacing w:after="0"/>
              <w:rPr>
                <w:sz w:val="6"/>
                <w:szCs w:val="6"/>
                <w:color w:val="auto"/>
              </w:rPr>
            </w:pPr>
          </w:p>
        </w:tc>
        <w:tc>
          <w:tcPr>
            <w:tcW w:w="940" w:type="dxa"/>
            <w:vAlign w:val="bottom"/>
            <w:tcBorders>
              <w:right w:val="single" w:sz="8" w:color="auto"/>
            </w:tcBorders>
            <w:gridSpan w:val="2"/>
            <w:vMerge w:val="continue"/>
            <w:shd w:val="clear" w:color="auto" w:fill="0070C0"/>
          </w:tcPr>
          <w:p>
            <w:pPr>
              <w:spacing w:after="0"/>
              <w:rPr>
                <w:sz w:val="6"/>
                <w:szCs w:val="6"/>
                <w:color w:val="auto"/>
              </w:rPr>
            </w:pPr>
          </w:p>
        </w:tc>
        <w:tc>
          <w:tcPr>
            <w:tcW w:w="1500" w:type="dxa"/>
            <w:vAlign w:val="bottom"/>
            <w:tcBorders>
              <w:right w:val="single" w:sz="8" w:color="auto"/>
            </w:tcBorders>
            <w:gridSpan w:val="2"/>
            <w:vMerge w:val="continue"/>
            <w:shd w:val="clear" w:color="auto" w:fill="0070C0"/>
          </w:tcPr>
          <w:p>
            <w:pPr>
              <w:spacing w:after="0"/>
              <w:rPr>
                <w:sz w:val="6"/>
                <w:szCs w:val="6"/>
                <w:color w:val="auto"/>
              </w:rPr>
            </w:pPr>
          </w:p>
        </w:tc>
        <w:tc>
          <w:tcPr>
            <w:tcW w:w="160" w:type="dxa"/>
            <w:vAlign w:val="bottom"/>
            <w:tcBorders>
              <w:right w:val="single" w:sz="8" w:color="0070C0"/>
            </w:tcBorders>
            <w:shd w:val="clear" w:color="auto" w:fill="0070C0"/>
          </w:tcPr>
          <w:p>
            <w:pPr>
              <w:spacing w:after="0"/>
              <w:rPr>
                <w:sz w:val="6"/>
                <w:szCs w:val="6"/>
                <w:color w:val="auto"/>
              </w:rPr>
            </w:pPr>
          </w:p>
        </w:tc>
        <w:tc>
          <w:tcPr>
            <w:tcW w:w="340" w:type="dxa"/>
            <w:vAlign w:val="bottom"/>
            <w:shd w:val="clear" w:color="auto" w:fill="0070C0"/>
          </w:tcPr>
          <w:p>
            <w:pPr>
              <w:spacing w:after="0"/>
              <w:rPr>
                <w:sz w:val="6"/>
                <w:szCs w:val="6"/>
                <w:color w:val="auto"/>
              </w:rPr>
            </w:pPr>
          </w:p>
        </w:tc>
        <w:tc>
          <w:tcPr>
            <w:tcW w:w="760" w:type="dxa"/>
            <w:vAlign w:val="bottom"/>
            <w:gridSpan w:val="2"/>
            <w:vMerge w:val="continue"/>
            <w:shd w:val="clear" w:color="auto" w:fill="0070C0"/>
          </w:tcPr>
          <w:p>
            <w:pPr>
              <w:spacing w:after="0"/>
              <w:rPr>
                <w:sz w:val="6"/>
                <w:szCs w:val="6"/>
                <w:color w:val="auto"/>
              </w:rPr>
            </w:pPr>
          </w:p>
        </w:tc>
        <w:tc>
          <w:tcPr>
            <w:tcW w:w="140" w:type="dxa"/>
            <w:vAlign w:val="bottom"/>
            <w:tcBorders>
              <w:right w:val="single" w:sz="8" w:color="auto"/>
            </w:tcBorders>
            <w:shd w:val="clear" w:color="auto" w:fill="0070C0"/>
          </w:tcPr>
          <w:p>
            <w:pPr>
              <w:spacing w:after="0"/>
              <w:rPr>
                <w:sz w:val="6"/>
                <w:szCs w:val="6"/>
                <w:color w:val="auto"/>
              </w:rPr>
            </w:pPr>
          </w:p>
        </w:tc>
        <w:tc>
          <w:tcPr>
            <w:tcW w:w="640" w:type="dxa"/>
            <w:vAlign w:val="bottom"/>
            <w:tcBorders>
              <w:right w:val="single" w:sz="8" w:color="0070C0"/>
            </w:tcBorders>
            <w:shd w:val="clear" w:color="auto" w:fill="0070C0"/>
          </w:tcPr>
          <w:p>
            <w:pPr>
              <w:spacing w:after="0"/>
              <w:rPr>
                <w:sz w:val="6"/>
                <w:szCs w:val="6"/>
                <w:color w:val="auto"/>
              </w:rPr>
            </w:pPr>
          </w:p>
        </w:tc>
        <w:tc>
          <w:tcPr>
            <w:tcW w:w="800" w:type="dxa"/>
            <w:vAlign w:val="bottom"/>
            <w:tcBorders>
              <w:right w:val="single" w:sz="8" w:color="auto"/>
            </w:tcBorders>
            <w:shd w:val="clear" w:color="auto" w:fill="0070C0"/>
          </w:tcPr>
          <w:p>
            <w:pPr>
              <w:spacing w:after="0"/>
              <w:rPr>
                <w:sz w:val="6"/>
                <w:szCs w:val="6"/>
                <w:color w:val="auto"/>
              </w:rPr>
            </w:pPr>
          </w:p>
        </w:tc>
        <w:tc>
          <w:tcPr>
            <w:tcW w:w="900" w:type="dxa"/>
            <w:vAlign w:val="bottom"/>
            <w:tcBorders>
              <w:right w:val="single" w:sz="8" w:color="0070C0"/>
            </w:tcBorders>
            <w:vMerge w:val="continue"/>
            <w:shd w:val="clear" w:color="auto" w:fill="0070C0"/>
          </w:tcPr>
          <w:p>
            <w:pPr>
              <w:spacing w:after="0"/>
              <w:rPr>
                <w:sz w:val="6"/>
                <w:szCs w:val="6"/>
                <w:color w:val="auto"/>
              </w:rPr>
            </w:pPr>
          </w:p>
        </w:tc>
        <w:tc>
          <w:tcPr>
            <w:tcW w:w="420" w:type="dxa"/>
            <w:vAlign w:val="bottom"/>
            <w:tcBorders>
              <w:right w:val="single" w:sz="8" w:color="auto"/>
            </w:tcBorders>
            <w:shd w:val="clear" w:color="auto" w:fill="0070C0"/>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1000" w:type="dxa"/>
            <w:vAlign w:val="bottom"/>
            <w:tcBorders>
              <w:left w:val="single" w:sz="8" w:color="auto"/>
              <w:bottom w:val="single" w:sz="8" w:color="auto"/>
              <w:right w:val="single" w:sz="8" w:color="auto"/>
            </w:tcBorders>
            <w:vMerge w:val="continue"/>
            <w:shd w:val="clear" w:color="auto" w:fill="0070C0"/>
          </w:tcPr>
          <w:p>
            <w:pPr>
              <w:spacing w:after="0"/>
              <w:rPr>
                <w:sz w:val="6"/>
                <w:szCs w:val="6"/>
                <w:color w:val="auto"/>
              </w:rPr>
            </w:pPr>
          </w:p>
        </w:tc>
        <w:tc>
          <w:tcPr>
            <w:tcW w:w="660" w:type="dxa"/>
            <w:vAlign w:val="bottom"/>
            <w:tcBorders>
              <w:bottom w:val="single" w:sz="8" w:color="auto"/>
              <w:right w:val="single" w:sz="8" w:color="auto"/>
            </w:tcBorders>
            <w:vMerge w:val="continue"/>
            <w:shd w:val="clear" w:color="auto" w:fill="0070C0"/>
          </w:tcPr>
          <w:p>
            <w:pPr>
              <w:spacing w:after="0"/>
              <w:rPr>
                <w:sz w:val="6"/>
                <w:szCs w:val="6"/>
                <w:color w:val="auto"/>
              </w:rPr>
            </w:pPr>
          </w:p>
        </w:tc>
        <w:tc>
          <w:tcPr>
            <w:tcW w:w="740" w:type="dxa"/>
            <w:vAlign w:val="bottom"/>
            <w:tcBorders>
              <w:bottom w:val="single" w:sz="8" w:color="auto"/>
              <w:right w:val="single" w:sz="8" w:color="auto"/>
            </w:tcBorders>
            <w:shd w:val="clear" w:color="auto" w:fill="0070C0"/>
          </w:tcPr>
          <w:p>
            <w:pPr>
              <w:spacing w:after="0"/>
              <w:rPr>
                <w:sz w:val="6"/>
                <w:szCs w:val="6"/>
                <w:color w:val="auto"/>
              </w:rPr>
            </w:pPr>
          </w:p>
        </w:tc>
        <w:tc>
          <w:tcPr>
            <w:tcW w:w="500" w:type="dxa"/>
            <w:vAlign w:val="bottom"/>
            <w:tcBorders>
              <w:bottom w:val="single" w:sz="8" w:color="auto"/>
              <w:right w:val="single" w:sz="8" w:color="0070C0"/>
            </w:tcBorders>
            <w:shd w:val="clear" w:color="auto" w:fill="0070C0"/>
          </w:tcPr>
          <w:p>
            <w:pPr>
              <w:spacing w:after="0"/>
              <w:rPr>
                <w:sz w:val="6"/>
                <w:szCs w:val="6"/>
                <w:color w:val="auto"/>
              </w:rPr>
            </w:pPr>
          </w:p>
        </w:tc>
        <w:tc>
          <w:tcPr>
            <w:tcW w:w="500" w:type="dxa"/>
            <w:vAlign w:val="bottom"/>
            <w:tcBorders>
              <w:bottom w:val="single" w:sz="8" w:color="auto"/>
              <w:right w:val="single" w:sz="8" w:color="0070C0"/>
            </w:tcBorders>
            <w:shd w:val="clear" w:color="auto" w:fill="0070C0"/>
          </w:tcPr>
          <w:p>
            <w:pPr>
              <w:spacing w:after="0"/>
              <w:rPr>
                <w:sz w:val="6"/>
                <w:szCs w:val="6"/>
                <w:color w:val="auto"/>
              </w:rPr>
            </w:pPr>
          </w:p>
        </w:tc>
        <w:tc>
          <w:tcPr>
            <w:tcW w:w="180" w:type="dxa"/>
            <w:vAlign w:val="bottom"/>
            <w:tcBorders>
              <w:bottom w:val="single" w:sz="8" w:color="auto"/>
            </w:tcBorders>
            <w:shd w:val="clear" w:color="auto" w:fill="0070C0"/>
          </w:tcPr>
          <w:p>
            <w:pPr>
              <w:spacing w:after="0"/>
              <w:rPr>
                <w:sz w:val="6"/>
                <w:szCs w:val="6"/>
                <w:color w:val="auto"/>
              </w:rPr>
            </w:pPr>
          </w:p>
        </w:tc>
        <w:tc>
          <w:tcPr>
            <w:tcW w:w="400" w:type="dxa"/>
            <w:vAlign w:val="bottom"/>
            <w:tcBorders>
              <w:bottom w:val="single" w:sz="8" w:color="auto"/>
            </w:tcBorders>
            <w:shd w:val="clear" w:color="auto" w:fill="0070C0"/>
          </w:tcPr>
          <w:p>
            <w:pPr>
              <w:spacing w:after="0"/>
              <w:rPr>
                <w:sz w:val="6"/>
                <w:szCs w:val="6"/>
                <w:color w:val="auto"/>
              </w:rPr>
            </w:pPr>
          </w:p>
        </w:tc>
        <w:tc>
          <w:tcPr>
            <w:tcW w:w="180" w:type="dxa"/>
            <w:vAlign w:val="bottom"/>
            <w:tcBorders>
              <w:bottom w:val="single" w:sz="8" w:color="auto"/>
              <w:right w:val="single" w:sz="8" w:color="auto"/>
            </w:tcBorders>
            <w:shd w:val="clear" w:color="auto" w:fill="0070C0"/>
          </w:tcPr>
          <w:p>
            <w:pPr>
              <w:spacing w:after="0"/>
              <w:rPr>
                <w:sz w:val="6"/>
                <w:szCs w:val="6"/>
                <w:color w:val="auto"/>
              </w:rPr>
            </w:pPr>
          </w:p>
        </w:tc>
        <w:tc>
          <w:tcPr>
            <w:tcW w:w="560" w:type="dxa"/>
            <w:vAlign w:val="bottom"/>
            <w:tcBorders>
              <w:bottom w:val="single" w:sz="8" w:color="auto"/>
            </w:tcBorders>
            <w:shd w:val="clear" w:color="auto" w:fill="0070C0"/>
          </w:tcPr>
          <w:p>
            <w:pPr>
              <w:spacing w:after="0"/>
              <w:rPr>
                <w:sz w:val="6"/>
                <w:szCs w:val="6"/>
                <w:color w:val="auto"/>
              </w:rPr>
            </w:pPr>
          </w:p>
        </w:tc>
        <w:tc>
          <w:tcPr>
            <w:tcW w:w="180" w:type="dxa"/>
            <w:vAlign w:val="bottom"/>
            <w:tcBorders>
              <w:bottom w:val="single" w:sz="8" w:color="auto"/>
              <w:right w:val="single" w:sz="8" w:color="0070C0"/>
            </w:tcBorders>
            <w:shd w:val="clear" w:color="auto" w:fill="0070C0"/>
          </w:tcPr>
          <w:p>
            <w:pPr>
              <w:spacing w:after="0"/>
              <w:rPr>
                <w:sz w:val="6"/>
                <w:szCs w:val="6"/>
                <w:color w:val="auto"/>
              </w:rPr>
            </w:pPr>
          </w:p>
        </w:tc>
        <w:tc>
          <w:tcPr>
            <w:tcW w:w="760" w:type="dxa"/>
            <w:vAlign w:val="bottom"/>
            <w:tcBorders>
              <w:bottom w:val="single" w:sz="8" w:color="auto"/>
              <w:right w:val="single" w:sz="8" w:color="auto"/>
            </w:tcBorders>
            <w:shd w:val="clear" w:color="auto" w:fill="0070C0"/>
          </w:tcPr>
          <w:p>
            <w:pPr>
              <w:spacing w:after="0"/>
              <w:rPr>
                <w:sz w:val="6"/>
                <w:szCs w:val="6"/>
                <w:color w:val="auto"/>
              </w:rPr>
            </w:pPr>
          </w:p>
        </w:tc>
        <w:tc>
          <w:tcPr>
            <w:tcW w:w="740" w:type="dxa"/>
            <w:vAlign w:val="bottom"/>
            <w:tcBorders>
              <w:bottom w:val="single" w:sz="8" w:color="auto"/>
              <w:right w:val="single" w:sz="8" w:color="0070C0"/>
            </w:tcBorders>
            <w:shd w:val="clear" w:color="auto" w:fill="0070C0"/>
          </w:tcPr>
          <w:p>
            <w:pPr>
              <w:spacing w:after="0"/>
              <w:rPr>
                <w:sz w:val="6"/>
                <w:szCs w:val="6"/>
                <w:color w:val="auto"/>
              </w:rPr>
            </w:pPr>
          </w:p>
        </w:tc>
        <w:tc>
          <w:tcPr>
            <w:tcW w:w="760" w:type="dxa"/>
            <w:vAlign w:val="bottom"/>
            <w:tcBorders>
              <w:bottom w:val="single" w:sz="8" w:color="auto"/>
              <w:right w:val="single" w:sz="8" w:color="auto"/>
            </w:tcBorders>
            <w:shd w:val="clear" w:color="auto" w:fill="0070C0"/>
          </w:tcPr>
          <w:p>
            <w:pPr>
              <w:spacing w:after="0"/>
              <w:rPr>
                <w:sz w:val="6"/>
                <w:szCs w:val="6"/>
                <w:color w:val="auto"/>
              </w:rPr>
            </w:pPr>
          </w:p>
        </w:tc>
        <w:tc>
          <w:tcPr>
            <w:tcW w:w="160" w:type="dxa"/>
            <w:vAlign w:val="bottom"/>
            <w:tcBorders>
              <w:bottom w:val="single" w:sz="8" w:color="auto"/>
              <w:right w:val="single" w:sz="8" w:color="0070C0"/>
            </w:tcBorders>
            <w:shd w:val="clear" w:color="auto" w:fill="0070C0"/>
          </w:tcPr>
          <w:p>
            <w:pPr>
              <w:spacing w:after="0"/>
              <w:rPr>
                <w:sz w:val="6"/>
                <w:szCs w:val="6"/>
                <w:color w:val="auto"/>
              </w:rPr>
            </w:pPr>
          </w:p>
        </w:tc>
        <w:tc>
          <w:tcPr>
            <w:tcW w:w="340" w:type="dxa"/>
            <w:vAlign w:val="bottom"/>
            <w:tcBorders>
              <w:bottom w:val="single" w:sz="8" w:color="auto"/>
            </w:tcBorders>
            <w:shd w:val="clear" w:color="auto" w:fill="0070C0"/>
          </w:tcPr>
          <w:p>
            <w:pPr>
              <w:spacing w:after="0"/>
              <w:rPr>
                <w:sz w:val="6"/>
                <w:szCs w:val="6"/>
                <w:color w:val="auto"/>
              </w:rPr>
            </w:pPr>
          </w:p>
        </w:tc>
        <w:tc>
          <w:tcPr>
            <w:tcW w:w="200" w:type="dxa"/>
            <w:vAlign w:val="bottom"/>
            <w:tcBorders>
              <w:bottom w:val="single" w:sz="8" w:color="auto"/>
              <w:right w:val="single" w:sz="8" w:color="0070C0"/>
            </w:tcBorders>
            <w:shd w:val="clear" w:color="auto" w:fill="0070C0"/>
          </w:tcPr>
          <w:p>
            <w:pPr>
              <w:spacing w:after="0"/>
              <w:rPr>
                <w:sz w:val="6"/>
                <w:szCs w:val="6"/>
                <w:color w:val="auto"/>
              </w:rPr>
            </w:pPr>
          </w:p>
        </w:tc>
        <w:tc>
          <w:tcPr>
            <w:tcW w:w="560" w:type="dxa"/>
            <w:vAlign w:val="bottom"/>
            <w:tcBorders>
              <w:bottom w:val="single" w:sz="8" w:color="auto"/>
            </w:tcBorders>
            <w:shd w:val="clear" w:color="auto" w:fill="0070C0"/>
          </w:tcPr>
          <w:p>
            <w:pPr>
              <w:spacing w:after="0"/>
              <w:rPr>
                <w:sz w:val="6"/>
                <w:szCs w:val="6"/>
                <w:color w:val="auto"/>
              </w:rPr>
            </w:pPr>
          </w:p>
        </w:tc>
        <w:tc>
          <w:tcPr>
            <w:tcW w:w="140" w:type="dxa"/>
            <w:vAlign w:val="bottom"/>
            <w:tcBorders>
              <w:bottom w:val="single" w:sz="8" w:color="auto"/>
              <w:right w:val="single" w:sz="8" w:color="auto"/>
            </w:tcBorders>
            <w:shd w:val="clear" w:color="auto" w:fill="0070C0"/>
          </w:tcPr>
          <w:p>
            <w:pPr>
              <w:spacing w:after="0"/>
              <w:rPr>
                <w:sz w:val="6"/>
                <w:szCs w:val="6"/>
                <w:color w:val="auto"/>
              </w:rPr>
            </w:pPr>
          </w:p>
        </w:tc>
        <w:tc>
          <w:tcPr>
            <w:tcW w:w="640" w:type="dxa"/>
            <w:vAlign w:val="bottom"/>
            <w:tcBorders>
              <w:bottom w:val="single" w:sz="8" w:color="auto"/>
              <w:right w:val="single" w:sz="8" w:color="0070C0"/>
            </w:tcBorders>
            <w:shd w:val="clear" w:color="auto" w:fill="0070C0"/>
          </w:tcPr>
          <w:p>
            <w:pPr>
              <w:spacing w:after="0"/>
              <w:rPr>
                <w:sz w:val="6"/>
                <w:szCs w:val="6"/>
                <w:color w:val="auto"/>
              </w:rPr>
            </w:pPr>
          </w:p>
        </w:tc>
        <w:tc>
          <w:tcPr>
            <w:tcW w:w="800" w:type="dxa"/>
            <w:vAlign w:val="bottom"/>
            <w:tcBorders>
              <w:bottom w:val="single" w:sz="8" w:color="auto"/>
              <w:right w:val="single" w:sz="8" w:color="auto"/>
            </w:tcBorders>
            <w:shd w:val="clear" w:color="auto" w:fill="0070C0"/>
          </w:tcPr>
          <w:p>
            <w:pPr>
              <w:spacing w:after="0"/>
              <w:rPr>
                <w:sz w:val="6"/>
                <w:szCs w:val="6"/>
                <w:color w:val="auto"/>
              </w:rPr>
            </w:pPr>
          </w:p>
        </w:tc>
        <w:tc>
          <w:tcPr>
            <w:tcW w:w="900" w:type="dxa"/>
            <w:vAlign w:val="bottom"/>
            <w:tcBorders>
              <w:bottom w:val="single" w:sz="8" w:color="auto"/>
              <w:right w:val="single" w:sz="8" w:color="0070C0"/>
            </w:tcBorders>
            <w:shd w:val="clear" w:color="auto" w:fill="0070C0"/>
          </w:tcPr>
          <w:p>
            <w:pPr>
              <w:spacing w:after="0"/>
              <w:rPr>
                <w:sz w:val="6"/>
                <w:szCs w:val="6"/>
                <w:color w:val="auto"/>
              </w:rPr>
            </w:pPr>
          </w:p>
        </w:tc>
        <w:tc>
          <w:tcPr>
            <w:tcW w:w="420" w:type="dxa"/>
            <w:vAlign w:val="bottom"/>
            <w:tcBorders>
              <w:bottom w:val="single" w:sz="8" w:color="auto"/>
              <w:right w:val="single" w:sz="8" w:color="auto"/>
            </w:tcBorders>
            <w:shd w:val="clear" w:color="auto" w:fill="0070C0"/>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000" w:type="dxa"/>
            <w:vAlign w:val="bottom"/>
            <w:tcBorders>
              <w:left w:val="single" w:sz="8" w:color="auto"/>
              <w:bottom w:val="single" w:sz="8" w:color="auto"/>
              <w:right w:val="single" w:sz="8" w:color="auto"/>
            </w:tcBorders>
            <w:shd w:val="clear" w:color="auto" w:fill="0070C0"/>
          </w:tcPr>
          <w:p>
            <w:pPr>
              <w:spacing w:after="0"/>
              <w:rPr>
                <w:sz w:val="12"/>
                <w:szCs w:val="12"/>
                <w:color w:val="auto"/>
              </w:rPr>
            </w:pPr>
          </w:p>
        </w:tc>
        <w:tc>
          <w:tcPr>
            <w:tcW w:w="660" w:type="dxa"/>
            <w:vAlign w:val="bottom"/>
            <w:tcBorders>
              <w:bottom w:val="single" w:sz="8" w:color="auto"/>
              <w:right w:val="single" w:sz="8" w:color="auto"/>
            </w:tcBorders>
            <w:shd w:val="clear" w:color="auto" w:fill="0070C0"/>
          </w:tcPr>
          <w:p>
            <w:pPr>
              <w:spacing w:after="0"/>
              <w:rPr>
                <w:sz w:val="12"/>
                <w:szCs w:val="12"/>
                <w:color w:val="auto"/>
              </w:rPr>
            </w:pPr>
          </w:p>
        </w:tc>
        <w:tc>
          <w:tcPr>
            <w:tcW w:w="740" w:type="dxa"/>
            <w:vAlign w:val="bottom"/>
            <w:tcBorders>
              <w:bottom w:val="single" w:sz="8" w:color="auto"/>
              <w:right w:val="single" w:sz="8" w:color="auto"/>
            </w:tcBorders>
            <w:shd w:val="clear" w:color="auto" w:fill="0070C0"/>
          </w:tcPr>
          <w:p>
            <w:pPr>
              <w:spacing w:after="0"/>
              <w:rPr>
                <w:sz w:val="12"/>
                <w:szCs w:val="12"/>
                <w:color w:val="auto"/>
              </w:rPr>
            </w:pPr>
          </w:p>
        </w:tc>
        <w:tc>
          <w:tcPr>
            <w:tcW w:w="1000" w:type="dxa"/>
            <w:vAlign w:val="bottom"/>
            <w:tcBorders>
              <w:bottom w:val="single" w:sz="8" w:color="auto"/>
              <w:right w:val="single" w:sz="8" w:color="auto"/>
            </w:tcBorders>
            <w:gridSpan w:val="2"/>
            <w:shd w:val="clear" w:color="auto" w:fill="0070C0"/>
          </w:tcPr>
          <w:p>
            <w:pPr>
              <w:jc w:val="center"/>
              <w:spacing w:after="0"/>
              <w:rPr>
                <w:sz w:val="20"/>
                <w:szCs w:val="20"/>
                <w:color w:val="auto"/>
              </w:rPr>
            </w:pPr>
            <w:r>
              <w:rPr>
                <w:rFonts w:ascii="Times New Roman" w:cs="Times New Roman" w:eastAsia="Times New Roman" w:hAnsi="Times New Roman"/>
                <w:sz w:val="11"/>
                <w:szCs w:val="11"/>
                <w:color w:val="FFFFFF"/>
                <w:w w:val="99"/>
              </w:rPr>
              <w:t>2025</w:t>
            </w:r>
          </w:p>
        </w:tc>
        <w:tc>
          <w:tcPr>
            <w:tcW w:w="180" w:type="dxa"/>
            <w:vAlign w:val="bottom"/>
            <w:tcBorders>
              <w:bottom w:val="single" w:sz="8" w:color="auto"/>
            </w:tcBorders>
            <w:shd w:val="clear" w:color="auto" w:fill="0070C0"/>
          </w:tcPr>
          <w:p>
            <w:pPr>
              <w:spacing w:after="0"/>
              <w:rPr>
                <w:sz w:val="12"/>
                <w:szCs w:val="12"/>
                <w:color w:val="auto"/>
              </w:rPr>
            </w:pPr>
          </w:p>
        </w:tc>
        <w:tc>
          <w:tcPr>
            <w:tcW w:w="400" w:type="dxa"/>
            <w:vAlign w:val="bottom"/>
            <w:tcBorders>
              <w:bottom w:val="single" w:sz="8" w:color="auto"/>
            </w:tcBorders>
            <w:shd w:val="clear" w:color="auto" w:fill="0070C0"/>
          </w:tcPr>
          <w:p>
            <w:pPr>
              <w:jc w:val="center"/>
              <w:spacing w:after="0"/>
              <w:rPr>
                <w:sz w:val="20"/>
                <w:szCs w:val="20"/>
                <w:color w:val="auto"/>
              </w:rPr>
            </w:pPr>
            <w:r>
              <w:rPr>
                <w:rFonts w:ascii="Times New Roman" w:cs="Times New Roman" w:eastAsia="Times New Roman" w:hAnsi="Times New Roman"/>
                <w:sz w:val="11"/>
                <w:szCs w:val="11"/>
                <w:color w:val="FFFFFF"/>
                <w:w w:val="99"/>
              </w:rPr>
              <w:t>2024</w:t>
            </w:r>
          </w:p>
        </w:tc>
        <w:tc>
          <w:tcPr>
            <w:tcW w:w="180" w:type="dxa"/>
            <w:vAlign w:val="bottom"/>
            <w:tcBorders>
              <w:bottom w:val="single" w:sz="8" w:color="auto"/>
              <w:right w:val="single" w:sz="8" w:color="auto"/>
            </w:tcBorders>
            <w:shd w:val="clear" w:color="auto" w:fill="0070C0"/>
          </w:tcPr>
          <w:p>
            <w:pPr>
              <w:spacing w:after="0"/>
              <w:rPr>
                <w:sz w:val="12"/>
                <w:szCs w:val="12"/>
                <w:color w:val="auto"/>
              </w:rPr>
            </w:pPr>
          </w:p>
        </w:tc>
        <w:tc>
          <w:tcPr>
            <w:tcW w:w="560" w:type="dxa"/>
            <w:vAlign w:val="bottom"/>
            <w:tcBorders>
              <w:bottom w:val="single" w:sz="8" w:color="auto"/>
            </w:tcBorders>
            <w:shd w:val="clear" w:color="auto" w:fill="0070C0"/>
          </w:tcPr>
          <w:p>
            <w:pPr>
              <w:jc w:val="center"/>
              <w:ind w:left="126"/>
              <w:spacing w:after="0"/>
              <w:rPr>
                <w:sz w:val="20"/>
                <w:szCs w:val="20"/>
                <w:color w:val="auto"/>
              </w:rPr>
            </w:pPr>
            <w:r>
              <w:rPr>
                <w:rFonts w:ascii="Times New Roman" w:cs="Times New Roman" w:eastAsia="Times New Roman" w:hAnsi="Times New Roman"/>
                <w:sz w:val="11"/>
                <w:szCs w:val="11"/>
                <w:color w:val="FFFFFF"/>
                <w:w w:val="99"/>
              </w:rPr>
              <w:t>2025</w:t>
            </w:r>
          </w:p>
        </w:tc>
        <w:tc>
          <w:tcPr>
            <w:tcW w:w="180" w:type="dxa"/>
            <w:vAlign w:val="bottom"/>
            <w:tcBorders>
              <w:bottom w:val="single" w:sz="8" w:color="auto"/>
              <w:right w:val="single" w:sz="8" w:color="auto"/>
            </w:tcBorders>
            <w:shd w:val="clear" w:color="auto" w:fill="0070C0"/>
          </w:tcPr>
          <w:p>
            <w:pPr>
              <w:spacing w:after="0"/>
              <w:rPr>
                <w:sz w:val="12"/>
                <w:szCs w:val="12"/>
                <w:color w:val="auto"/>
              </w:rPr>
            </w:pPr>
          </w:p>
        </w:tc>
        <w:tc>
          <w:tcPr>
            <w:tcW w:w="760" w:type="dxa"/>
            <w:vAlign w:val="bottom"/>
            <w:tcBorders>
              <w:bottom w:val="single" w:sz="8" w:color="auto"/>
              <w:right w:val="single" w:sz="8" w:color="auto"/>
            </w:tcBorders>
            <w:shd w:val="clear" w:color="auto" w:fill="0070C0"/>
          </w:tcPr>
          <w:p>
            <w:pPr>
              <w:jc w:val="center"/>
              <w:spacing w:after="0"/>
              <w:rPr>
                <w:sz w:val="20"/>
                <w:szCs w:val="20"/>
                <w:color w:val="auto"/>
              </w:rPr>
            </w:pPr>
            <w:r>
              <w:rPr>
                <w:rFonts w:ascii="Times New Roman" w:cs="Times New Roman" w:eastAsia="Times New Roman" w:hAnsi="Times New Roman"/>
                <w:sz w:val="11"/>
                <w:szCs w:val="11"/>
                <w:color w:val="FFFFFF"/>
                <w:w w:val="99"/>
              </w:rPr>
              <w:t>2024</w:t>
            </w:r>
          </w:p>
        </w:tc>
        <w:tc>
          <w:tcPr>
            <w:tcW w:w="740" w:type="dxa"/>
            <w:vAlign w:val="bottom"/>
            <w:tcBorders>
              <w:bottom w:val="single" w:sz="8" w:color="auto"/>
              <w:right w:val="single" w:sz="8" w:color="auto"/>
            </w:tcBorders>
            <w:shd w:val="clear" w:color="auto" w:fill="0070C0"/>
          </w:tcPr>
          <w:p>
            <w:pPr>
              <w:jc w:val="center"/>
              <w:spacing w:after="0"/>
              <w:rPr>
                <w:sz w:val="20"/>
                <w:szCs w:val="20"/>
                <w:color w:val="auto"/>
              </w:rPr>
            </w:pPr>
            <w:r>
              <w:rPr>
                <w:rFonts w:ascii="Times New Roman" w:cs="Times New Roman" w:eastAsia="Times New Roman" w:hAnsi="Times New Roman"/>
                <w:sz w:val="11"/>
                <w:szCs w:val="11"/>
                <w:color w:val="FFFFFF"/>
                <w:w w:val="99"/>
              </w:rPr>
              <w:t>2025</w:t>
            </w:r>
          </w:p>
        </w:tc>
        <w:tc>
          <w:tcPr>
            <w:tcW w:w="760" w:type="dxa"/>
            <w:vAlign w:val="bottom"/>
            <w:tcBorders>
              <w:bottom w:val="single" w:sz="8" w:color="auto"/>
              <w:right w:val="single" w:sz="8" w:color="auto"/>
            </w:tcBorders>
            <w:shd w:val="clear" w:color="auto" w:fill="0070C0"/>
          </w:tcPr>
          <w:p>
            <w:pPr>
              <w:jc w:val="center"/>
              <w:spacing w:after="0"/>
              <w:rPr>
                <w:sz w:val="20"/>
                <w:szCs w:val="20"/>
                <w:color w:val="auto"/>
              </w:rPr>
            </w:pPr>
            <w:r>
              <w:rPr>
                <w:rFonts w:ascii="Times New Roman" w:cs="Times New Roman" w:eastAsia="Times New Roman" w:hAnsi="Times New Roman"/>
                <w:sz w:val="11"/>
                <w:szCs w:val="11"/>
                <w:color w:val="FFFFFF"/>
                <w:w w:val="99"/>
              </w:rPr>
              <w:t>2024</w:t>
            </w:r>
          </w:p>
        </w:tc>
        <w:tc>
          <w:tcPr>
            <w:tcW w:w="500" w:type="dxa"/>
            <w:vAlign w:val="bottom"/>
            <w:tcBorders>
              <w:bottom w:val="single" w:sz="8" w:color="auto"/>
            </w:tcBorders>
            <w:gridSpan w:val="2"/>
            <w:shd w:val="clear" w:color="auto" w:fill="0070C0"/>
          </w:tcPr>
          <w:p>
            <w:pPr>
              <w:jc w:val="center"/>
              <w:ind w:left="106"/>
              <w:spacing w:after="0"/>
              <w:rPr>
                <w:sz w:val="20"/>
                <w:szCs w:val="20"/>
                <w:color w:val="auto"/>
              </w:rPr>
            </w:pPr>
            <w:r>
              <w:rPr>
                <w:rFonts w:ascii="Times New Roman" w:cs="Times New Roman" w:eastAsia="Times New Roman" w:hAnsi="Times New Roman"/>
                <w:sz w:val="11"/>
                <w:szCs w:val="11"/>
                <w:color w:val="FFFFFF"/>
                <w:w w:val="99"/>
              </w:rPr>
              <w:t>2025</w:t>
            </w:r>
          </w:p>
        </w:tc>
        <w:tc>
          <w:tcPr>
            <w:tcW w:w="200" w:type="dxa"/>
            <w:vAlign w:val="bottom"/>
            <w:tcBorders>
              <w:bottom w:val="single" w:sz="8" w:color="auto"/>
              <w:right w:val="single" w:sz="8" w:color="auto"/>
            </w:tcBorders>
            <w:shd w:val="clear" w:color="auto" w:fill="0070C0"/>
          </w:tcPr>
          <w:p>
            <w:pPr>
              <w:spacing w:after="0"/>
              <w:rPr>
                <w:sz w:val="12"/>
                <w:szCs w:val="12"/>
                <w:color w:val="auto"/>
              </w:rPr>
            </w:pPr>
          </w:p>
        </w:tc>
        <w:tc>
          <w:tcPr>
            <w:tcW w:w="560" w:type="dxa"/>
            <w:vAlign w:val="bottom"/>
            <w:tcBorders>
              <w:bottom w:val="single" w:sz="8" w:color="auto"/>
            </w:tcBorders>
            <w:shd w:val="clear" w:color="auto" w:fill="0070C0"/>
          </w:tcPr>
          <w:p>
            <w:pPr>
              <w:jc w:val="center"/>
              <w:ind w:left="46"/>
              <w:spacing w:after="0"/>
              <w:rPr>
                <w:sz w:val="20"/>
                <w:szCs w:val="20"/>
                <w:color w:val="auto"/>
              </w:rPr>
            </w:pPr>
            <w:r>
              <w:rPr>
                <w:rFonts w:ascii="Times New Roman" w:cs="Times New Roman" w:eastAsia="Times New Roman" w:hAnsi="Times New Roman"/>
                <w:sz w:val="11"/>
                <w:szCs w:val="11"/>
                <w:color w:val="FFFFFF"/>
                <w:w w:val="99"/>
              </w:rPr>
              <w:t>2024</w:t>
            </w:r>
          </w:p>
        </w:tc>
        <w:tc>
          <w:tcPr>
            <w:tcW w:w="140" w:type="dxa"/>
            <w:vAlign w:val="bottom"/>
            <w:tcBorders>
              <w:bottom w:val="single" w:sz="8" w:color="auto"/>
              <w:right w:val="single" w:sz="8" w:color="auto"/>
            </w:tcBorders>
            <w:shd w:val="clear" w:color="auto" w:fill="0070C0"/>
          </w:tcPr>
          <w:p>
            <w:pPr>
              <w:spacing w:after="0"/>
              <w:rPr>
                <w:sz w:val="12"/>
                <w:szCs w:val="12"/>
                <w:color w:val="auto"/>
              </w:rPr>
            </w:pPr>
          </w:p>
        </w:tc>
        <w:tc>
          <w:tcPr>
            <w:tcW w:w="640" w:type="dxa"/>
            <w:vAlign w:val="bottom"/>
            <w:tcBorders>
              <w:bottom w:val="single" w:sz="8" w:color="auto"/>
              <w:right w:val="single" w:sz="8" w:color="auto"/>
            </w:tcBorders>
            <w:shd w:val="clear" w:color="auto" w:fill="0070C0"/>
          </w:tcPr>
          <w:p>
            <w:pPr>
              <w:jc w:val="center"/>
              <w:spacing w:after="0"/>
              <w:rPr>
                <w:sz w:val="20"/>
                <w:szCs w:val="20"/>
                <w:color w:val="auto"/>
              </w:rPr>
            </w:pPr>
            <w:r>
              <w:rPr>
                <w:rFonts w:ascii="Times New Roman" w:cs="Times New Roman" w:eastAsia="Times New Roman" w:hAnsi="Times New Roman"/>
                <w:sz w:val="11"/>
                <w:szCs w:val="11"/>
                <w:color w:val="FFFFFF"/>
                <w:w w:val="99"/>
              </w:rPr>
              <w:t>2025</w:t>
            </w:r>
          </w:p>
        </w:tc>
        <w:tc>
          <w:tcPr>
            <w:tcW w:w="800" w:type="dxa"/>
            <w:vAlign w:val="bottom"/>
            <w:tcBorders>
              <w:bottom w:val="single" w:sz="8" w:color="auto"/>
              <w:right w:val="single" w:sz="8" w:color="auto"/>
            </w:tcBorders>
            <w:shd w:val="clear" w:color="auto" w:fill="0070C0"/>
          </w:tcPr>
          <w:p>
            <w:pPr>
              <w:jc w:val="center"/>
              <w:spacing w:after="0"/>
              <w:rPr>
                <w:sz w:val="20"/>
                <w:szCs w:val="20"/>
                <w:color w:val="auto"/>
              </w:rPr>
            </w:pPr>
            <w:r>
              <w:rPr>
                <w:rFonts w:ascii="Times New Roman" w:cs="Times New Roman" w:eastAsia="Times New Roman" w:hAnsi="Times New Roman"/>
                <w:sz w:val="11"/>
                <w:szCs w:val="11"/>
                <w:color w:val="FFFFFF"/>
                <w:w w:val="99"/>
              </w:rPr>
              <w:t>2024</w:t>
            </w:r>
          </w:p>
        </w:tc>
        <w:tc>
          <w:tcPr>
            <w:tcW w:w="900" w:type="dxa"/>
            <w:vAlign w:val="bottom"/>
            <w:tcBorders>
              <w:bottom w:val="single" w:sz="8" w:color="auto"/>
              <w:right w:val="single" w:sz="8" w:color="auto"/>
            </w:tcBorders>
            <w:shd w:val="clear" w:color="auto" w:fill="0070C0"/>
          </w:tcPr>
          <w:p>
            <w:pPr>
              <w:jc w:val="center"/>
              <w:spacing w:after="0"/>
              <w:rPr>
                <w:sz w:val="20"/>
                <w:szCs w:val="20"/>
                <w:color w:val="auto"/>
              </w:rPr>
            </w:pPr>
            <w:r>
              <w:rPr>
                <w:rFonts w:ascii="Times New Roman" w:cs="Times New Roman" w:eastAsia="Times New Roman" w:hAnsi="Times New Roman"/>
                <w:sz w:val="11"/>
                <w:szCs w:val="11"/>
                <w:color w:val="FFFFFF"/>
                <w:w w:val="99"/>
              </w:rPr>
              <w:t>2025</w:t>
            </w:r>
          </w:p>
        </w:tc>
        <w:tc>
          <w:tcPr>
            <w:tcW w:w="420" w:type="dxa"/>
            <w:vAlign w:val="bottom"/>
            <w:tcBorders>
              <w:bottom w:val="single" w:sz="8" w:color="auto"/>
              <w:right w:val="single" w:sz="8" w:color="auto"/>
            </w:tcBorders>
            <w:shd w:val="clear" w:color="auto" w:fill="0070C0"/>
          </w:tcPr>
          <w:p>
            <w:pPr>
              <w:jc w:val="center"/>
              <w:spacing w:after="0"/>
              <w:rPr>
                <w:sz w:val="20"/>
                <w:szCs w:val="20"/>
                <w:color w:val="auto"/>
              </w:rPr>
            </w:pPr>
            <w:r>
              <w:rPr>
                <w:rFonts w:ascii="Times New Roman" w:cs="Times New Roman" w:eastAsia="Times New Roman" w:hAnsi="Times New Roman"/>
                <w:sz w:val="11"/>
                <w:szCs w:val="11"/>
                <w:color w:val="FFFFFF"/>
                <w:w w:val="99"/>
              </w:rPr>
              <w:t>2024</w:t>
            </w:r>
          </w:p>
        </w:tc>
        <w:tc>
          <w:tcPr>
            <w:tcW w:w="0" w:type="dxa"/>
            <w:vAlign w:val="bottom"/>
          </w:tcPr>
          <w:p>
            <w:pPr>
              <w:spacing w:after="0"/>
              <w:rPr>
                <w:sz w:val="1"/>
                <w:szCs w:val="1"/>
                <w:color w:val="auto"/>
              </w:rPr>
            </w:pPr>
          </w:p>
        </w:tc>
      </w:tr>
      <w:tr>
        <w:trPr>
          <w:trHeight w:val="135"/>
        </w:trPr>
        <w:tc>
          <w:tcPr>
            <w:tcW w:w="1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MENA</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675</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819</w:t>
            </w: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rPr>
              <w:t>1,158</w:t>
            </w:r>
          </w:p>
        </w:tc>
        <w:tc>
          <w:tcPr>
            <w:tcW w:w="1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1,012</w:t>
            </w:r>
          </w:p>
        </w:tc>
        <w:tc>
          <w:tcPr>
            <w:tcW w:w="18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jc w:val="center"/>
              <w:ind w:left="126"/>
              <w:spacing w:after="0"/>
              <w:rPr>
                <w:sz w:val="20"/>
                <w:szCs w:val="20"/>
                <w:color w:val="auto"/>
              </w:rPr>
            </w:pPr>
            <w:r>
              <w:rPr>
                <w:rFonts w:ascii="Times New Roman" w:cs="Times New Roman" w:eastAsia="Times New Roman" w:hAnsi="Times New Roman"/>
                <w:sz w:val="11"/>
                <w:szCs w:val="11"/>
                <w:color w:val="auto"/>
                <w:w w:val="94"/>
              </w:rPr>
              <w:t>173,180</w:t>
            </w:r>
          </w:p>
        </w:tc>
        <w:tc>
          <w:tcPr>
            <w:tcW w:w="18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121,607</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115,514</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99,659</w:t>
            </w:r>
          </w:p>
        </w:tc>
        <w:tc>
          <w:tcPr>
            <w:tcW w:w="500" w:type="dxa"/>
            <w:vAlign w:val="bottom"/>
            <w:tcBorders>
              <w:bottom w:val="single" w:sz="8" w:color="auto"/>
            </w:tcBorders>
            <w:gridSpan w:val="2"/>
          </w:tcPr>
          <w:p>
            <w:pPr>
              <w:jc w:val="center"/>
              <w:ind w:left="126"/>
              <w:spacing w:after="0"/>
              <w:rPr>
                <w:sz w:val="20"/>
                <w:szCs w:val="20"/>
                <w:color w:val="auto"/>
              </w:rPr>
            </w:pPr>
            <w:r>
              <w:rPr>
                <w:rFonts w:ascii="Times New Roman" w:cs="Times New Roman" w:eastAsia="Times New Roman" w:hAnsi="Times New Roman"/>
                <w:sz w:val="11"/>
                <w:szCs w:val="11"/>
                <w:color w:val="auto"/>
                <w:w w:val="96"/>
              </w:rPr>
              <w:t>463</w:t>
            </w:r>
          </w:p>
        </w:tc>
        <w:tc>
          <w:tcPr>
            <w:tcW w:w="20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jc w:val="center"/>
              <w:ind w:left="66"/>
              <w:spacing w:after="0"/>
              <w:rPr>
                <w:sz w:val="20"/>
                <w:szCs w:val="20"/>
                <w:color w:val="auto"/>
              </w:rPr>
            </w:pPr>
            <w:r>
              <w:rPr>
                <w:rFonts w:ascii="Times New Roman" w:cs="Times New Roman" w:eastAsia="Times New Roman" w:hAnsi="Times New Roman"/>
                <w:sz w:val="11"/>
                <w:szCs w:val="11"/>
                <w:color w:val="auto"/>
                <w:w w:val="96"/>
              </w:rPr>
              <w:t>432</w:t>
            </w:r>
          </w:p>
        </w:tc>
        <w:tc>
          <w:tcPr>
            <w:tcW w:w="14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77,544</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55,566</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51,127</w:t>
            </w:r>
          </w:p>
        </w:tc>
        <w:tc>
          <w:tcPr>
            <w:tcW w:w="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44,786</w:t>
            </w:r>
          </w:p>
        </w:tc>
        <w:tc>
          <w:tcPr>
            <w:tcW w:w="0" w:type="dxa"/>
            <w:vAlign w:val="bottom"/>
          </w:tcPr>
          <w:p>
            <w:pPr>
              <w:spacing w:after="0"/>
              <w:rPr>
                <w:sz w:val="1"/>
                <w:szCs w:val="1"/>
                <w:color w:val="auto"/>
              </w:rPr>
            </w:pPr>
          </w:p>
        </w:tc>
      </w:tr>
      <w:tr>
        <w:trPr>
          <w:trHeight w:val="133"/>
        </w:trPr>
        <w:tc>
          <w:tcPr>
            <w:tcW w:w="1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Europe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1,327</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rPr>
              <w:t>1,912</w:t>
            </w:r>
          </w:p>
        </w:tc>
        <w:tc>
          <w:tcPr>
            <w:tcW w:w="1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1,994</w:t>
            </w:r>
          </w:p>
        </w:tc>
        <w:tc>
          <w:tcPr>
            <w:tcW w:w="18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jc w:val="center"/>
              <w:ind w:left="126"/>
              <w:spacing w:after="0"/>
              <w:rPr>
                <w:sz w:val="20"/>
                <w:szCs w:val="20"/>
                <w:color w:val="auto"/>
              </w:rPr>
            </w:pPr>
            <w:r>
              <w:rPr>
                <w:rFonts w:ascii="Times New Roman" w:cs="Times New Roman" w:eastAsia="Times New Roman" w:hAnsi="Times New Roman"/>
                <w:sz w:val="11"/>
                <w:szCs w:val="11"/>
                <w:color w:val="auto"/>
                <w:w w:val="94"/>
              </w:rPr>
              <w:t>144,502</w:t>
            </w:r>
          </w:p>
        </w:tc>
        <w:tc>
          <w:tcPr>
            <w:tcW w:w="18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147,164</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117,428</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129,386</w:t>
            </w:r>
          </w:p>
        </w:tc>
        <w:tc>
          <w:tcPr>
            <w:tcW w:w="500" w:type="dxa"/>
            <w:vAlign w:val="bottom"/>
            <w:tcBorders>
              <w:bottom w:val="single" w:sz="8" w:color="auto"/>
            </w:tcBorders>
            <w:gridSpan w:val="2"/>
          </w:tcPr>
          <w:p>
            <w:pPr>
              <w:jc w:val="center"/>
              <w:ind w:left="126"/>
              <w:spacing w:after="0"/>
              <w:rPr>
                <w:sz w:val="20"/>
                <w:szCs w:val="20"/>
                <w:color w:val="auto"/>
              </w:rPr>
            </w:pPr>
            <w:r>
              <w:rPr>
                <w:rFonts w:ascii="Times New Roman" w:cs="Times New Roman" w:eastAsia="Times New Roman" w:hAnsi="Times New Roman"/>
                <w:sz w:val="11"/>
                <w:szCs w:val="11"/>
                <w:color w:val="auto"/>
                <w:w w:val="96"/>
              </w:rPr>
              <w:t>559</w:t>
            </w:r>
          </w:p>
        </w:tc>
        <w:tc>
          <w:tcPr>
            <w:tcW w:w="20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jc w:val="center"/>
              <w:ind w:left="66"/>
              <w:spacing w:after="0"/>
              <w:rPr>
                <w:sz w:val="20"/>
                <w:szCs w:val="20"/>
                <w:color w:val="auto"/>
              </w:rPr>
            </w:pPr>
            <w:r>
              <w:rPr>
                <w:rFonts w:ascii="Times New Roman" w:cs="Times New Roman" w:eastAsia="Times New Roman" w:hAnsi="Times New Roman"/>
                <w:sz w:val="11"/>
                <w:szCs w:val="11"/>
                <w:color w:val="auto"/>
                <w:w w:val="96"/>
              </w:rPr>
              <w:t>598</w:t>
            </w:r>
          </w:p>
        </w:tc>
        <w:tc>
          <w:tcPr>
            <w:tcW w:w="14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45,318</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46,041</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35,202</w:t>
            </w:r>
          </w:p>
        </w:tc>
        <w:tc>
          <w:tcPr>
            <w:tcW w:w="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46,133</w:t>
            </w:r>
          </w:p>
        </w:tc>
        <w:tc>
          <w:tcPr>
            <w:tcW w:w="0" w:type="dxa"/>
            <w:vAlign w:val="bottom"/>
          </w:tcPr>
          <w:p>
            <w:pPr>
              <w:spacing w:after="0"/>
              <w:rPr>
                <w:sz w:val="1"/>
                <w:szCs w:val="1"/>
                <w:color w:val="auto"/>
              </w:rPr>
            </w:pPr>
          </w:p>
        </w:tc>
      </w:tr>
      <w:tr>
        <w:trPr>
          <w:trHeight w:val="133"/>
        </w:trPr>
        <w:tc>
          <w:tcPr>
            <w:tcW w:w="1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USA</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470</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1,200</w:t>
            </w: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rPr>
              <w:t>790</w:t>
            </w:r>
          </w:p>
        </w:tc>
        <w:tc>
          <w:tcPr>
            <w:tcW w:w="1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226</w:t>
            </w:r>
          </w:p>
        </w:tc>
        <w:tc>
          <w:tcPr>
            <w:tcW w:w="18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jc w:val="center"/>
              <w:ind w:left="126"/>
              <w:spacing w:after="0"/>
              <w:rPr>
                <w:sz w:val="20"/>
                <w:szCs w:val="20"/>
                <w:color w:val="auto"/>
              </w:rPr>
            </w:pPr>
            <w:r>
              <w:rPr>
                <w:rFonts w:ascii="Times New Roman" w:cs="Times New Roman" w:eastAsia="Times New Roman" w:hAnsi="Times New Roman"/>
                <w:sz w:val="11"/>
                <w:szCs w:val="11"/>
                <w:color w:val="auto"/>
                <w:w w:val="94"/>
              </w:rPr>
              <w:t>110,948</w:t>
            </w:r>
          </w:p>
        </w:tc>
        <w:tc>
          <w:tcPr>
            <w:tcW w:w="18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8,611</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98,171</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5,863</w:t>
            </w:r>
          </w:p>
        </w:tc>
        <w:tc>
          <w:tcPr>
            <w:tcW w:w="500" w:type="dxa"/>
            <w:vAlign w:val="bottom"/>
            <w:tcBorders>
              <w:bottom w:val="single" w:sz="8" w:color="auto"/>
            </w:tcBorders>
            <w:gridSpan w:val="2"/>
          </w:tcPr>
          <w:p>
            <w:pPr>
              <w:jc w:val="center"/>
              <w:ind w:left="126"/>
              <w:spacing w:after="0"/>
              <w:rPr>
                <w:sz w:val="20"/>
                <w:szCs w:val="20"/>
                <w:color w:val="auto"/>
              </w:rPr>
            </w:pPr>
            <w:r>
              <w:rPr>
                <w:rFonts w:ascii="Times New Roman" w:cs="Times New Roman" w:eastAsia="Times New Roman" w:hAnsi="Times New Roman"/>
                <w:sz w:val="11"/>
                <w:szCs w:val="11"/>
                <w:color w:val="auto"/>
                <w:w w:val="96"/>
              </w:rPr>
              <w:t>271</w:t>
            </w:r>
          </w:p>
        </w:tc>
        <w:tc>
          <w:tcPr>
            <w:tcW w:w="20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jc w:val="center"/>
              <w:ind w:left="66"/>
              <w:spacing w:after="0"/>
              <w:rPr>
                <w:sz w:val="20"/>
                <w:szCs w:val="20"/>
                <w:color w:val="auto"/>
              </w:rPr>
            </w:pPr>
            <w:r>
              <w:rPr>
                <w:rFonts w:ascii="Times New Roman" w:cs="Times New Roman" w:eastAsia="Times New Roman" w:hAnsi="Times New Roman"/>
                <w:sz w:val="11"/>
                <w:szCs w:val="11"/>
                <w:color w:val="auto"/>
                <w:w w:val="96"/>
              </w:rPr>
              <w:t>153</w:t>
            </w:r>
          </w:p>
        </w:tc>
        <w:tc>
          <w:tcPr>
            <w:tcW w:w="14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41,968</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5,180</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38,258</w:t>
            </w:r>
          </w:p>
        </w:tc>
        <w:tc>
          <w:tcPr>
            <w:tcW w:w="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4,558</w:t>
            </w:r>
          </w:p>
        </w:tc>
        <w:tc>
          <w:tcPr>
            <w:tcW w:w="0" w:type="dxa"/>
            <w:vAlign w:val="bottom"/>
          </w:tcPr>
          <w:p>
            <w:pPr>
              <w:spacing w:after="0"/>
              <w:rPr>
                <w:sz w:val="1"/>
                <w:szCs w:val="1"/>
                <w:color w:val="auto"/>
              </w:rPr>
            </w:pPr>
          </w:p>
        </w:tc>
      </w:tr>
      <w:tr>
        <w:trPr>
          <w:trHeight w:val="133"/>
        </w:trPr>
        <w:tc>
          <w:tcPr>
            <w:tcW w:w="1000" w:type="dxa"/>
            <w:vAlign w:val="bottom"/>
            <w:tcBorders>
              <w:left w:val="single" w:sz="8" w:color="auto"/>
              <w:bottom w:val="single" w:sz="8" w:color="auto"/>
              <w:right w:val="single" w:sz="8" w:color="auto"/>
            </w:tcBorders>
            <w:shd w:val="clear" w:color="auto" w:fill="92BAEA"/>
          </w:tcPr>
          <w:p>
            <w:pPr>
              <w:ind w:left="20"/>
              <w:spacing w:after="0"/>
              <w:rPr>
                <w:sz w:val="20"/>
                <w:szCs w:val="20"/>
                <w:color w:val="auto"/>
              </w:rPr>
            </w:pPr>
            <w:r>
              <w:rPr>
                <w:rFonts w:ascii="Times New Roman" w:cs="Times New Roman" w:eastAsia="Times New Roman" w:hAnsi="Times New Roman"/>
                <w:sz w:val="11"/>
                <w:szCs w:val="11"/>
                <w:b w:val="1"/>
                <w:bCs w:val="1"/>
                <w:color w:val="auto"/>
              </w:rPr>
              <w:t>Total Consolidated</w:t>
            </w:r>
          </w:p>
        </w:tc>
        <w:tc>
          <w:tcPr>
            <w:tcW w:w="66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2,472</w:t>
            </w:r>
          </w:p>
        </w:tc>
        <w:tc>
          <w:tcPr>
            <w:tcW w:w="74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2,019</w:t>
            </w:r>
          </w:p>
        </w:tc>
        <w:tc>
          <w:tcPr>
            <w:tcW w:w="1000" w:type="dxa"/>
            <w:vAlign w:val="bottom"/>
            <w:tcBorders>
              <w:bottom w:val="single" w:sz="8" w:color="auto"/>
              <w:right w:val="single" w:sz="8" w:color="auto"/>
            </w:tcBorders>
            <w:gridSpan w:val="2"/>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rPr>
              <w:t>3,860</w:t>
            </w:r>
          </w:p>
        </w:tc>
        <w:tc>
          <w:tcPr>
            <w:tcW w:w="180" w:type="dxa"/>
            <w:vAlign w:val="bottom"/>
            <w:tcBorders>
              <w:bottom w:val="single" w:sz="8" w:color="auto"/>
            </w:tcBorders>
            <w:shd w:val="clear" w:color="auto" w:fill="92BAEA"/>
          </w:tcPr>
          <w:p>
            <w:pPr>
              <w:spacing w:after="0"/>
              <w:rPr>
                <w:sz w:val="11"/>
                <w:szCs w:val="11"/>
                <w:color w:val="auto"/>
              </w:rPr>
            </w:pPr>
          </w:p>
        </w:tc>
        <w:tc>
          <w:tcPr>
            <w:tcW w:w="400" w:type="dxa"/>
            <w:vAlign w:val="bottom"/>
            <w:tcBorders>
              <w:bottom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3,232</w:t>
            </w:r>
          </w:p>
        </w:tc>
        <w:tc>
          <w:tcPr>
            <w:tcW w:w="180" w:type="dxa"/>
            <w:vAlign w:val="bottom"/>
            <w:tcBorders>
              <w:bottom w:val="single" w:sz="8" w:color="auto"/>
              <w:right w:val="single" w:sz="8" w:color="auto"/>
            </w:tcBorders>
            <w:shd w:val="clear" w:color="auto" w:fill="92BAEA"/>
          </w:tcPr>
          <w:p>
            <w:pPr>
              <w:spacing w:after="0"/>
              <w:rPr>
                <w:sz w:val="11"/>
                <w:szCs w:val="11"/>
                <w:color w:val="auto"/>
              </w:rPr>
            </w:pPr>
          </w:p>
        </w:tc>
        <w:tc>
          <w:tcPr>
            <w:tcW w:w="560" w:type="dxa"/>
            <w:vAlign w:val="bottom"/>
            <w:tcBorders>
              <w:bottom w:val="single" w:sz="8" w:color="auto"/>
            </w:tcBorders>
            <w:shd w:val="clear" w:color="auto" w:fill="92BAEA"/>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4"/>
              </w:rPr>
              <w:t>428,630</w:t>
            </w:r>
          </w:p>
        </w:tc>
        <w:tc>
          <w:tcPr>
            <w:tcW w:w="180" w:type="dxa"/>
            <w:vAlign w:val="bottom"/>
            <w:tcBorders>
              <w:bottom w:val="single" w:sz="8" w:color="auto"/>
              <w:right w:val="single" w:sz="8" w:color="auto"/>
            </w:tcBorders>
            <w:shd w:val="clear" w:color="auto" w:fill="92BAEA"/>
          </w:tcPr>
          <w:p>
            <w:pPr>
              <w:spacing w:after="0"/>
              <w:rPr>
                <w:sz w:val="11"/>
                <w:szCs w:val="11"/>
                <w:color w:val="auto"/>
              </w:rPr>
            </w:pPr>
          </w:p>
        </w:tc>
        <w:tc>
          <w:tcPr>
            <w:tcW w:w="76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277,382</w:t>
            </w:r>
          </w:p>
        </w:tc>
        <w:tc>
          <w:tcPr>
            <w:tcW w:w="74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rPr>
              <w:t>331,113</w:t>
            </w:r>
          </w:p>
        </w:tc>
        <w:tc>
          <w:tcPr>
            <w:tcW w:w="76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234,908</w:t>
            </w:r>
          </w:p>
        </w:tc>
        <w:tc>
          <w:tcPr>
            <w:tcW w:w="500" w:type="dxa"/>
            <w:vAlign w:val="bottom"/>
            <w:tcBorders>
              <w:bottom w:val="single" w:sz="8" w:color="auto"/>
            </w:tcBorders>
            <w:gridSpan w:val="2"/>
            <w:shd w:val="clear" w:color="auto" w:fill="92BAEA"/>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6"/>
              </w:rPr>
              <w:t>1,293</w:t>
            </w:r>
          </w:p>
        </w:tc>
        <w:tc>
          <w:tcPr>
            <w:tcW w:w="200" w:type="dxa"/>
            <w:vAlign w:val="bottom"/>
            <w:tcBorders>
              <w:bottom w:val="single" w:sz="8" w:color="auto"/>
              <w:right w:val="single" w:sz="8" w:color="auto"/>
            </w:tcBorders>
            <w:shd w:val="clear" w:color="auto" w:fill="92BAEA"/>
          </w:tcPr>
          <w:p>
            <w:pPr>
              <w:spacing w:after="0"/>
              <w:rPr>
                <w:sz w:val="11"/>
                <w:szCs w:val="11"/>
                <w:color w:val="auto"/>
              </w:rPr>
            </w:pPr>
          </w:p>
        </w:tc>
        <w:tc>
          <w:tcPr>
            <w:tcW w:w="560" w:type="dxa"/>
            <w:vAlign w:val="bottom"/>
            <w:tcBorders>
              <w:bottom w:val="single" w:sz="8" w:color="auto"/>
            </w:tcBorders>
            <w:shd w:val="clear" w:color="auto" w:fill="92BAEA"/>
          </w:tcPr>
          <w:p>
            <w:pPr>
              <w:jc w:val="center"/>
              <w:ind w:left="66"/>
              <w:spacing w:after="0"/>
              <w:rPr>
                <w:sz w:val="20"/>
                <w:szCs w:val="20"/>
                <w:color w:val="auto"/>
              </w:rPr>
            </w:pPr>
            <w:r>
              <w:rPr>
                <w:rFonts w:ascii="Times New Roman" w:cs="Times New Roman" w:eastAsia="Times New Roman" w:hAnsi="Times New Roman"/>
                <w:sz w:val="11"/>
                <w:szCs w:val="11"/>
                <w:b w:val="1"/>
                <w:bCs w:val="1"/>
                <w:color w:val="auto"/>
                <w:w w:val="96"/>
              </w:rPr>
              <w:t>1,183</w:t>
            </w:r>
          </w:p>
        </w:tc>
        <w:tc>
          <w:tcPr>
            <w:tcW w:w="140" w:type="dxa"/>
            <w:vAlign w:val="bottom"/>
            <w:tcBorders>
              <w:bottom w:val="single" w:sz="8" w:color="auto"/>
              <w:right w:val="single" w:sz="8" w:color="auto"/>
            </w:tcBorders>
            <w:shd w:val="clear" w:color="auto" w:fill="92BAEA"/>
          </w:tcPr>
          <w:p>
            <w:pPr>
              <w:spacing w:after="0"/>
              <w:rPr>
                <w:sz w:val="11"/>
                <w:szCs w:val="11"/>
                <w:color w:val="auto"/>
              </w:rPr>
            </w:pPr>
          </w:p>
        </w:tc>
        <w:tc>
          <w:tcPr>
            <w:tcW w:w="64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rPr>
              <w:t>164,830</w:t>
            </w:r>
          </w:p>
        </w:tc>
        <w:tc>
          <w:tcPr>
            <w:tcW w:w="80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rPr>
              <w:t>106,787</w:t>
            </w:r>
          </w:p>
        </w:tc>
        <w:tc>
          <w:tcPr>
            <w:tcW w:w="90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124,587</w:t>
            </w:r>
          </w:p>
        </w:tc>
        <w:tc>
          <w:tcPr>
            <w:tcW w:w="42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95,477</w:t>
            </w:r>
          </w:p>
        </w:tc>
        <w:tc>
          <w:tcPr>
            <w:tcW w:w="0" w:type="dxa"/>
            <w:vAlign w:val="bottom"/>
          </w:tcPr>
          <w:p>
            <w:pPr>
              <w:spacing w:after="0"/>
              <w:rPr>
                <w:sz w:val="1"/>
                <w:szCs w:val="1"/>
                <w:color w:val="auto"/>
              </w:rPr>
            </w:pPr>
          </w:p>
        </w:tc>
      </w:tr>
      <w:tr>
        <w:trPr>
          <w:trHeight w:val="124"/>
        </w:trPr>
        <w:tc>
          <w:tcPr>
            <w:tcW w:w="1000" w:type="dxa"/>
            <w:vAlign w:val="bottom"/>
            <w:tcBorders>
              <w:left w:val="single" w:sz="8" w:color="auto"/>
              <w:right w:val="single" w:sz="8" w:color="auto"/>
            </w:tcBorders>
          </w:tcPr>
          <w:p>
            <w:pPr>
              <w:ind w:left="20"/>
              <w:spacing w:after="0" w:line="124" w:lineRule="exact"/>
              <w:rPr>
                <w:sz w:val="20"/>
                <w:szCs w:val="20"/>
                <w:color w:val="auto"/>
              </w:rPr>
            </w:pPr>
            <w:r>
              <w:rPr>
                <w:rFonts w:ascii="Times New Roman" w:cs="Times New Roman" w:eastAsia="Times New Roman" w:hAnsi="Times New Roman"/>
                <w:sz w:val="11"/>
                <w:szCs w:val="11"/>
                <w:color w:val="auto"/>
              </w:rPr>
              <w:t>Unconsolidated</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42</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41</w:t>
            </w:r>
          </w:p>
        </w:tc>
        <w:tc>
          <w:tcPr>
            <w:tcW w:w="50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00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at Share</w:t>
            </w:r>
          </w:p>
        </w:tc>
        <w:tc>
          <w:tcPr>
            <w:tcW w:w="66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900" w:type="dxa"/>
            <w:vAlign w:val="bottom"/>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00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66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160" w:type="dxa"/>
            <w:vAlign w:val="bottom"/>
            <w:tcBorders>
              <w:bottom w:val="single" w:sz="8" w:color="auto"/>
              <w:right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64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000" w:type="dxa"/>
            <w:vAlign w:val="bottom"/>
            <w:tcBorders>
              <w:top w:val="single" w:sz="8" w:color="92BAEA"/>
              <w:left w:val="single" w:sz="8" w:color="auto"/>
              <w:bottom w:val="single" w:sz="8" w:color="auto"/>
              <w:right w:val="single" w:sz="8" w:color="auto"/>
            </w:tcBorders>
            <w:shd w:val="clear" w:color="auto" w:fill="92BAEA"/>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660" w:type="dxa"/>
            <w:vAlign w:val="bottom"/>
            <w:tcBorders>
              <w:top w:val="single" w:sz="8" w:color="92BAEA"/>
              <w:bottom w:val="single" w:sz="8" w:color="auto"/>
              <w:right w:val="single" w:sz="8" w:color="auto"/>
            </w:tcBorders>
            <w:shd w:val="clear" w:color="auto" w:fill="92BAEA"/>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2,514</w:t>
            </w:r>
          </w:p>
        </w:tc>
        <w:tc>
          <w:tcPr>
            <w:tcW w:w="740" w:type="dxa"/>
            <w:vAlign w:val="bottom"/>
            <w:tcBorders>
              <w:top w:val="single" w:sz="8" w:color="92BAEA"/>
              <w:bottom w:val="single" w:sz="8" w:color="auto"/>
              <w:right w:val="single" w:sz="8" w:color="auto"/>
            </w:tcBorders>
            <w:shd w:val="clear" w:color="auto" w:fill="92BAEA"/>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2,060</w:t>
            </w:r>
          </w:p>
        </w:tc>
        <w:tc>
          <w:tcPr>
            <w:tcW w:w="500" w:type="dxa"/>
            <w:vAlign w:val="bottom"/>
            <w:tcBorders>
              <w:top w:val="single" w:sz="8" w:color="92BAEA"/>
              <w:bottom w:val="single" w:sz="8" w:color="auto"/>
              <w:right w:val="single" w:sz="8" w:color="auto"/>
            </w:tcBorders>
            <w:shd w:val="clear" w:color="auto" w:fill="92BAEA"/>
          </w:tcPr>
          <w:p>
            <w:pPr>
              <w:spacing w:after="0"/>
              <w:rPr>
                <w:sz w:val="10"/>
                <w:szCs w:val="10"/>
                <w:color w:val="auto"/>
              </w:rPr>
            </w:pPr>
          </w:p>
        </w:tc>
        <w:tc>
          <w:tcPr>
            <w:tcW w:w="500" w:type="dxa"/>
            <w:vAlign w:val="bottom"/>
            <w:tcBorders>
              <w:top w:val="single" w:sz="8" w:color="92BAEA"/>
              <w:bottom w:val="single" w:sz="8" w:color="auto"/>
              <w:right w:val="single" w:sz="8" w:color="auto"/>
            </w:tcBorders>
            <w:shd w:val="clear" w:color="auto" w:fill="92BAEA"/>
          </w:tcPr>
          <w:p>
            <w:pPr>
              <w:spacing w:after="0"/>
              <w:rPr>
                <w:sz w:val="10"/>
                <w:szCs w:val="10"/>
                <w:color w:val="auto"/>
              </w:rPr>
            </w:pPr>
          </w:p>
        </w:tc>
        <w:tc>
          <w:tcPr>
            <w:tcW w:w="180" w:type="dxa"/>
            <w:vAlign w:val="bottom"/>
            <w:tcBorders>
              <w:top w:val="single" w:sz="8" w:color="92BAEA"/>
              <w:bottom w:val="single" w:sz="8" w:color="auto"/>
            </w:tcBorders>
            <w:shd w:val="clear" w:color="auto" w:fill="92BAEA"/>
          </w:tcPr>
          <w:p>
            <w:pPr>
              <w:spacing w:after="0"/>
              <w:rPr>
                <w:sz w:val="10"/>
                <w:szCs w:val="10"/>
                <w:color w:val="auto"/>
              </w:rPr>
            </w:pPr>
          </w:p>
        </w:tc>
        <w:tc>
          <w:tcPr>
            <w:tcW w:w="400" w:type="dxa"/>
            <w:vAlign w:val="bottom"/>
            <w:tcBorders>
              <w:top w:val="single" w:sz="8" w:color="92BAEA"/>
              <w:bottom w:val="single" w:sz="8" w:color="auto"/>
            </w:tcBorders>
            <w:shd w:val="clear" w:color="auto" w:fill="92BAEA"/>
          </w:tcPr>
          <w:p>
            <w:pPr>
              <w:spacing w:after="0"/>
              <w:rPr>
                <w:sz w:val="10"/>
                <w:szCs w:val="10"/>
                <w:color w:val="auto"/>
              </w:rPr>
            </w:pPr>
          </w:p>
        </w:tc>
        <w:tc>
          <w:tcPr>
            <w:tcW w:w="180" w:type="dxa"/>
            <w:vAlign w:val="bottom"/>
            <w:tcBorders>
              <w:top w:val="single" w:sz="8" w:color="92BAEA"/>
              <w:bottom w:val="single" w:sz="8" w:color="auto"/>
              <w:right w:val="single" w:sz="8" w:color="auto"/>
            </w:tcBorders>
            <w:shd w:val="clear" w:color="auto" w:fill="92BAEA"/>
          </w:tcPr>
          <w:p>
            <w:pPr>
              <w:spacing w:after="0"/>
              <w:rPr>
                <w:sz w:val="10"/>
                <w:szCs w:val="10"/>
                <w:color w:val="auto"/>
              </w:rPr>
            </w:pPr>
          </w:p>
        </w:tc>
        <w:tc>
          <w:tcPr>
            <w:tcW w:w="560" w:type="dxa"/>
            <w:vAlign w:val="bottom"/>
            <w:tcBorders>
              <w:top w:val="single" w:sz="8" w:color="92BAEA"/>
              <w:bottom w:val="single" w:sz="8" w:color="auto"/>
            </w:tcBorders>
            <w:shd w:val="clear" w:color="auto" w:fill="92BAEA"/>
          </w:tcPr>
          <w:p>
            <w:pPr>
              <w:spacing w:after="0"/>
              <w:rPr>
                <w:sz w:val="10"/>
                <w:szCs w:val="10"/>
                <w:color w:val="auto"/>
              </w:rPr>
            </w:pPr>
          </w:p>
        </w:tc>
        <w:tc>
          <w:tcPr>
            <w:tcW w:w="180" w:type="dxa"/>
            <w:vAlign w:val="bottom"/>
            <w:tcBorders>
              <w:top w:val="single" w:sz="8" w:color="92BAEA"/>
              <w:bottom w:val="single" w:sz="8" w:color="auto"/>
              <w:right w:val="single" w:sz="8" w:color="92BAEA"/>
            </w:tcBorders>
            <w:shd w:val="clear" w:color="auto" w:fill="92BAEA"/>
          </w:tcPr>
          <w:p>
            <w:pPr>
              <w:spacing w:after="0"/>
              <w:rPr>
                <w:sz w:val="10"/>
                <w:szCs w:val="10"/>
                <w:color w:val="auto"/>
              </w:rPr>
            </w:pPr>
          </w:p>
        </w:tc>
        <w:tc>
          <w:tcPr>
            <w:tcW w:w="760" w:type="dxa"/>
            <w:vAlign w:val="bottom"/>
            <w:tcBorders>
              <w:top w:val="single" w:sz="8" w:color="92BAEA"/>
              <w:bottom w:val="single" w:sz="8" w:color="auto"/>
              <w:right w:val="single" w:sz="8" w:color="92BAEA"/>
            </w:tcBorders>
            <w:shd w:val="clear" w:color="auto" w:fill="92BAEA"/>
          </w:tcPr>
          <w:p>
            <w:pPr>
              <w:spacing w:after="0"/>
              <w:rPr>
                <w:sz w:val="10"/>
                <w:szCs w:val="10"/>
                <w:color w:val="auto"/>
              </w:rPr>
            </w:pPr>
          </w:p>
        </w:tc>
        <w:tc>
          <w:tcPr>
            <w:tcW w:w="740" w:type="dxa"/>
            <w:vAlign w:val="bottom"/>
            <w:tcBorders>
              <w:top w:val="single" w:sz="8" w:color="92BAEA"/>
              <w:bottom w:val="single" w:sz="8" w:color="auto"/>
              <w:right w:val="single" w:sz="8" w:color="auto"/>
            </w:tcBorders>
            <w:shd w:val="clear" w:color="auto" w:fill="92BAEA"/>
          </w:tcPr>
          <w:p>
            <w:pPr>
              <w:spacing w:after="0"/>
              <w:rPr>
                <w:sz w:val="10"/>
                <w:szCs w:val="10"/>
                <w:color w:val="auto"/>
              </w:rPr>
            </w:pPr>
          </w:p>
        </w:tc>
        <w:tc>
          <w:tcPr>
            <w:tcW w:w="760" w:type="dxa"/>
            <w:vAlign w:val="bottom"/>
            <w:tcBorders>
              <w:top w:val="single" w:sz="8" w:color="92BAEA"/>
              <w:bottom w:val="single" w:sz="8" w:color="auto"/>
              <w:right w:val="single" w:sz="8" w:color="auto"/>
            </w:tcBorders>
            <w:shd w:val="clear" w:color="auto" w:fill="92BAEA"/>
          </w:tcPr>
          <w:p>
            <w:pPr>
              <w:spacing w:after="0"/>
              <w:rPr>
                <w:sz w:val="10"/>
                <w:szCs w:val="10"/>
                <w:color w:val="auto"/>
              </w:rPr>
            </w:pPr>
          </w:p>
        </w:tc>
        <w:tc>
          <w:tcPr>
            <w:tcW w:w="160" w:type="dxa"/>
            <w:vAlign w:val="bottom"/>
            <w:tcBorders>
              <w:top w:val="single" w:sz="8" w:color="92BAEA"/>
              <w:bottom w:val="single" w:sz="8" w:color="auto"/>
              <w:right w:val="single" w:sz="8" w:color="auto"/>
            </w:tcBorders>
            <w:shd w:val="clear" w:color="auto" w:fill="92BAEA"/>
          </w:tcPr>
          <w:p>
            <w:pPr>
              <w:spacing w:after="0"/>
              <w:rPr>
                <w:sz w:val="10"/>
                <w:szCs w:val="10"/>
                <w:color w:val="auto"/>
              </w:rPr>
            </w:pPr>
          </w:p>
        </w:tc>
        <w:tc>
          <w:tcPr>
            <w:tcW w:w="340" w:type="dxa"/>
            <w:vAlign w:val="bottom"/>
            <w:tcBorders>
              <w:top w:val="single" w:sz="8" w:color="92BAEA"/>
              <w:bottom w:val="single" w:sz="8" w:color="auto"/>
            </w:tcBorders>
            <w:shd w:val="clear" w:color="auto" w:fill="92BAEA"/>
          </w:tcPr>
          <w:p>
            <w:pPr>
              <w:spacing w:after="0"/>
              <w:rPr>
                <w:sz w:val="10"/>
                <w:szCs w:val="10"/>
                <w:color w:val="auto"/>
              </w:rPr>
            </w:pPr>
          </w:p>
        </w:tc>
        <w:tc>
          <w:tcPr>
            <w:tcW w:w="200" w:type="dxa"/>
            <w:vAlign w:val="bottom"/>
            <w:tcBorders>
              <w:top w:val="single" w:sz="8" w:color="92BAEA"/>
              <w:bottom w:val="single" w:sz="8" w:color="auto"/>
              <w:right w:val="single" w:sz="8" w:color="auto"/>
            </w:tcBorders>
            <w:shd w:val="clear" w:color="auto" w:fill="92BAEA"/>
          </w:tcPr>
          <w:p>
            <w:pPr>
              <w:spacing w:after="0"/>
              <w:rPr>
                <w:sz w:val="10"/>
                <w:szCs w:val="10"/>
                <w:color w:val="auto"/>
              </w:rPr>
            </w:pPr>
          </w:p>
        </w:tc>
        <w:tc>
          <w:tcPr>
            <w:tcW w:w="560" w:type="dxa"/>
            <w:vAlign w:val="bottom"/>
            <w:tcBorders>
              <w:top w:val="single" w:sz="8" w:color="92BAEA"/>
              <w:bottom w:val="single" w:sz="8" w:color="auto"/>
            </w:tcBorders>
            <w:shd w:val="clear" w:color="auto" w:fill="92BAEA"/>
          </w:tcPr>
          <w:p>
            <w:pPr>
              <w:spacing w:after="0"/>
              <w:rPr>
                <w:sz w:val="10"/>
                <w:szCs w:val="10"/>
                <w:color w:val="auto"/>
              </w:rPr>
            </w:pPr>
          </w:p>
        </w:tc>
        <w:tc>
          <w:tcPr>
            <w:tcW w:w="140" w:type="dxa"/>
            <w:vAlign w:val="bottom"/>
            <w:tcBorders>
              <w:top w:val="single" w:sz="8" w:color="92BAEA"/>
              <w:bottom w:val="single" w:sz="8" w:color="auto"/>
              <w:right w:val="single" w:sz="8" w:color="auto"/>
            </w:tcBorders>
            <w:shd w:val="clear" w:color="auto" w:fill="92BAEA"/>
          </w:tcPr>
          <w:p>
            <w:pPr>
              <w:spacing w:after="0"/>
              <w:rPr>
                <w:sz w:val="10"/>
                <w:szCs w:val="10"/>
                <w:color w:val="auto"/>
              </w:rPr>
            </w:pPr>
          </w:p>
        </w:tc>
        <w:tc>
          <w:tcPr>
            <w:tcW w:w="640" w:type="dxa"/>
            <w:vAlign w:val="bottom"/>
            <w:tcBorders>
              <w:top w:val="single" w:sz="8" w:color="92BAEA"/>
              <w:bottom w:val="single" w:sz="8" w:color="auto"/>
              <w:right w:val="single" w:sz="8" w:color="92BAEA"/>
            </w:tcBorders>
            <w:shd w:val="clear" w:color="auto" w:fill="92BAEA"/>
          </w:tcPr>
          <w:p>
            <w:pPr>
              <w:spacing w:after="0"/>
              <w:rPr>
                <w:sz w:val="10"/>
                <w:szCs w:val="10"/>
                <w:color w:val="auto"/>
              </w:rPr>
            </w:pPr>
          </w:p>
        </w:tc>
        <w:tc>
          <w:tcPr>
            <w:tcW w:w="800" w:type="dxa"/>
            <w:vAlign w:val="bottom"/>
            <w:tcBorders>
              <w:top w:val="single" w:sz="8" w:color="92BAEA"/>
              <w:bottom w:val="single" w:sz="8" w:color="auto"/>
              <w:right w:val="single" w:sz="8" w:color="auto"/>
            </w:tcBorders>
            <w:shd w:val="clear" w:color="auto" w:fill="92BAEA"/>
          </w:tcPr>
          <w:p>
            <w:pPr>
              <w:spacing w:after="0"/>
              <w:rPr>
                <w:sz w:val="10"/>
                <w:szCs w:val="10"/>
                <w:color w:val="auto"/>
              </w:rPr>
            </w:pPr>
          </w:p>
        </w:tc>
        <w:tc>
          <w:tcPr>
            <w:tcW w:w="900" w:type="dxa"/>
            <w:vAlign w:val="bottom"/>
            <w:tcBorders>
              <w:top w:val="single" w:sz="8" w:color="92BAEA"/>
              <w:bottom w:val="single" w:sz="8" w:color="auto"/>
              <w:right w:val="single" w:sz="8" w:color="auto"/>
            </w:tcBorders>
            <w:shd w:val="clear" w:color="auto" w:fill="92BAEA"/>
          </w:tcPr>
          <w:p>
            <w:pPr>
              <w:spacing w:after="0"/>
              <w:rPr>
                <w:sz w:val="10"/>
                <w:szCs w:val="10"/>
                <w:color w:val="auto"/>
              </w:rPr>
            </w:pPr>
          </w:p>
        </w:tc>
        <w:tc>
          <w:tcPr>
            <w:tcW w:w="420" w:type="dxa"/>
            <w:vAlign w:val="bottom"/>
            <w:tcBorders>
              <w:top w:val="single" w:sz="8" w:color="auto"/>
              <w:bottom w:val="single" w:sz="8" w:color="auto"/>
              <w:right w:val="single" w:sz="8" w:color="auto"/>
            </w:tcBorders>
            <w:shd w:val="clear" w:color="auto" w:fill="92BAEA"/>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10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5" w:right="299" w:bottom="1440" w:gutter="0" w:footer="0" w:header="0"/>
        </w:sectPr>
      </w:pPr>
    </w:p>
    <w:bookmarkStart w:id="26" w:name="page27"/>
    <w:bookmarkEnd w:id="26"/>
    <w:p>
      <w:pPr>
        <w:ind w:left="408" w:hanging="408"/>
        <w:spacing w:after="0"/>
        <w:tabs>
          <w:tab w:leader="none" w:pos="408" w:val="left"/>
        </w:tabs>
        <w:numPr>
          <w:ilvl w:val="0"/>
          <w:numId w:val="3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Operational Projects Further Detail</w:t>
      </w:r>
    </w:p>
    <w:p>
      <w:pPr>
        <w:spacing w:after="0" w:line="154" w:lineRule="exact"/>
        <w:rPr>
          <w:sz w:val="20"/>
          <w:szCs w:val="20"/>
          <w:color w:val="auto"/>
        </w:rPr>
      </w:pPr>
    </w:p>
    <w:tbl>
      <w:tblPr>
        <w:tblLayout w:type="fixed"/>
        <w:tblInd w:w="18" w:type="dxa"/>
        <w:tblCellMar>
          <w:top w:w="0" w:type="dxa"/>
          <w:left w:w="0" w:type="dxa"/>
          <w:bottom w:w="0" w:type="dxa"/>
          <w:right w:w="0" w:type="dxa"/>
        </w:tblCellMar>
      </w:tblPr>
      <w:tr>
        <w:trPr>
          <w:trHeight w:val="161"/>
        </w:trPr>
        <w:tc>
          <w:tcPr>
            <w:tcW w:w="1560" w:type="dxa"/>
            <w:vAlign w:val="bottom"/>
            <w:tcBorders>
              <w:top w:val="single" w:sz="8" w:color="auto"/>
              <w:left w:val="single" w:sz="8" w:color="auto"/>
              <w:bottom w:val="single" w:sz="8" w:color="auto"/>
              <w:right w:val="single" w:sz="8" w:color="auto"/>
            </w:tcBorders>
            <w:shd w:val="clear" w:color="auto" w:fill="0070C0"/>
          </w:tcPr>
          <w:p>
            <w:pPr>
              <w:ind w:left="20"/>
              <w:spacing w:after="0"/>
              <w:rPr>
                <w:sz w:val="20"/>
                <w:szCs w:val="20"/>
                <w:color w:val="auto"/>
              </w:rPr>
            </w:pPr>
            <w:r>
              <w:rPr>
                <w:rFonts w:ascii="Times New Roman" w:cs="Times New Roman" w:eastAsia="Times New Roman" w:hAnsi="Times New Roman"/>
                <w:sz w:val="11"/>
                <w:szCs w:val="11"/>
                <w:i w:val="1"/>
                <w:iCs w:val="1"/>
                <w:color w:val="FFFFFF"/>
              </w:rPr>
              <w:t>($ thousands)</w:t>
            </w:r>
          </w:p>
        </w:tc>
        <w:tc>
          <w:tcPr>
            <w:tcW w:w="920" w:type="dxa"/>
            <w:vAlign w:val="bottom"/>
            <w:tcBorders>
              <w:top w:val="single" w:sz="8" w:color="auto"/>
              <w:bottom w:val="single" w:sz="8" w:color="auto"/>
              <w:right w:val="single" w:sz="8" w:color="auto"/>
            </w:tcBorders>
            <w:shd w:val="clear" w:color="auto" w:fill="0070C0"/>
          </w:tcPr>
          <w:p>
            <w:pPr>
              <w:spacing w:after="0"/>
              <w:rPr>
                <w:sz w:val="14"/>
                <w:szCs w:val="14"/>
                <w:color w:val="auto"/>
              </w:rPr>
            </w:pPr>
          </w:p>
        </w:tc>
        <w:tc>
          <w:tcPr>
            <w:tcW w:w="780" w:type="dxa"/>
            <w:vAlign w:val="bottom"/>
            <w:tcBorders>
              <w:top w:val="single" w:sz="8" w:color="auto"/>
              <w:bottom w:val="single" w:sz="8" w:color="auto"/>
              <w:right w:val="single" w:sz="8" w:color="auto"/>
            </w:tcBorders>
            <w:shd w:val="clear" w:color="auto" w:fill="0070C0"/>
          </w:tcPr>
          <w:p>
            <w:pPr>
              <w:spacing w:after="0"/>
              <w:rPr>
                <w:sz w:val="14"/>
                <w:szCs w:val="14"/>
                <w:color w:val="auto"/>
              </w:rPr>
            </w:pPr>
          </w:p>
        </w:tc>
        <w:tc>
          <w:tcPr>
            <w:tcW w:w="860" w:type="dxa"/>
            <w:vAlign w:val="bottom"/>
            <w:tcBorders>
              <w:top w:val="single" w:sz="8" w:color="auto"/>
              <w:bottom w:val="single" w:sz="8" w:color="auto"/>
              <w:right w:val="single" w:sz="8" w:color="auto"/>
            </w:tcBorders>
            <w:shd w:val="clear" w:color="auto" w:fill="0070C0"/>
          </w:tcPr>
          <w:p>
            <w:pPr>
              <w:spacing w:after="0"/>
              <w:rPr>
                <w:sz w:val="14"/>
                <w:szCs w:val="14"/>
                <w:color w:val="auto"/>
              </w:rPr>
            </w:pPr>
          </w:p>
        </w:tc>
        <w:tc>
          <w:tcPr>
            <w:tcW w:w="2320" w:type="dxa"/>
            <w:vAlign w:val="bottom"/>
            <w:tcBorders>
              <w:top w:val="single" w:sz="8" w:color="auto"/>
              <w:bottom w:val="single" w:sz="8" w:color="auto"/>
              <w:right w:val="single" w:sz="8" w:color="auto"/>
            </w:tcBorders>
            <w:gridSpan w:val="2"/>
            <w:shd w:val="clear" w:color="auto" w:fill="0070C0"/>
          </w:tcPr>
          <w:p>
            <w:pPr>
              <w:jc w:val="right"/>
              <w:ind w:right="286"/>
              <w:spacing w:after="0"/>
              <w:rPr>
                <w:sz w:val="20"/>
                <w:szCs w:val="20"/>
                <w:color w:val="auto"/>
              </w:rPr>
            </w:pPr>
            <w:r>
              <w:rPr>
                <w:rFonts w:ascii="Times New Roman" w:cs="Times New Roman" w:eastAsia="Times New Roman" w:hAnsi="Times New Roman"/>
                <w:sz w:val="11"/>
                <w:szCs w:val="11"/>
                <w:b w:val="1"/>
                <w:bCs w:val="1"/>
                <w:color w:val="FFFFFF"/>
              </w:rPr>
              <w:t>9 Months ended September 30, 2025</w:t>
            </w:r>
          </w:p>
        </w:tc>
        <w:tc>
          <w:tcPr>
            <w:tcW w:w="2440" w:type="dxa"/>
            <w:vAlign w:val="bottom"/>
            <w:tcBorders>
              <w:top w:val="single" w:sz="8" w:color="auto"/>
              <w:bottom w:val="single" w:sz="8" w:color="auto"/>
              <w:right w:val="single" w:sz="8" w:color="auto"/>
            </w:tcBorders>
            <w:gridSpan w:val="2"/>
            <w:shd w:val="clear" w:color="auto" w:fill="0070C0"/>
          </w:tcPr>
          <w:p>
            <w:pPr>
              <w:ind w:left="380"/>
              <w:spacing w:after="0"/>
              <w:rPr>
                <w:sz w:val="20"/>
                <w:szCs w:val="20"/>
                <w:color w:val="auto"/>
              </w:rPr>
            </w:pPr>
            <w:r>
              <w:rPr>
                <w:rFonts w:ascii="Times New Roman" w:cs="Times New Roman" w:eastAsia="Times New Roman" w:hAnsi="Times New Roman"/>
                <w:sz w:val="11"/>
                <w:szCs w:val="11"/>
                <w:b w:val="1"/>
                <w:bCs w:val="1"/>
                <w:color w:val="FFFFFF"/>
              </w:rPr>
              <w:t>3 Months ended September 30, 2025</w:t>
            </w:r>
          </w:p>
        </w:tc>
        <w:tc>
          <w:tcPr>
            <w:tcW w:w="1280" w:type="dxa"/>
            <w:vAlign w:val="bottom"/>
            <w:tcBorders>
              <w:top w:val="single" w:sz="8" w:color="auto"/>
              <w:bottom w:val="single" w:sz="8" w:color="auto"/>
              <w:right w:val="single" w:sz="8" w:color="0070C0"/>
            </w:tcBorders>
            <w:shd w:val="clear" w:color="auto" w:fill="0070C0"/>
          </w:tcPr>
          <w:p>
            <w:pPr>
              <w:spacing w:after="0"/>
              <w:rPr>
                <w:sz w:val="14"/>
                <w:szCs w:val="14"/>
                <w:color w:val="auto"/>
              </w:rPr>
            </w:pPr>
          </w:p>
        </w:tc>
        <w:tc>
          <w:tcPr>
            <w:tcW w:w="1160" w:type="dxa"/>
            <w:vAlign w:val="bottom"/>
            <w:tcBorders>
              <w:top w:val="single" w:sz="8" w:color="auto"/>
              <w:bottom w:val="single" w:sz="8" w:color="auto"/>
              <w:right w:val="single" w:sz="8" w:color="auto"/>
            </w:tcBorders>
            <w:shd w:val="clear" w:color="auto" w:fill="0070C0"/>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560" w:type="dxa"/>
            <w:vAlign w:val="bottom"/>
            <w:tcBorders>
              <w:left w:val="single" w:sz="8" w:color="auto"/>
              <w:right w:val="single" w:sz="8" w:color="auto"/>
            </w:tcBorders>
            <w:vMerge w:val="restart"/>
            <w:shd w:val="clear" w:color="auto" w:fill="0070C0"/>
          </w:tcPr>
          <w:p>
            <w:pPr>
              <w:ind w:left="20"/>
              <w:spacing w:after="0"/>
              <w:rPr>
                <w:sz w:val="20"/>
                <w:szCs w:val="20"/>
                <w:color w:val="auto"/>
              </w:rPr>
            </w:pPr>
            <w:r>
              <w:rPr>
                <w:rFonts w:ascii="Times New Roman" w:cs="Times New Roman" w:eastAsia="Times New Roman" w:hAnsi="Times New Roman"/>
                <w:sz w:val="11"/>
                <w:szCs w:val="11"/>
                <w:b w:val="1"/>
                <w:bCs w:val="1"/>
                <w:color w:val="FFFFFF"/>
              </w:rPr>
              <w:t>Operational Project</w:t>
            </w:r>
          </w:p>
        </w:tc>
        <w:tc>
          <w:tcPr>
            <w:tcW w:w="92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1"/>
                <w:szCs w:val="11"/>
                <w:b w:val="1"/>
                <w:bCs w:val="1"/>
                <w:color w:val="FFFFFF"/>
                <w:w w:val="94"/>
              </w:rPr>
              <w:t>Segment</w:t>
            </w:r>
          </w:p>
        </w:tc>
        <w:tc>
          <w:tcPr>
            <w:tcW w:w="780" w:type="dxa"/>
            <w:vAlign w:val="bottom"/>
            <w:tcBorders>
              <w:right w:val="single" w:sz="8" w:color="auto"/>
            </w:tcBorders>
            <w:shd w:val="clear" w:color="auto" w:fill="0070C0"/>
          </w:tcPr>
          <w:p>
            <w:pPr>
              <w:jc w:val="center"/>
              <w:spacing w:after="0" w:line="125" w:lineRule="exact"/>
              <w:rPr>
                <w:sz w:val="20"/>
                <w:szCs w:val="20"/>
                <w:color w:val="auto"/>
              </w:rPr>
            </w:pPr>
            <w:r>
              <w:rPr>
                <w:rFonts w:ascii="Times New Roman" w:cs="Times New Roman" w:eastAsia="Times New Roman" w:hAnsi="Times New Roman"/>
                <w:sz w:val="11"/>
                <w:szCs w:val="11"/>
                <w:color w:val="FFFFFF"/>
                <w:w w:val="94"/>
              </w:rPr>
              <w:t>Installed</w:t>
            </w:r>
          </w:p>
        </w:tc>
        <w:tc>
          <w:tcPr>
            <w:tcW w:w="860" w:type="dxa"/>
            <w:vAlign w:val="bottom"/>
            <w:tcBorders>
              <w:right w:val="single" w:sz="8" w:color="auto"/>
            </w:tcBorders>
            <w:shd w:val="clear" w:color="auto" w:fill="0070C0"/>
          </w:tcPr>
          <w:p>
            <w:pPr>
              <w:jc w:val="center"/>
              <w:spacing w:after="0" w:line="125" w:lineRule="exact"/>
              <w:rPr>
                <w:sz w:val="20"/>
                <w:szCs w:val="20"/>
                <w:color w:val="auto"/>
              </w:rPr>
            </w:pPr>
            <w:r>
              <w:rPr>
                <w:rFonts w:ascii="Times New Roman" w:cs="Times New Roman" w:eastAsia="Times New Roman" w:hAnsi="Times New Roman"/>
                <w:sz w:val="11"/>
                <w:szCs w:val="11"/>
                <w:color w:val="FFFFFF"/>
                <w:w w:val="99"/>
              </w:rPr>
              <w:t>Installed Storage</w:t>
            </w:r>
          </w:p>
        </w:tc>
        <w:tc>
          <w:tcPr>
            <w:tcW w:w="1200" w:type="dxa"/>
            <w:vAlign w:val="bottom"/>
            <w:tcBorders>
              <w:right w:val="single" w:sz="8" w:color="auto"/>
            </w:tcBorders>
            <w:shd w:val="clear" w:color="auto" w:fill="0070C0"/>
          </w:tcPr>
          <w:p>
            <w:pPr>
              <w:jc w:val="center"/>
              <w:spacing w:after="0" w:line="125" w:lineRule="exact"/>
              <w:rPr>
                <w:sz w:val="20"/>
                <w:szCs w:val="20"/>
                <w:color w:val="auto"/>
              </w:rPr>
            </w:pPr>
            <w:r>
              <w:rPr>
                <w:rFonts w:ascii="Times New Roman" w:cs="Times New Roman" w:eastAsia="Times New Roman" w:hAnsi="Times New Roman"/>
                <w:sz w:val="11"/>
                <w:szCs w:val="11"/>
                <w:color w:val="FFFFFF"/>
                <w:w w:val="97"/>
              </w:rPr>
              <w:t>Revenues and</w:t>
            </w:r>
          </w:p>
        </w:tc>
        <w:tc>
          <w:tcPr>
            <w:tcW w:w="1120" w:type="dxa"/>
            <w:vAlign w:val="bottom"/>
            <w:tcBorders>
              <w:right w:val="single" w:sz="8" w:color="auto"/>
            </w:tcBorders>
            <w:shd w:val="clear" w:color="auto" w:fill="0070C0"/>
          </w:tcPr>
          <w:p>
            <w:pPr>
              <w:jc w:val="right"/>
              <w:ind w:right="106"/>
              <w:spacing w:after="0" w:line="125" w:lineRule="exact"/>
              <w:rPr>
                <w:sz w:val="20"/>
                <w:szCs w:val="20"/>
                <w:color w:val="auto"/>
              </w:rPr>
            </w:pPr>
            <w:r>
              <w:rPr>
                <w:rFonts w:ascii="Times New Roman" w:cs="Times New Roman" w:eastAsia="Times New Roman" w:hAnsi="Times New Roman"/>
                <w:sz w:val="11"/>
                <w:szCs w:val="11"/>
                <w:color w:val="FFFFFF"/>
              </w:rPr>
              <w:t>Segment Adjusted</w:t>
            </w:r>
          </w:p>
        </w:tc>
        <w:tc>
          <w:tcPr>
            <w:tcW w:w="1280" w:type="dxa"/>
            <w:vAlign w:val="bottom"/>
            <w:tcBorders>
              <w:right w:val="single" w:sz="8" w:color="auto"/>
            </w:tcBorders>
            <w:vMerge w:val="restart"/>
            <w:shd w:val="clear" w:color="auto" w:fill="0070C0"/>
          </w:tcPr>
          <w:p>
            <w:pPr>
              <w:ind w:left="240"/>
              <w:spacing w:after="0"/>
              <w:rPr>
                <w:sz w:val="20"/>
                <w:szCs w:val="20"/>
                <w:color w:val="auto"/>
              </w:rPr>
            </w:pPr>
            <w:r>
              <w:rPr>
                <w:rFonts w:ascii="Times New Roman" w:cs="Times New Roman" w:eastAsia="Times New Roman" w:hAnsi="Times New Roman"/>
                <w:sz w:val="11"/>
                <w:szCs w:val="11"/>
                <w:color w:val="FFFFFF"/>
              </w:rPr>
              <w:t>Reported Revenue</w:t>
            </w:r>
          </w:p>
        </w:tc>
        <w:tc>
          <w:tcPr>
            <w:tcW w:w="1160" w:type="dxa"/>
            <w:vAlign w:val="bottom"/>
            <w:tcBorders>
              <w:right w:val="single" w:sz="8" w:color="auto"/>
            </w:tcBorders>
            <w:shd w:val="clear" w:color="auto" w:fill="0070C0"/>
          </w:tcPr>
          <w:p>
            <w:pPr>
              <w:jc w:val="center"/>
              <w:spacing w:after="0" w:line="125" w:lineRule="exact"/>
              <w:rPr>
                <w:sz w:val="20"/>
                <w:szCs w:val="20"/>
                <w:color w:val="auto"/>
              </w:rPr>
            </w:pPr>
            <w:r>
              <w:rPr>
                <w:rFonts w:ascii="Times New Roman" w:cs="Times New Roman" w:eastAsia="Times New Roman" w:hAnsi="Times New Roman"/>
                <w:sz w:val="11"/>
                <w:szCs w:val="11"/>
                <w:color w:val="FFFFFF"/>
                <w:w w:val="96"/>
              </w:rPr>
              <w:t>Segment Adjusted</w:t>
            </w:r>
          </w:p>
        </w:tc>
        <w:tc>
          <w:tcPr>
            <w:tcW w:w="1280" w:type="dxa"/>
            <w:vAlign w:val="bottom"/>
            <w:tcBorders>
              <w:right w:val="single" w:sz="8" w:color="auto"/>
            </w:tcBorders>
            <w:shd w:val="clear" w:color="auto" w:fill="0070C0"/>
          </w:tcPr>
          <w:p>
            <w:pPr>
              <w:jc w:val="center"/>
              <w:ind w:right="26"/>
              <w:spacing w:after="0" w:line="125" w:lineRule="exact"/>
              <w:rPr>
                <w:sz w:val="20"/>
                <w:szCs w:val="20"/>
                <w:color w:val="auto"/>
              </w:rPr>
            </w:pPr>
            <w:r>
              <w:rPr>
                <w:rFonts w:ascii="Times New Roman" w:cs="Times New Roman" w:eastAsia="Times New Roman" w:hAnsi="Times New Roman"/>
                <w:sz w:val="11"/>
                <w:szCs w:val="11"/>
                <w:color w:val="FFFFFF"/>
                <w:w w:val="98"/>
              </w:rPr>
              <w:t>Debt balance as of</w:t>
            </w:r>
          </w:p>
        </w:tc>
        <w:tc>
          <w:tcPr>
            <w:tcW w:w="1160" w:type="dxa"/>
            <w:vAlign w:val="bottom"/>
            <w:tcBorders>
              <w:right w:val="single" w:sz="8" w:color="auto"/>
            </w:tcBorders>
            <w:vMerge w:val="restart"/>
            <w:shd w:val="clear" w:color="auto" w:fill="0070C0"/>
          </w:tcPr>
          <w:p>
            <w:pPr>
              <w:ind w:left="180"/>
              <w:spacing w:after="0"/>
              <w:rPr>
                <w:sz w:val="20"/>
                <w:szCs w:val="20"/>
                <w:color w:val="auto"/>
              </w:rPr>
            </w:pPr>
            <w:r>
              <w:rPr>
                <w:rFonts w:ascii="Times New Roman" w:cs="Times New Roman" w:eastAsia="Times New Roman" w:hAnsi="Times New Roman"/>
                <w:sz w:val="11"/>
                <w:szCs w:val="11"/>
                <w:color w:val="FFFFFF"/>
              </w:rPr>
              <w:t>Ownership %**</w:t>
            </w:r>
          </w:p>
        </w:tc>
        <w:tc>
          <w:tcPr>
            <w:tcW w:w="0" w:type="dxa"/>
            <w:vAlign w:val="bottom"/>
          </w:tcPr>
          <w:p>
            <w:pPr>
              <w:spacing w:after="0"/>
              <w:rPr>
                <w:sz w:val="1"/>
                <w:szCs w:val="1"/>
                <w:color w:val="auto"/>
              </w:rPr>
            </w:pPr>
          </w:p>
        </w:tc>
      </w:tr>
      <w:tr>
        <w:trPr>
          <w:trHeight w:val="68"/>
        </w:trPr>
        <w:tc>
          <w:tcPr>
            <w:tcW w:w="1560" w:type="dxa"/>
            <w:vAlign w:val="bottom"/>
            <w:tcBorders>
              <w:left w:val="single" w:sz="8" w:color="auto"/>
              <w:right w:val="single" w:sz="8" w:color="auto"/>
            </w:tcBorders>
            <w:vMerge w:val="continue"/>
            <w:shd w:val="clear" w:color="auto" w:fill="0070C0"/>
          </w:tcPr>
          <w:p>
            <w:pPr>
              <w:spacing w:after="0"/>
              <w:rPr>
                <w:sz w:val="5"/>
                <w:szCs w:val="5"/>
                <w:color w:val="auto"/>
              </w:rPr>
            </w:pPr>
          </w:p>
        </w:tc>
        <w:tc>
          <w:tcPr>
            <w:tcW w:w="920" w:type="dxa"/>
            <w:vAlign w:val="bottom"/>
            <w:tcBorders>
              <w:right w:val="single" w:sz="8" w:color="auto"/>
            </w:tcBorders>
            <w:vMerge w:val="continue"/>
            <w:shd w:val="clear" w:color="auto" w:fill="0070C0"/>
          </w:tcPr>
          <w:p>
            <w:pPr>
              <w:spacing w:after="0"/>
              <w:rPr>
                <w:sz w:val="5"/>
                <w:szCs w:val="5"/>
                <w:color w:val="auto"/>
              </w:rPr>
            </w:pPr>
          </w:p>
        </w:tc>
        <w:tc>
          <w:tcPr>
            <w:tcW w:w="78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1"/>
                <w:szCs w:val="11"/>
                <w:color w:val="FFFFFF"/>
                <w:w w:val="97"/>
              </w:rPr>
              <w:t>Capacity (MW)</w:t>
            </w:r>
          </w:p>
        </w:tc>
        <w:tc>
          <w:tcPr>
            <w:tcW w:w="86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1"/>
                <w:szCs w:val="11"/>
                <w:color w:val="FFFFFF"/>
                <w:w w:val="96"/>
              </w:rPr>
              <w:t>(MWh)</w:t>
            </w:r>
          </w:p>
        </w:tc>
        <w:tc>
          <w:tcPr>
            <w:tcW w:w="120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1"/>
                <w:szCs w:val="11"/>
                <w:color w:val="FFFFFF"/>
                <w:w w:val="98"/>
              </w:rPr>
              <w:t>income</w:t>
            </w:r>
          </w:p>
        </w:tc>
        <w:tc>
          <w:tcPr>
            <w:tcW w:w="1120" w:type="dxa"/>
            <w:vAlign w:val="bottom"/>
            <w:tcBorders>
              <w:right w:val="single" w:sz="8" w:color="auto"/>
            </w:tcBorders>
            <w:vMerge w:val="restart"/>
            <w:shd w:val="clear" w:color="auto" w:fill="0070C0"/>
          </w:tcPr>
          <w:p>
            <w:pPr>
              <w:jc w:val="right"/>
              <w:ind w:right="286"/>
              <w:spacing w:after="0"/>
              <w:rPr>
                <w:sz w:val="20"/>
                <w:szCs w:val="20"/>
                <w:color w:val="auto"/>
              </w:rPr>
            </w:pPr>
            <w:r>
              <w:rPr>
                <w:rFonts w:ascii="Times New Roman" w:cs="Times New Roman" w:eastAsia="Times New Roman" w:hAnsi="Times New Roman"/>
                <w:sz w:val="11"/>
                <w:szCs w:val="11"/>
                <w:color w:val="FFFFFF"/>
              </w:rPr>
              <w:t>EBITDA*</w:t>
            </w:r>
          </w:p>
        </w:tc>
        <w:tc>
          <w:tcPr>
            <w:tcW w:w="1280" w:type="dxa"/>
            <w:vAlign w:val="bottom"/>
            <w:tcBorders>
              <w:right w:val="single" w:sz="8" w:color="auto"/>
            </w:tcBorders>
            <w:vMerge w:val="continue"/>
            <w:shd w:val="clear" w:color="auto" w:fill="0070C0"/>
          </w:tcPr>
          <w:p>
            <w:pPr>
              <w:spacing w:after="0"/>
              <w:rPr>
                <w:sz w:val="5"/>
                <w:szCs w:val="5"/>
                <w:color w:val="auto"/>
              </w:rPr>
            </w:pPr>
          </w:p>
        </w:tc>
        <w:tc>
          <w:tcPr>
            <w:tcW w:w="116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1"/>
                <w:szCs w:val="11"/>
                <w:color w:val="FFFFFF"/>
              </w:rPr>
              <w:t>EBITDA*</w:t>
            </w:r>
          </w:p>
        </w:tc>
        <w:tc>
          <w:tcPr>
            <w:tcW w:w="1280" w:type="dxa"/>
            <w:vAlign w:val="bottom"/>
            <w:tcBorders>
              <w:right w:val="single" w:sz="8" w:color="auto"/>
            </w:tcBorders>
            <w:vMerge w:val="restart"/>
            <w:shd w:val="clear" w:color="auto" w:fill="0070C0"/>
          </w:tcPr>
          <w:p>
            <w:pPr>
              <w:jc w:val="center"/>
              <w:ind w:right="6"/>
              <w:spacing w:after="0"/>
              <w:rPr>
                <w:sz w:val="20"/>
                <w:szCs w:val="20"/>
                <w:color w:val="auto"/>
              </w:rPr>
            </w:pPr>
            <w:r>
              <w:rPr>
                <w:rFonts w:ascii="Times New Roman" w:cs="Times New Roman" w:eastAsia="Times New Roman" w:hAnsi="Times New Roman"/>
                <w:sz w:val="11"/>
                <w:szCs w:val="11"/>
                <w:color w:val="FFFFFF"/>
                <w:w w:val="97"/>
              </w:rPr>
              <w:t>September 30, 2025</w:t>
            </w:r>
          </w:p>
        </w:tc>
        <w:tc>
          <w:tcPr>
            <w:tcW w:w="1160" w:type="dxa"/>
            <w:vAlign w:val="bottom"/>
            <w:tcBorders>
              <w:right w:val="single" w:sz="8" w:color="auto"/>
            </w:tcBorders>
            <w:vMerge w:val="continue"/>
            <w:shd w:val="clear" w:color="auto" w:fill="0070C0"/>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560" w:type="dxa"/>
            <w:vAlign w:val="bottom"/>
            <w:tcBorders>
              <w:left w:val="single" w:sz="8" w:color="auto"/>
              <w:bottom w:val="single" w:sz="8" w:color="auto"/>
              <w:right w:val="single" w:sz="8" w:color="auto"/>
            </w:tcBorders>
            <w:shd w:val="clear" w:color="auto" w:fill="0070C0"/>
          </w:tcPr>
          <w:p>
            <w:pPr>
              <w:spacing w:after="0"/>
              <w:rPr>
                <w:sz w:val="6"/>
                <w:szCs w:val="6"/>
                <w:color w:val="auto"/>
              </w:rPr>
            </w:pPr>
          </w:p>
        </w:tc>
        <w:tc>
          <w:tcPr>
            <w:tcW w:w="920" w:type="dxa"/>
            <w:vAlign w:val="bottom"/>
            <w:tcBorders>
              <w:bottom w:val="single" w:sz="8" w:color="auto"/>
              <w:right w:val="single" w:sz="8" w:color="auto"/>
            </w:tcBorders>
            <w:shd w:val="clear" w:color="auto" w:fill="0070C0"/>
          </w:tcPr>
          <w:p>
            <w:pPr>
              <w:spacing w:after="0"/>
              <w:rPr>
                <w:sz w:val="6"/>
                <w:szCs w:val="6"/>
                <w:color w:val="auto"/>
              </w:rPr>
            </w:pPr>
          </w:p>
        </w:tc>
        <w:tc>
          <w:tcPr>
            <w:tcW w:w="780" w:type="dxa"/>
            <w:vAlign w:val="bottom"/>
            <w:tcBorders>
              <w:bottom w:val="single" w:sz="8" w:color="auto"/>
              <w:right w:val="single" w:sz="8" w:color="auto"/>
            </w:tcBorders>
            <w:vMerge w:val="continue"/>
            <w:shd w:val="clear" w:color="auto" w:fill="0070C0"/>
          </w:tcPr>
          <w:p>
            <w:pPr>
              <w:spacing w:after="0"/>
              <w:rPr>
                <w:sz w:val="6"/>
                <w:szCs w:val="6"/>
                <w:color w:val="auto"/>
              </w:rPr>
            </w:pPr>
          </w:p>
        </w:tc>
        <w:tc>
          <w:tcPr>
            <w:tcW w:w="860" w:type="dxa"/>
            <w:vAlign w:val="bottom"/>
            <w:tcBorders>
              <w:bottom w:val="single" w:sz="8" w:color="auto"/>
              <w:right w:val="single" w:sz="8" w:color="auto"/>
            </w:tcBorders>
            <w:vMerge w:val="continue"/>
            <w:shd w:val="clear" w:color="auto" w:fill="0070C0"/>
          </w:tcPr>
          <w:p>
            <w:pPr>
              <w:spacing w:after="0"/>
              <w:rPr>
                <w:sz w:val="6"/>
                <w:szCs w:val="6"/>
                <w:color w:val="auto"/>
              </w:rPr>
            </w:pPr>
          </w:p>
        </w:tc>
        <w:tc>
          <w:tcPr>
            <w:tcW w:w="1200" w:type="dxa"/>
            <w:vAlign w:val="bottom"/>
            <w:tcBorders>
              <w:bottom w:val="single" w:sz="8" w:color="auto"/>
              <w:right w:val="single" w:sz="8" w:color="auto"/>
            </w:tcBorders>
            <w:vMerge w:val="continue"/>
            <w:shd w:val="clear" w:color="auto" w:fill="0070C0"/>
          </w:tcPr>
          <w:p>
            <w:pPr>
              <w:spacing w:after="0"/>
              <w:rPr>
                <w:sz w:val="6"/>
                <w:szCs w:val="6"/>
                <w:color w:val="auto"/>
              </w:rPr>
            </w:pPr>
          </w:p>
        </w:tc>
        <w:tc>
          <w:tcPr>
            <w:tcW w:w="1120" w:type="dxa"/>
            <w:vAlign w:val="bottom"/>
            <w:tcBorders>
              <w:bottom w:val="single" w:sz="8" w:color="auto"/>
              <w:right w:val="single" w:sz="8" w:color="auto"/>
            </w:tcBorders>
            <w:vMerge w:val="continue"/>
            <w:shd w:val="clear" w:color="auto" w:fill="0070C0"/>
          </w:tcPr>
          <w:p>
            <w:pPr>
              <w:spacing w:after="0"/>
              <w:rPr>
                <w:sz w:val="6"/>
                <w:szCs w:val="6"/>
                <w:color w:val="auto"/>
              </w:rPr>
            </w:pPr>
          </w:p>
        </w:tc>
        <w:tc>
          <w:tcPr>
            <w:tcW w:w="1280" w:type="dxa"/>
            <w:vAlign w:val="bottom"/>
            <w:tcBorders>
              <w:bottom w:val="single" w:sz="8" w:color="auto"/>
              <w:right w:val="single" w:sz="8" w:color="auto"/>
            </w:tcBorders>
            <w:shd w:val="clear" w:color="auto" w:fill="0070C0"/>
          </w:tcPr>
          <w:p>
            <w:pPr>
              <w:spacing w:after="0"/>
              <w:rPr>
                <w:sz w:val="6"/>
                <w:szCs w:val="6"/>
                <w:color w:val="auto"/>
              </w:rPr>
            </w:pPr>
          </w:p>
        </w:tc>
        <w:tc>
          <w:tcPr>
            <w:tcW w:w="1160" w:type="dxa"/>
            <w:vAlign w:val="bottom"/>
            <w:tcBorders>
              <w:bottom w:val="single" w:sz="8" w:color="auto"/>
              <w:right w:val="single" w:sz="8" w:color="auto"/>
            </w:tcBorders>
            <w:vMerge w:val="continue"/>
            <w:shd w:val="clear" w:color="auto" w:fill="0070C0"/>
          </w:tcPr>
          <w:p>
            <w:pPr>
              <w:spacing w:after="0"/>
              <w:rPr>
                <w:sz w:val="6"/>
                <w:szCs w:val="6"/>
                <w:color w:val="auto"/>
              </w:rPr>
            </w:pPr>
          </w:p>
        </w:tc>
        <w:tc>
          <w:tcPr>
            <w:tcW w:w="1280" w:type="dxa"/>
            <w:vAlign w:val="bottom"/>
            <w:tcBorders>
              <w:bottom w:val="single" w:sz="8" w:color="auto"/>
              <w:right w:val="single" w:sz="8" w:color="auto"/>
            </w:tcBorders>
            <w:vMerge w:val="continue"/>
            <w:shd w:val="clear" w:color="auto" w:fill="0070C0"/>
          </w:tcPr>
          <w:p>
            <w:pPr>
              <w:spacing w:after="0"/>
              <w:rPr>
                <w:sz w:val="6"/>
                <w:szCs w:val="6"/>
                <w:color w:val="auto"/>
              </w:rPr>
            </w:pPr>
          </w:p>
        </w:tc>
        <w:tc>
          <w:tcPr>
            <w:tcW w:w="1160" w:type="dxa"/>
            <w:vAlign w:val="bottom"/>
            <w:tcBorders>
              <w:bottom w:val="single" w:sz="8" w:color="auto"/>
              <w:right w:val="single" w:sz="8" w:color="auto"/>
            </w:tcBorders>
            <w:shd w:val="clear" w:color="auto" w:fill="0070C0"/>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5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MENA Wind</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MENA</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316</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72,682</w:t>
            </w:r>
          </w:p>
        </w:tc>
        <w:tc>
          <w:tcPr>
            <w:tcW w:w="112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30,716</w:t>
            </w:r>
          </w:p>
        </w:tc>
        <w:tc>
          <w:tcPr>
            <w:tcW w:w="116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4"/>
              </w:rPr>
              <w:t>507,082</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49%</w:t>
            </w:r>
          </w:p>
        </w:tc>
        <w:tc>
          <w:tcPr>
            <w:tcW w:w="0" w:type="dxa"/>
            <w:vAlign w:val="bottom"/>
          </w:tcPr>
          <w:p>
            <w:pPr>
              <w:spacing w:after="0"/>
              <w:rPr>
                <w:sz w:val="1"/>
                <w:szCs w:val="1"/>
                <w:color w:val="auto"/>
              </w:rPr>
            </w:pPr>
          </w:p>
        </w:tc>
      </w:tr>
      <w:tr>
        <w:trPr>
          <w:trHeight w:val="133"/>
        </w:trPr>
        <w:tc>
          <w:tcPr>
            <w:tcW w:w="15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MENA PV</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MENA</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359</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819</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100,498</w:t>
            </w:r>
          </w:p>
        </w:tc>
        <w:tc>
          <w:tcPr>
            <w:tcW w:w="112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46,828</w:t>
            </w:r>
          </w:p>
        </w:tc>
        <w:tc>
          <w:tcPr>
            <w:tcW w:w="116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4"/>
              </w:rPr>
              <w:t>555,038</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85%</w:t>
            </w:r>
          </w:p>
        </w:tc>
        <w:tc>
          <w:tcPr>
            <w:tcW w:w="0" w:type="dxa"/>
            <w:vAlign w:val="bottom"/>
          </w:tcPr>
          <w:p>
            <w:pPr>
              <w:spacing w:after="0"/>
              <w:rPr>
                <w:sz w:val="1"/>
                <w:szCs w:val="1"/>
                <w:color w:val="auto"/>
              </w:rPr>
            </w:pPr>
          </w:p>
        </w:tc>
      </w:tr>
      <w:tr>
        <w:trPr>
          <w:trHeight w:val="141"/>
        </w:trPr>
        <w:tc>
          <w:tcPr>
            <w:tcW w:w="1560" w:type="dxa"/>
            <w:vAlign w:val="bottom"/>
            <w:tcBorders>
              <w:left w:val="single" w:sz="8" w:color="auto"/>
              <w:bottom w:val="single" w:sz="8" w:color="auto"/>
              <w:right w:val="single" w:sz="8" w:color="auto"/>
            </w:tcBorders>
            <w:shd w:val="clear" w:color="auto" w:fill="92BAEA"/>
          </w:tcPr>
          <w:p>
            <w:pPr>
              <w:ind w:left="20"/>
              <w:spacing w:after="0"/>
              <w:rPr>
                <w:sz w:val="20"/>
                <w:szCs w:val="20"/>
                <w:color w:val="auto"/>
              </w:rPr>
            </w:pPr>
            <w:r>
              <w:rPr>
                <w:rFonts w:ascii="Times New Roman" w:cs="Times New Roman" w:eastAsia="Times New Roman" w:hAnsi="Times New Roman"/>
                <w:sz w:val="11"/>
                <w:szCs w:val="11"/>
                <w:b w:val="1"/>
                <w:bCs w:val="1"/>
                <w:color w:val="auto"/>
              </w:rPr>
              <w:t>Total MENA</w:t>
            </w:r>
          </w:p>
        </w:tc>
        <w:tc>
          <w:tcPr>
            <w:tcW w:w="920" w:type="dxa"/>
            <w:vAlign w:val="bottom"/>
            <w:tcBorders>
              <w:bottom w:val="single" w:sz="8" w:color="auto"/>
              <w:right w:val="single" w:sz="8" w:color="auto"/>
            </w:tcBorders>
            <w:shd w:val="clear" w:color="auto" w:fill="92BAEA"/>
          </w:tcPr>
          <w:p>
            <w:pPr>
              <w:spacing w:after="0"/>
              <w:rPr>
                <w:sz w:val="12"/>
                <w:szCs w:val="12"/>
                <w:color w:val="auto"/>
              </w:rPr>
            </w:pPr>
          </w:p>
        </w:tc>
        <w:tc>
          <w:tcPr>
            <w:tcW w:w="78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675</w:t>
            </w:r>
          </w:p>
        </w:tc>
        <w:tc>
          <w:tcPr>
            <w:tcW w:w="86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819</w:t>
            </w:r>
          </w:p>
        </w:tc>
        <w:tc>
          <w:tcPr>
            <w:tcW w:w="120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173,180</w:t>
            </w:r>
          </w:p>
        </w:tc>
        <w:tc>
          <w:tcPr>
            <w:tcW w:w="112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115,514</w:t>
            </w:r>
          </w:p>
        </w:tc>
        <w:tc>
          <w:tcPr>
            <w:tcW w:w="128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77,544</w:t>
            </w:r>
          </w:p>
        </w:tc>
        <w:tc>
          <w:tcPr>
            <w:tcW w:w="116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51,127</w:t>
            </w:r>
          </w:p>
        </w:tc>
        <w:tc>
          <w:tcPr>
            <w:tcW w:w="1280" w:type="dxa"/>
            <w:vAlign w:val="bottom"/>
            <w:tcBorders>
              <w:bottom w:val="single" w:sz="8" w:color="auto"/>
              <w:right w:val="single" w:sz="8" w:color="auto"/>
            </w:tcBorders>
            <w:shd w:val="clear" w:color="auto" w:fill="92BAEA"/>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5"/>
              </w:rPr>
              <w:t>1,062,120</w:t>
            </w:r>
          </w:p>
        </w:tc>
        <w:tc>
          <w:tcPr>
            <w:tcW w:w="1160" w:type="dxa"/>
            <w:vAlign w:val="bottom"/>
            <w:tcBorders>
              <w:bottom w:val="single" w:sz="8" w:color="auto"/>
              <w:right w:val="single" w:sz="8" w:color="auto"/>
            </w:tcBorders>
            <w:shd w:val="clear" w:color="auto" w:fill="92BAEA"/>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5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Europe Wind</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Europe</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1,184</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131,369</w:t>
            </w:r>
          </w:p>
        </w:tc>
        <w:tc>
          <w:tcPr>
            <w:tcW w:w="112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39,697</w:t>
            </w:r>
          </w:p>
        </w:tc>
        <w:tc>
          <w:tcPr>
            <w:tcW w:w="116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4"/>
              </w:rPr>
              <w:t>888,306</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65%</w:t>
            </w:r>
          </w:p>
        </w:tc>
        <w:tc>
          <w:tcPr>
            <w:tcW w:w="0" w:type="dxa"/>
            <w:vAlign w:val="bottom"/>
          </w:tcPr>
          <w:p>
            <w:pPr>
              <w:spacing w:after="0"/>
              <w:rPr>
                <w:sz w:val="1"/>
                <w:szCs w:val="1"/>
                <w:color w:val="auto"/>
              </w:rPr>
            </w:pPr>
          </w:p>
        </w:tc>
      </w:tr>
      <w:tr>
        <w:trPr>
          <w:trHeight w:val="133"/>
        </w:trPr>
        <w:tc>
          <w:tcPr>
            <w:tcW w:w="15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Europe PV</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Europe</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143</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13,133</w:t>
            </w:r>
          </w:p>
        </w:tc>
        <w:tc>
          <w:tcPr>
            <w:tcW w:w="112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5,621</w:t>
            </w:r>
          </w:p>
        </w:tc>
        <w:tc>
          <w:tcPr>
            <w:tcW w:w="116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9"/>
              </w:rPr>
              <w:t>73,959</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71%</w:t>
            </w:r>
          </w:p>
        </w:tc>
        <w:tc>
          <w:tcPr>
            <w:tcW w:w="0" w:type="dxa"/>
            <w:vAlign w:val="bottom"/>
          </w:tcPr>
          <w:p>
            <w:pPr>
              <w:spacing w:after="0"/>
              <w:rPr>
                <w:sz w:val="1"/>
                <w:szCs w:val="1"/>
                <w:color w:val="auto"/>
              </w:rPr>
            </w:pPr>
          </w:p>
        </w:tc>
      </w:tr>
      <w:tr>
        <w:trPr>
          <w:trHeight w:val="133"/>
        </w:trPr>
        <w:tc>
          <w:tcPr>
            <w:tcW w:w="1560" w:type="dxa"/>
            <w:vAlign w:val="bottom"/>
            <w:tcBorders>
              <w:left w:val="single" w:sz="8" w:color="auto"/>
              <w:bottom w:val="single" w:sz="8" w:color="auto"/>
              <w:right w:val="single" w:sz="8" w:color="auto"/>
            </w:tcBorders>
            <w:shd w:val="clear" w:color="auto" w:fill="92BAEA"/>
          </w:tcPr>
          <w:p>
            <w:pPr>
              <w:ind w:left="20"/>
              <w:spacing w:after="0"/>
              <w:rPr>
                <w:sz w:val="20"/>
                <w:szCs w:val="20"/>
                <w:color w:val="auto"/>
              </w:rPr>
            </w:pPr>
            <w:r>
              <w:rPr>
                <w:rFonts w:ascii="Times New Roman" w:cs="Times New Roman" w:eastAsia="Times New Roman" w:hAnsi="Times New Roman"/>
                <w:sz w:val="11"/>
                <w:szCs w:val="11"/>
                <w:b w:val="1"/>
                <w:bCs w:val="1"/>
                <w:color w:val="auto"/>
              </w:rPr>
              <w:t>Total Europe</w:t>
            </w:r>
          </w:p>
        </w:tc>
        <w:tc>
          <w:tcPr>
            <w:tcW w:w="920" w:type="dxa"/>
            <w:vAlign w:val="bottom"/>
            <w:tcBorders>
              <w:bottom w:val="single" w:sz="8" w:color="auto"/>
              <w:right w:val="single" w:sz="8" w:color="auto"/>
            </w:tcBorders>
            <w:shd w:val="clear" w:color="auto" w:fill="92BAEA"/>
          </w:tcPr>
          <w:p>
            <w:pPr>
              <w:spacing w:after="0"/>
              <w:rPr>
                <w:sz w:val="11"/>
                <w:szCs w:val="11"/>
                <w:color w:val="auto"/>
              </w:rPr>
            </w:pPr>
          </w:p>
        </w:tc>
        <w:tc>
          <w:tcPr>
            <w:tcW w:w="78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1,327</w:t>
            </w:r>
          </w:p>
        </w:tc>
        <w:tc>
          <w:tcPr>
            <w:tcW w:w="86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20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144,502</w:t>
            </w:r>
          </w:p>
        </w:tc>
        <w:tc>
          <w:tcPr>
            <w:tcW w:w="112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117,428</w:t>
            </w:r>
          </w:p>
        </w:tc>
        <w:tc>
          <w:tcPr>
            <w:tcW w:w="128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45,318</w:t>
            </w:r>
          </w:p>
        </w:tc>
        <w:tc>
          <w:tcPr>
            <w:tcW w:w="116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35,202</w:t>
            </w:r>
          </w:p>
        </w:tc>
        <w:tc>
          <w:tcPr>
            <w:tcW w:w="1280" w:type="dxa"/>
            <w:vAlign w:val="bottom"/>
            <w:tcBorders>
              <w:bottom w:val="single" w:sz="8" w:color="auto"/>
              <w:right w:val="single" w:sz="8" w:color="auto"/>
            </w:tcBorders>
            <w:shd w:val="clear" w:color="auto" w:fill="92BAEA"/>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4"/>
              </w:rPr>
              <w:t>962,265</w:t>
            </w:r>
          </w:p>
        </w:tc>
        <w:tc>
          <w:tcPr>
            <w:tcW w:w="1160" w:type="dxa"/>
            <w:vAlign w:val="bottom"/>
            <w:tcBorders>
              <w:bottom w:val="single" w:sz="8" w:color="auto"/>
              <w:right w:val="single" w:sz="8" w:color="auto"/>
            </w:tcBorders>
            <w:shd w:val="clear" w:color="auto" w:fill="92BAEA"/>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5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USA PV</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USA</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470</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1,200</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110,948</w:t>
            </w:r>
          </w:p>
        </w:tc>
        <w:tc>
          <w:tcPr>
            <w:tcW w:w="112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41,968</w:t>
            </w:r>
          </w:p>
        </w:tc>
        <w:tc>
          <w:tcPr>
            <w:tcW w:w="11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4"/>
              </w:rPr>
              <w:t>261,205</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r>
        <w:trPr>
          <w:trHeight w:val="40"/>
        </w:trPr>
        <w:tc>
          <w:tcPr>
            <w:tcW w:w="156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1"/>
        </w:trPr>
        <w:tc>
          <w:tcPr>
            <w:tcW w:w="1560" w:type="dxa"/>
            <w:vAlign w:val="bottom"/>
            <w:tcBorders>
              <w:left w:val="single" w:sz="8" w:color="auto"/>
              <w:bottom w:val="single" w:sz="8" w:color="auto"/>
              <w:right w:val="single" w:sz="8" w:color="92BAEA"/>
            </w:tcBorders>
            <w:shd w:val="clear" w:color="auto" w:fill="92BAEA"/>
          </w:tcPr>
          <w:p>
            <w:pPr>
              <w:ind w:left="20"/>
              <w:spacing w:after="0"/>
              <w:rPr>
                <w:sz w:val="20"/>
                <w:szCs w:val="20"/>
                <w:color w:val="auto"/>
              </w:rPr>
            </w:pPr>
            <w:r>
              <w:rPr>
                <w:rFonts w:ascii="Times New Roman" w:cs="Times New Roman" w:eastAsia="Times New Roman" w:hAnsi="Times New Roman"/>
                <w:sz w:val="11"/>
                <w:szCs w:val="11"/>
                <w:b w:val="1"/>
                <w:bCs w:val="1"/>
                <w:color w:val="auto"/>
              </w:rPr>
              <w:t>Total USA</w:t>
            </w:r>
          </w:p>
        </w:tc>
        <w:tc>
          <w:tcPr>
            <w:tcW w:w="920" w:type="dxa"/>
            <w:vAlign w:val="bottom"/>
            <w:tcBorders>
              <w:bottom w:val="single" w:sz="8" w:color="auto"/>
              <w:right w:val="single" w:sz="8" w:color="auto"/>
            </w:tcBorders>
            <w:shd w:val="clear" w:color="auto" w:fill="92BAEA"/>
          </w:tcPr>
          <w:p>
            <w:pPr>
              <w:spacing w:after="0"/>
              <w:rPr>
                <w:sz w:val="12"/>
                <w:szCs w:val="12"/>
                <w:color w:val="auto"/>
              </w:rPr>
            </w:pPr>
          </w:p>
        </w:tc>
        <w:tc>
          <w:tcPr>
            <w:tcW w:w="78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470</w:t>
            </w:r>
          </w:p>
        </w:tc>
        <w:tc>
          <w:tcPr>
            <w:tcW w:w="86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1,200</w:t>
            </w:r>
          </w:p>
        </w:tc>
        <w:tc>
          <w:tcPr>
            <w:tcW w:w="120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110,948</w:t>
            </w:r>
          </w:p>
        </w:tc>
        <w:tc>
          <w:tcPr>
            <w:tcW w:w="112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98,171</w:t>
            </w:r>
          </w:p>
        </w:tc>
        <w:tc>
          <w:tcPr>
            <w:tcW w:w="128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41,968</w:t>
            </w:r>
          </w:p>
        </w:tc>
        <w:tc>
          <w:tcPr>
            <w:tcW w:w="116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38,258</w:t>
            </w:r>
          </w:p>
        </w:tc>
        <w:tc>
          <w:tcPr>
            <w:tcW w:w="1280" w:type="dxa"/>
            <w:vAlign w:val="bottom"/>
            <w:tcBorders>
              <w:bottom w:val="single" w:sz="8" w:color="auto"/>
              <w:right w:val="single" w:sz="8" w:color="auto"/>
            </w:tcBorders>
            <w:shd w:val="clear" w:color="auto" w:fill="92BAEA"/>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4"/>
              </w:rPr>
              <w:t>261,205</w:t>
            </w:r>
          </w:p>
        </w:tc>
        <w:tc>
          <w:tcPr>
            <w:tcW w:w="1160" w:type="dxa"/>
            <w:vAlign w:val="bottom"/>
            <w:tcBorders>
              <w:bottom w:val="single" w:sz="8" w:color="auto"/>
              <w:right w:val="single" w:sz="8" w:color="auto"/>
            </w:tcBorders>
            <w:shd w:val="clear" w:color="auto" w:fill="92BAEA"/>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tcBorders>
              <w:left w:val="single" w:sz="8" w:color="auto"/>
              <w:bottom w:val="single" w:sz="8" w:color="auto"/>
              <w:right w:val="single" w:sz="8" w:color="92BAEA"/>
            </w:tcBorders>
            <w:shd w:val="clear" w:color="auto" w:fill="92BAEA"/>
          </w:tcPr>
          <w:p>
            <w:pPr>
              <w:ind w:left="20"/>
              <w:spacing w:after="0"/>
              <w:rPr>
                <w:sz w:val="20"/>
                <w:szCs w:val="20"/>
                <w:color w:val="auto"/>
              </w:rPr>
            </w:pPr>
            <w:r>
              <w:rPr>
                <w:rFonts w:ascii="Times New Roman" w:cs="Times New Roman" w:eastAsia="Times New Roman" w:hAnsi="Times New Roman"/>
                <w:sz w:val="11"/>
                <w:szCs w:val="11"/>
                <w:b w:val="1"/>
                <w:bCs w:val="1"/>
                <w:color w:val="auto"/>
              </w:rPr>
              <w:t>Total Consolidated Projects</w:t>
            </w:r>
          </w:p>
        </w:tc>
        <w:tc>
          <w:tcPr>
            <w:tcW w:w="920" w:type="dxa"/>
            <w:vAlign w:val="bottom"/>
            <w:tcBorders>
              <w:bottom w:val="single" w:sz="8" w:color="auto"/>
              <w:right w:val="single" w:sz="8" w:color="auto"/>
            </w:tcBorders>
            <w:shd w:val="clear" w:color="auto" w:fill="92BAEA"/>
          </w:tcPr>
          <w:p>
            <w:pPr>
              <w:spacing w:after="0"/>
              <w:rPr>
                <w:sz w:val="12"/>
                <w:szCs w:val="12"/>
                <w:color w:val="auto"/>
              </w:rPr>
            </w:pPr>
          </w:p>
        </w:tc>
        <w:tc>
          <w:tcPr>
            <w:tcW w:w="78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2,472</w:t>
            </w:r>
          </w:p>
        </w:tc>
        <w:tc>
          <w:tcPr>
            <w:tcW w:w="86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2,019</w:t>
            </w:r>
          </w:p>
        </w:tc>
        <w:tc>
          <w:tcPr>
            <w:tcW w:w="120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428,630</w:t>
            </w:r>
          </w:p>
        </w:tc>
        <w:tc>
          <w:tcPr>
            <w:tcW w:w="112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331,113</w:t>
            </w:r>
          </w:p>
        </w:tc>
        <w:tc>
          <w:tcPr>
            <w:tcW w:w="128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rPr>
              <w:t>164,830</w:t>
            </w:r>
          </w:p>
        </w:tc>
        <w:tc>
          <w:tcPr>
            <w:tcW w:w="116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124,587</w:t>
            </w:r>
          </w:p>
        </w:tc>
        <w:tc>
          <w:tcPr>
            <w:tcW w:w="1280" w:type="dxa"/>
            <w:vAlign w:val="bottom"/>
            <w:tcBorders>
              <w:bottom w:val="single" w:sz="8" w:color="auto"/>
              <w:right w:val="single" w:sz="8" w:color="auto"/>
            </w:tcBorders>
            <w:shd w:val="clear" w:color="auto" w:fill="92BAEA"/>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5"/>
              </w:rPr>
              <w:t>2,285,590</w:t>
            </w:r>
          </w:p>
        </w:tc>
        <w:tc>
          <w:tcPr>
            <w:tcW w:w="1160" w:type="dxa"/>
            <w:vAlign w:val="bottom"/>
            <w:tcBorders>
              <w:bottom w:val="single" w:sz="8" w:color="auto"/>
              <w:right w:val="single" w:sz="8" w:color="auto"/>
            </w:tcBorders>
            <w:shd w:val="clear" w:color="auto" w:fill="92BAEA"/>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5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Uncons. Projects at share</w:t>
            </w:r>
          </w:p>
        </w:tc>
        <w:tc>
          <w:tcPr>
            <w:tcW w:w="9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42</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41</w:t>
            </w:r>
          </w:p>
        </w:tc>
        <w:tc>
          <w:tcPr>
            <w:tcW w:w="120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50%</w:t>
            </w:r>
          </w:p>
        </w:tc>
        <w:tc>
          <w:tcPr>
            <w:tcW w:w="0" w:type="dxa"/>
            <w:vAlign w:val="bottom"/>
          </w:tcPr>
          <w:p>
            <w:pPr>
              <w:spacing w:after="0"/>
              <w:rPr>
                <w:sz w:val="1"/>
                <w:szCs w:val="1"/>
                <w:color w:val="auto"/>
              </w:rPr>
            </w:pPr>
          </w:p>
        </w:tc>
      </w:tr>
      <w:tr>
        <w:trPr>
          <w:trHeight w:val="64"/>
        </w:trPr>
        <w:tc>
          <w:tcPr>
            <w:tcW w:w="1560" w:type="dxa"/>
            <w:vAlign w:val="bottom"/>
            <w:tcBorders>
              <w:left w:val="single" w:sz="8" w:color="auto"/>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560" w:type="dxa"/>
            <w:vAlign w:val="bottom"/>
            <w:tcBorders>
              <w:top w:val="single" w:sz="8" w:color="92BAEA"/>
              <w:left w:val="single" w:sz="8" w:color="auto"/>
              <w:bottom w:val="single" w:sz="8" w:color="auto"/>
              <w:right w:val="single" w:sz="8" w:color="auto"/>
            </w:tcBorders>
            <w:shd w:val="clear" w:color="auto" w:fill="92BAEA"/>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920" w:type="dxa"/>
            <w:vAlign w:val="bottom"/>
            <w:tcBorders>
              <w:top w:val="single" w:sz="8" w:color="92BAEA"/>
              <w:bottom w:val="single" w:sz="8" w:color="auto"/>
              <w:right w:val="single" w:sz="8" w:color="auto"/>
            </w:tcBorders>
            <w:shd w:val="clear" w:color="auto" w:fill="92BAEA"/>
          </w:tcPr>
          <w:p>
            <w:pPr>
              <w:spacing w:after="0"/>
              <w:rPr>
                <w:sz w:val="10"/>
                <w:szCs w:val="10"/>
                <w:color w:val="auto"/>
              </w:rPr>
            </w:pPr>
          </w:p>
        </w:tc>
        <w:tc>
          <w:tcPr>
            <w:tcW w:w="780" w:type="dxa"/>
            <w:vAlign w:val="bottom"/>
            <w:tcBorders>
              <w:top w:val="single" w:sz="8" w:color="92BAEA"/>
              <w:bottom w:val="single" w:sz="8" w:color="auto"/>
              <w:right w:val="single" w:sz="8" w:color="auto"/>
            </w:tcBorders>
            <w:shd w:val="clear" w:color="auto" w:fill="92BAEA"/>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2,514</w:t>
            </w:r>
          </w:p>
        </w:tc>
        <w:tc>
          <w:tcPr>
            <w:tcW w:w="860" w:type="dxa"/>
            <w:vAlign w:val="bottom"/>
            <w:tcBorders>
              <w:top w:val="single" w:sz="8" w:color="92BAEA"/>
              <w:bottom w:val="single" w:sz="8" w:color="auto"/>
              <w:right w:val="single" w:sz="8" w:color="auto"/>
            </w:tcBorders>
            <w:shd w:val="clear" w:color="auto" w:fill="92BAEA"/>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2,060</w:t>
            </w:r>
          </w:p>
        </w:tc>
        <w:tc>
          <w:tcPr>
            <w:tcW w:w="1200" w:type="dxa"/>
            <w:vAlign w:val="bottom"/>
            <w:tcBorders>
              <w:top w:val="single" w:sz="8" w:color="92BAEA"/>
              <w:bottom w:val="single" w:sz="8" w:color="auto"/>
              <w:right w:val="single" w:sz="8" w:color="auto"/>
            </w:tcBorders>
            <w:shd w:val="clear" w:color="auto" w:fill="92BAEA"/>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4"/>
              </w:rPr>
              <w:t>428,630</w:t>
            </w:r>
          </w:p>
        </w:tc>
        <w:tc>
          <w:tcPr>
            <w:tcW w:w="1120" w:type="dxa"/>
            <w:vAlign w:val="bottom"/>
            <w:tcBorders>
              <w:top w:val="single" w:sz="8" w:color="92BAEA"/>
              <w:bottom w:val="single" w:sz="8" w:color="auto"/>
              <w:right w:val="single" w:sz="8" w:color="auto"/>
            </w:tcBorders>
            <w:shd w:val="clear" w:color="auto" w:fill="92BAEA"/>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4"/>
              </w:rPr>
              <w:t>331,113</w:t>
            </w:r>
          </w:p>
        </w:tc>
        <w:tc>
          <w:tcPr>
            <w:tcW w:w="1280" w:type="dxa"/>
            <w:vAlign w:val="bottom"/>
            <w:tcBorders>
              <w:top w:val="single" w:sz="8" w:color="92BAEA"/>
              <w:bottom w:val="single" w:sz="8" w:color="auto"/>
              <w:right w:val="single" w:sz="8" w:color="auto"/>
            </w:tcBorders>
            <w:shd w:val="clear" w:color="auto" w:fill="92BAEA"/>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164,830</w:t>
            </w:r>
          </w:p>
        </w:tc>
        <w:tc>
          <w:tcPr>
            <w:tcW w:w="1160" w:type="dxa"/>
            <w:vAlign w:val="bottom"/>
            <w:tcBorders>
              <w:top w:val="single" w:sz="8" w:color="92BAEA"/>
              <w:bottom w:val="single" w:sz="8" w:color="auto"/>
              <w:right w:val="single" w:sz="8" w:color="auto"/>
            </w:tcBorders>
            <w:shd w:val="clear" w:color="auto" w:fill="92BAEA"/>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4"/>
              </w:rPr>
              <w:t>124,587</w:t>
            </w:r>
          </w:p>
        </w:tc>
        <w:tc>
          <w:tcPr>
            <w:tcW w:w="1280" w:type="dxa"/>
            <w:vAlign w:val="bottom"/>
            <w:tcBorders>
              <w:top w:val="single" w:sz="8" w:color="92BAEA"/>
              <w:bottom w:val="single" w:sz="8" w:color="auto"/>
              <w:right w:val="single" w:sz="8" w:color="auto"/>
            </w:tcBorders>
            <w:shd w:val="clear" w:color="auto" w:fill="92BAEA"/>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5"/>
              </w:rPr>
              <w:t>2,285,590</w:t>
            </w:r>
          </w:p>
        </w:tc>
        <w:tc>
          <w:tcPr>
            <w:tcW w:w="1160" w:type="dxa"/>
            <w:vAlign w:val="bottom"/>
            <w:tcBorders>
              <w:top w:val="single" w:sz="8" w:color="auto"/>
              <w:bottom w:val="single" w:sz="8" w:color="auto"/>
              <w:right w:val="single" w:sz="8" w:color="auto"/>
            </w:tcBorders>
            <w:shd w:val="clear" w:color="auto" w:fill="92BAEA"/>
          </w:tcPr>
          <w:p>
            <w:pPr>
              <w:spacing w:after="0"/>
              <w:rPr>
                <w:sz w:val="10"/>
                <w:szCs w:val="10"/>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8" w:right="3040" w:hanging="8"/>
        <w:spacing w:after="0" w:line="545" w:lineRule="auto"/>
        <w:tabs>
          <w:tab w:leader="none" w:pos="98"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EBITDA results included $11m in the 9 months ended September 25 and $3m in the 3 months ended September 25, of compensation recognized from Björnberget project ** Ownership % is calculated based on the project's share of 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717804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27" w:name="page28"/>
    <w:bookmarkEnd w:id="27"/>
    <w:p>
      <w:pPr>
        <w:ind w:left="388" w:hanging="388"/>
        <w:spacing w:after="0"/>
        <w:tabs>
          <w:tab w:leader="none" w:pos="388" w:val="left"/>
        </w:tabs>
        <w:numPr>
          <w:ilvl w:val="0"/>
          <w:numId w:val="3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Projects under construction</w:t>
      </w:r>
    </w:p>
    <w:p>
      <w:pPr>
        <w:spacing w:after="0" w:line="200" w:lineRule="exact"/>
        <w:rPr>
          <w:sz w:val="20"/>
          <w:szCs w:val="20"/>
          <w:color w:val="auto"/>
        </w:rPr>
      </w:pPr>
    </w:p>
    <w:p>
      <w:pPr>
        <w:spacing w:after="0" w:line="260" w:lineRule="exact"/>
        <w:rPr>
          <w:sz w:val="20"/>
          <w:szCs w:val="20"/>
          <w:color w:val="auto"/>
        </w:rPr>
      </w:pPr>
    </w:p>
    <w:tbl>
      <w:tblPr>
        <w:tblLayout w:type="fixed"/>
        <w:tblInd w:w="18" w:type="dxa"/>
        <w:tblCellMar>
          <w:top w:w="0" w:type="dxa"/>
          <w:left w:w="0" w:type="dxa"/>
          <w:bottom w:w="0" w:type="dxa"/>
          <w:right w:w="0" w:type="dxa"/>
        </w:tblCellMar>
      </w:tblPr>
      <w:tr>
        <w:trPr>
          <w:trHeight w:val="148"/>
        </w:trPr>
        <w:tc>
          <w:tcPr>
            <w:tcW w:w="1100" w:type="dxa"/>
            <w:vAlign w:val="bottom"/>
            <w:tcBorders>
              <w:top w:val="single" w:sz="8" w:color="auto"/>
              <w:left w:val="single" w:sz="8" w:color="auto"/>
              <w:right w:val="single" w:sz="8" w:color="auto"/>
            </w:tcBorders>
            <w:vMerge w:val="restart"/>
            <w:shd w:val="clear" w:color="auto" w:fill="0070C0"/>
          </w:tcPr>
          <w:p>
            <w:pPr>
              <w:ind w:left="20"/>
              <w:spacing w:after="0"/>
              <w:rPr>
                <w:sz w:val="20"/>
                <w:szCs w:val="20"/>
                <w:color w:val="auto"/>
              </w:rPr>
            </w:pPr>
            <w:r>
              <w:rPr>
                <w:rFonts w:ascii="Times New Roman" w:cs="Times New Roman" w:eastAsia="Times New Roman" w:hAnsi="Times New Roman"/>
                <w:sz w:val="11"/>
                <w:szCs w:val="11"/>
                <w:b w:val="1"/>
                <w:bCs w:val="1"/>
                <w:color w:val="FFFFFF"/>
              </w:rPr>
              <w:t>($ millions)</w:t>
            </w:r>
          </w:p>
        </w:tc>
        <w:tc>
          <w:tcPr>
            <w:tcW w:w="80" w:type="dxa"/>
            <w:vAlign w:val="bottom"/>
            <w:tcBorders>
              <w:top w:val="single" w:sz="8" w:color="auto"/>
              <w:right w:val="single" w:sz="8" w:color="0070C0"/>
            </w:tcBorders>
            <w:shd w:val="clear" w:color="auto" w:fill="0070C0"/>
          </w:tcPr>
          <w:p>
            <w:pPr>
              <w:spacing w:after="0"/>
              <w:rPr>
                <w:sz w:val="12"/>
                <w:szCs w:val="12"/>
                <w:color w:val="auto"/>
              </w:rPr>
            </w:pPr>
          </w:p>
        </w:tc>
        <w:tc>
          <w:tcPr>
            <w:tcW w:w="680" w:type="dxa"/>
            <w:vAlign w:val="bottom"/>
            <w:tcBorders>
              <w:top w:val="single" w:sz="8" w:color="auto"/>
              <w:right w:val="single" w:sz="8" w:color="auto"/>
            </w:tcBorders>
            <w:shd w:val="clear" w:color="auto" w:fill="0070C0"/>
          </w:tcPr>
          <w:p>
            <w:pPr>
              <w:spacing w:after="0"/>
              <w:rPr>
                <w:sz w:val="12"/>
                <w:szCs w:val="12"/>
                <w:color w:val="auto"/>
              </w:rPr>
            </w:pPr>
          </w:p>
        </w:tc>
        <w:tc>
          <w:tcPr>
            <w:tcW w:w="780" w:type="dxa"/>
            <w:vAlign w:val="bottom"/>
            <w:tcBorders>
              <w:top w:val="single" w:sz="8" w:color="auto"/>
              <w:right w:val="single" w:sz="8" w:color="auto"/>
            </w:tcBorders>
            <w:gridSpan w:val="2"/>
            <w:shd w:val="clear" w:color="auto" w:fill="0070C0"/>
          </w:tcPr>
          <w:p>
            <w:pPr>
              <w:jc w:val="center"/>
              <w:spacing w:after="0"/>
              <w:rPr>
                <w:sz w:val="20"/>
                <w:szCs w:val="20"/>
                <w:color w:val="auto"/>
              </w:rPr>
            </w:pPr>
            <w:r>
              <w:rPr>
                <w:rFonts w:ascii="Times New Roman" w:cs="Times New Roman" w:eastAsia="Times New Roman" w:hAnsi="Times New Roman"/>
                <w:sz w:val="10"/>
                <w:szCs w:val="10"/>
                <w:color w:val="FFFFFF"/>
                <w:w w:val="97"/>
              </w:rPr>
              <w:t>Generation and</w:t>
            </w:r>
          </w:p>
        </w:tc>
        <w:tc>
          <w:tcPr>
            <w:tcW w:w="120" w:type="dxa"/>
            <w:vAlign w:val="bottom"/>
            <w:tcBorders>
              <w:top w:val="single" w:sz="8" w:color="auto"/>
              <w:right w:val="single" w:sz="8" w:color="0070C0"/>
            </w:tcBorders>
            <w:shd w:val="clear" w:color="auto" w:fill="0070C0"/>
          </w:tcPr>
          <w:p>
            <w:pPr>
              <w:spacing w:after="0"/>
              <w:rPr>
                <w:sz w:val="12"/>
                <w:szCs w:val="12"/>
                <w:color w:val="auto"/>
              </w:rPr>
            </w:pPr>
          </w:p>
        </w:tc>
        <w:tc>
          <w:tcPr>
            <w:tcW w:w="660" w:type="dxa"/>
            <w:vAlign w:val="bottom"/>
            <w:tcBorders>
              <w:top w:val="single" w:sz="8" w:color="auto"/>
              <w:right w:val="single" w:sz="8" w:color="auto"/>
            </w:tcBorders>
            <w:shd w:val="clear" w:color="auto" w:fill="0070C0"/>
          </w:tcPr>
          <w:p>
            <w:pPr>
              <w:spacing w:after="0"/>
              <w:rPr>
                <w:sz w:val="12"/>
                <w:szCs w:val="12"/>
                <w:color w:val="auto"/>
              </w:rPr>
            </w:pPr>
          </w:p>
        </w:tc>
        <w:tc>
          <w:tcPr>
            <w:tcW w:w="120" w:type="dxa"/>
            <w:vAlign w:val="bottom"/>
            <w:tcBorders>
              <w:top w:val="single" w:sz="8" w:color="auto"/>
              <w:right w:val="single" w:sz="8" w:color="0070C0"/>
            </w:tcBorders>
            <w:shd w:val="clear" w:color="auto" w:fill="0070C0"/>
          </w:tcPr>
          <w:p>
            <w:pPr>
              <w:spacing w:after="0"/>
              <w:rPr>
                <w:sz w:val="12"/>
                <w:szCs w:val="12"/>
                <w:color w:val="auto"/>
              </w:rPr>
            </w:pPr>
          </w:p>
        </w:tc>
        <w:tc>
          <w:tcPr>
            <w:tcW w:w="620" w:type="dxa"/>
            <w:vAlign w:val="bottom"/>
            <w:tcBorders>
              <w:top w:val="single" w:sz="8" w:color="auto"/>
              <w:right w:val="single" w:sz="8" w:color="auto"/>
            </w:tcBorders>
            <w:shd w:val="clear" w:color="auto" w:fill="0070C0"/>
          </w:tcPr>
          <w:p>
            <w:pPr>
              <w:spacing w:after="0"/>
              <w:rPr>
                <w:sz w:val="12"/>
                <w:szCs w:val="12"/>
                <w:color w:val="auto"/>
              </w:rPr>
            </w:pPr>
          </w:p>
        </w:tc>
        <w:tc>
          <w:tcPr>
            <w:tcW w:w="20" w:type="dxa"/>
            <w:vAlign w:val="bottom"/>
            <w:tcBorders>
              <w:top w:val="single" w:sz="8" w:color="auto"/>
            </w:tcBorders>
            <w:shd w:val="clear" w:color="auto" w:fill="0070C0"/>
          </w:tcPr>
          <w:p>
            <w:pPr>
              <w:spacing w:after="0"/>
              <w:rPr>
                <w:sz w:val="12"/>
                <w:szCs w:val="12"/>
                <w:color w:val="auto"/>
              </w:rPr>
            </w:pPr>
          </w:p>
        </w:tc>
        <w:tc>
          <w:tcPr>
            <w:tcW w:w="740" w:type="dxa"/>
            <w:vAlign w:val="bottom"/>
            <w:tcBorders>
              <w:top w:val="single" w:sz="8" w:color="auto"/>
              <w:right w:val="single" w:sz="8" w:color="auto"/>
            </w:tcBorders>
            <w:gridSpan w:val="2"/>
            <w:vMerge w:val="restart"/>
            <w:shd w:val="clear" w:color="auto" w:fill="0070C0"/>
          </w:tcPr>
          <w:p>
            <w:pPr>
              <w:jc w:val="center"/>
              <w:spacing w:after="0"/>
              <w:rPr>
                <w:sz w:val="20"/>
                <w:szCs w:val="20"/>
                <w:color w:val="auto"/>
              </w:rPr>
            </w:pPr>
            <w:r>
              <w:rPr>
                <w:rFonts w:ascii="Times New Roman" w:cs="Times New Roman" w:eastAsia="Times New Roman" w:hAnsi="Times New Roman"/>
                <w:sz w:val="10"/>
                <w:szCs w:val="10"/>
                <w:color w:val="FFFFFF"/>
                <w:w w:val="93"/>
              </w:rPr>
              <w:t>Tax credit benefit-</w:t>
            </w:r>
          </w:p>
        </w:tc>
        <w:tc>
          <w:tcPr>
            <w:tcW w:w="180" w:type="dxa"/>
            <w:vAlign w:val="bottom"/>
            <w:tcBorders>
              <w:top w:val="single" w:sz="8" w:color="auto"/>
              <w:right w:val="single" w:sz="8" w:color="0070C0"/>
            </w:tcBorders>
            <w:shd w:val="clear" w:color="auto" w:fill="0070C0"/>
          </w:tcPr>
          <w:p>
            <w:pPr>
              <w:spacing w:after="0"/>
              <w:rPr>
                <w:sz w:val="12"/>
                <w:szCs w:val="12"/>
                <w:color w:val="auto"/>
              </w:rPr>
            </w:pPr>
          </w:p>
        </w:tc>
        <w:tc>
          <w:tcPr>
            <w:tcW w:w="780" w:type="dxa"/>
            <w:vAlign w:val="bottom"/>
            <w:tcBorders>
              <w:top w:val="single" w:sz="8" w:color="auto"/>
              <w:right w:val="single" w:sz="8" w:color="auto"/>
            </w:tcBorders>
            <w:shd w:val="clear" w:color="auto" w:fill="0070C0"/>
          </w:tcPr>
          <w:p>
            <w:pPr>
              <w:spacing w:after="0"/>
              <w:rPr>
                <w:sz w:val="12"/>
                <w:szCs w:val="12"/>
                <w:color w:val="auto"/>
              </w:rPr>
            </w:pPr>
          </w:p>
        </w:tc>
        <w:tc>
          <w:tcPr>
            <w:tcW w:w="600" w:type="dxa"/>
            <w:vAlign w:val="bottom"/>
            <w:tcBorders>
              <w:top w:val="single" w:sz="8" w:color="auto"/>
              <w:right w:val="single" w:sz="8" w:color="auto"/>
            </w:tcBorders>
            <w:shd w:val="clear" w:color="auto" w:fill="0070C0"/>
          </w:tcPr>
          <w:p>
            <w:pPr>
              <w:spacing w:after="0"/>
              <w:rPr>
                <w:sz w:val="12"/>
                <w:szCs w:val="12"/>
                <w:color w:val="auto"/>
              </w:rPr>
            </w:pPr>
          </w:p>
        </w:tc>
        <w:tc>
          <w:tcPr>
            <w:tcW w:w="80" w:type="dxa"/>
            <w:vAlign w:val="bottom"/>
            <w:tcBorders>
              <w:top w:val="single" w:sz="8" w:color="auto"/>
              <w:right w:val="single" w:sz="8" w:color="0070C0"/>
            </w:tcBorders>
            <w:shd w:val="clear" w:color="auto" w:fill="0070C0"/>
          </w:tcPr>
          <w:p>
            <w:pPr>
              <w:spacing w:after="0"/>
              <w:rPr>
                <w:sz w:val="12"/>
                <w:szCs w:val="12"/>
                <w:color w:val="auto"/>
              </w:rPr>
            </w:pPr>
          </w:p>
        </w:tc>
        <w:tc>
          <w:tcPr>
            <w:tcW w:w="580" w:type="dxa"/>
            <w:vAlign w:val="bottom"/>
            <w:tcBorders>
              <w:top w:val="single" w:sz="8" w:color="auto"/>
              <w:right w:val="single" w:sz="8" w:color="auto"/>
            </w:tcBorders>
            <w:vMerge w:val="restart"/>
            <w:shd w:val="clear" w:color="auto" w:fill="0070C0"/>
          </w:tcPr>
          <w:p>
            <w:pPr>
              <w:jc w:val="center"/>
              <w:ind w:right="47"/>
              <w:spacing w:after="0"/>
              <w:rPr>
                <w:sz w:val="20"/>
                <w:szCs w:val="20"/>
                <w:color w:val="auto"/>
              </w:rPr>
            </w:pPr>
            <w:r>
              <w:rPr>
                <w:rFonts w:ascii="Times New Roman" w:cs="Times New Roman" w:eastAsia="Times New Roman" w:hAnsi="Times New Roman"/>
                <w:sz w:val="10"/>
                <w:szCs w:val="10"/>
                <w:color w:val="FFFFFF"/>
                <w:w w:val="92"/>
              </w:rPr>
              <w:t>Est. Total</w:t>
            </w:r>
          </w:p>
        </w:tc>
        <w:tc>
          <w:tcPr>
            <w:tcW w:w="80" w:type="dxa"/>
            <w:vAlign w:val="bottom"/>
            <w:tcBorders>
              <w:top w:val="single" w:sz="8" w:color="auto"/>
              <w:right w:val="single" w:sz="8" w:color="0070C0"/>
            </w:tcBorders>
            <w:shd w:val="clear" w:color="auto" w:fill="0070C0"/>
          </w:tcPr>
          <w:p>
            <w:pPr>
              <w:spacing w:after="0"/>
              <w:rPr>
                <w:sz w:val="12"/>
                <w:szCs w:val="12"/>
                <w:color w:val="auto"/>
              </w:rPr>
            </w:pPr>
          </w:p>
        </w:tc>
        <w:tc>
          <w:tcPr>
            <w:tcW w:w="640" w:type="dxa"/>
            <w:vAlign w:val="bottom"/>
            <w:tcBorders>
              <w:top w:val="single" w:sz="8" w:color="auto"/>
              <w:right w:val="single" w:sz="8" w:color="auto"/>
            </w:tcBorders>
            <w:vMerge w:val="restart"/>
            <w:shd w:val="clear" w:color="auto" w:fill="0070C0"/>
          </w:tcPr>
          <w:p>
            <w:pPr>
              <w:spacing w:after="0"/>
              <w:rPr>
                <w:sz w:val="20"/>
                <w:szCs w:val="20"/>
                <w:color w:val="auto"/>
              </w:rPr>
            </w:pPr>
            <w:r>
              <w:rPr>
                <w:rFonts w:ascii="Times New Roman" w:cs="Times New Roman" w:eastAsia="Times New Roman" w:hAnsi="Times New Roman"/>
                <w:sz w:val="10"/>
                <w:szCs w:val="10"/>
                <w:color w:val="FFFFFF"/>
                <w:w w:val="91"/>
              </w:rPr>
              <w:t>Capital Invested</w:t>
            </w:r>
          </w:p>
        </w:tc>
        <w:tc>
          <w:tcPr>
            <w:tcW w:w="100" w:type="dxa"/>
            <w:vAlign w:val="bottom"/>
            <w:tcBorders>
              <w:top w:val="single" w:sz="8" w:color="auto"/>
              <w:right w:val="single" w:sz="8" w:color="0070C0"/>
            </w:tcBorders>
            <w:shd w:val="clear" w:color="auto" w:fill="0070C0"/>
          </w:tcPr>
          <w:p>
            <w:pPr>
              <w:spacing w:after="0"/>
              <w:rPr>
                <w:sz w:val="12"/>
                <w:szCs w:val="12"/>
                <w:color w:val="auto"/>
              </w:rPr>
            </w:pPr>
          </w:p>
        </w:tc>
        <w:tc>
          <w:tcPr>
            <w:tcW w:w="560" w:type="dxa"/>
            <w:vAlign w:val="bottom"/>
            <w:tcBorders>
              <w:top w:val="single" w:sz="8" w:color="auto"/>
              <w:right w:val="single" w:sz="8" w:color="auto"/>
            </w:tcBorders>
            <w:shd w:val="clear" w:color="auto" w:fill="0070C0"/>
          </w:tcPr>
          <w:p>
            <w:pPr>
              <w:spacing w:after="0"/>
              <w:rPr>
                <w:sz w:val="12"/>
                <w:szCs w:val="12"/>
                <w:color w:val="auto"/>
              </w:rPr>
            </w:pPr>
          </w:p>
        </w:tc>
        <w:tc>
          <w:tcPr>
            <w:tcW w:w="720" w:type="dxa"/>
            <w:vAlign w:val="bottom"/>
            <w:tcBorders>
              <w:top w:val="single" w:sz="8" w:color="auto"/>
              <w:right w:val="single" w:sz="8" w:color="auto"/>
            </w:tcBorders>
            <w:gridSpan w:val="2"/>
            <w:vMerge w:val="restart"/>
            <w:shd w:val="clear" w:color="auto" w:fill="0070C0"/>
          </w:tcPr>
          <w:p>
            <w:pPr>
              <w:ind w:left="40"/>
              <w:spacing w:after="0"/>
              <w:rPr>
                <w:sz w:val="20"/>
                <w:szCs w:val="20"/>
                <w:color w:val="auto"/>
              </w:rPr>
            </w:pPr>
            <w:r>
              <w:rPr>
                <w:rFonts w:ascii="Times New Roman" w:cs="Times New Roman" w:eastAsia="Times New Roman" w:hAnsi="Times New Roman"/>
                <w:sz w:val="10"/>
                <w:szCs w:val="10"/>
                <w:color w:val="FFFFFF"/>
              </w:rPr>
              <w:t>Equity Invested</w:t>
            </w:r>
          </w:p>
        </w:tc>
        <w:tc>
          <w:tcPr>
            <w:tcW w:w="120" w:type="dxa"/>
            <w:vAlign w:val="bottom"/>
            <w:tcBorders>
              <w:top w:val="single" w:sz="8" w:color="auto"/>
              <w:right w:val="single" w:sz="8" w:color="0070C0"/>
            </w:tcBorders>
            <w:shd w:val="clear" w:color="auto" w:fill="0070C0"/>
          </w:tcPr>
          <w:p>
            <w:pPr>
              <w:spacing w:after="0"/>
              <w:rPr>
                <w:sz w:val="12"/>
                <w:szCs w:val="12"/>
                <w:color w:val="auto"/>
              </w:rPr>
            </w:pPr>
          </w:p>
        </w:tc>
        <w:tc>
          <w:tcPr>
            <w:tcW w:w="660" w:type="dxa"/>
            <w:vAlign w:val="bottom"/>
            <w:tcBorders>
              <w:top w:val="single" w:sz="8" w:color="auto"/>
              <w:right w:val="single" w:sz="8" w:color="auto"/>
            </w:tcBorders>
            <w:shd w:val="clear" w:color="auto" w:fill="0070C0"/>
          </w:tcPr>
          <w:p>
            <w:pPr>
              <w:spacing w:after="0"/>
              <w:rPr>
                <w:sz w:val="12"/>
                <w:szCs w:val="12"/>
                <w:color w:val="auto"/>
              </w:rPr>
            </w:pPr>
          </w:p>
        </w:tc>
        <w:tc>
          <w:tcPr>
            <w:tcW w:w="720" w:type="dxa"/>
            <w:vAlign w:val="bottom"/>
            <w:tcBorders>
              <w:top w:val="single" w:sz="8" w:color="auto"/>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0"/>
                <w:szCs w:val="10"/>
                <w:color w:val="FFFFFF"/>
                <w:w w:val="94"/>
              </w:rPr>
              <w:t>Est. First Full</w:t>
            </w:r>
          </w:p>
        </w:tc>
        <w:tc>
          <w:tcPr>
            <w:tcW w:w="580" w:type="dxa"/>
            <w:vAlign w:val="bottom"/>
            <w:tcBorders>
              <w:top w:val="single" w:sz="8" w:color="auto"/>
              <w:right w:val="single" w:sz="8" w:color="auto"/>
            </w:tcBorders>
            <w:shd w:val="clear" w:color="auto" w:fill="0070C0"/>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100" w:type="dxa"/>
            <w:vAlign w:val="bottom"/>
            <w:tcBorders>
              <w:left w:val="single" w:sz="8" w:color="auto"/>
              <w:right w:val="single" w:sz="8" w:color="auto"/>
            </w:tcBorders>
            <w:vMerge w:val="continue"/>
            <w:shd w:val="clear" w:color="auto" w:fill="0070C0"/>
          </w:tcPr>
          <w:p>
            <w:pPr>
              <w:spacing w:after="0"/>
              <w:rPr>
                <w:sz w:val="9"/>
                <w:szCs w:val="9"/>
                <w:color w:val="auto"/>
              </w:rPr>
            </w:pPr>
          </w:p>
        </w:tc>
        <w:tc>
          <w:tcPr>
            <w:tcW w:w="80" w:type="dxa"/>
            <w:vAlign w:val="bottom"/>
            <w:tcBorders>
              <w:right w:val="single" w:sz="8" w:color="0070C0"/>
            </w:tcBorders>
            <w:shd w:val="clear" w:color="auto" w:fill="0070C0"/>
          </w:tcPr>
          <w:p>
            <w:pPr>
              <w:spacing w:after="0"/>
              <w:rPr>
                <w:sz w:val="9"/>
                <w:szCs w:val="9"/>
                <w:color w:val="auto"/>
              </w:rPr>
            </w:pPr>
          </w:p>
        </w:tc>
        <w:tc>
          <w:tcPr>
            <w:tcW w:w="680" w:type="dxa"/>
            <w:vAlign w:val="bottom"/>
            <w:tcBorders>
              <w:right w:val="single" w:sz="8" w:color="auto"/>
            </w:tcBorders>
            <w:vMerge w:val="restart"/>
            <w:shd w:val="clear" w:color="auto" w:fill="0070C0"/>
          </w:tcPr>
          <w:p>
            <w:pPr>
              <w:jc w:val="center"/>
              <w:ind w:right="27"/>
              <w:spacing w:after="0"/>
              <w:rPr>
                <w:sz w:val="20"/>
                <w:szCs w:val="20"/>
                <w:color w:val="auto"/>
              </w:rPr>
            </w:pPr>
            <w:r>
              <w:rPr>
                <w:rFonts w:ascii="Times New Roman" w:cs="Times New Roman" w:eastAsia="Times New Roman" w:hAnsi="Times New Roman"/>
                <w:sz w:val="10"/>
                <w:szCs w:val="10"/>
                <w:color w:val="FFFFFF"/>
                <w:w w:val="97"/>
              </w:rPr>
              <w:t>Country</w:t>
            </w:r>
          </w:p>
        </w:tc>
        <w:tc>
          <w:tcPr>
            <w:tcW w:w="100" w:type="dxa"/>
            <w:vAlign w:val="bottom"/>
            <w:tcBorders>
              <w:right w:val="single" w:sz="8" w:color="0070C0"/>
            </w:tcBorders>
            <w:shd w:val="clear" w:color="auto" w:fill="0070C0"/>
          </w:tcPr>
          <w:p>
            <w:pPr>
              <w:spacing w:after="0"/>
              <w:rPr>
                <w:sz w:val="9"/>
                <w:szCs w:val="9"/>
                <w:color w:val="auto"/>
              </w:rPr>
            </w:pPr>
          </w:p>
        </w:tc>
        <w:tc>
          <w:tcPr>
            <w:tcW w:w="680" w:type="dxa"/>
            <w:vAlign w:val="bottom"/>
            <w:tcBorders>
              <w:right w:val="single" w:sz="8" w:color="auto"/>
            </w:tcBorders>
            <w:shd w:val="clear" w:color="auto" w:fill="0070C0"/>
          </w:tcPr>
          <w:p>
            <w:pPr>
              <w:jc w:val="center"/>
              <w:ind w:right="71"/>
              <w:spacing w:after="0" w:line="105" w:lineRule="exact"/>
              <w:rPr>
                <w:sz w:val="20"/>
                <w:szCs w:val="20"/>
                <w:color w:val="auto"/>
              </w:rPr>
            </w:pPr>
            <w:r>
              <w:rPr>
                <w:rFonts w:ascii="Times New Roman" w:cs="Times New Roman" w:eastAsia="Times New Roman" w:hAnsi="Times New Roman"/>
                <w:sz w:val="10"/>
                <w:szCs w:val="10"/>
                <w:color w:val="FFFFFF"/>
                <w:w w:val="95"/>
              </w:rPr>
              <w:t>energy storage</w:t>
            </w:r>
          </w:p>
        </w:tc>
        <w:tc>
          <w:tcPr>
            <w:tcW w:w="120" w:type="dxa"/>
            <w:vAlign w:val="bottom"/>
            <w:tcBorders>
              <w:right w:val="single" w:sz="8" w:color="0070C0"/>
            </w:tcBorders>
            <w:shd w:val="clear" w:color="auto" w:fill="0070C0"/>
          </w:tcPr>
          <w:p>
            <w:pPr>
              <w:spacing w:after="0"/>
              <w:rPr>
                <w:sz w:val="9"/>
                <w:szCs w:val="9"/>
                <w:color w:val="auto"/>
              </w:rPr>
            </w:pPr>
          </w:p>
        </w:tc>
        <w:tc>
          <w:tcPr>
            <w:tcW w:w="660" w:type="dxa"/>
            <w:vAlign w:val="bottom"/>
            <w:tcBorders>
              <w:right w:val="single" w:sz="8" w:color="auto"/>
            </w:tcBorders>
            <w:shd w:val="clear" w:color="auto" w:fill="0070C0"/>
          </w:tcPr>
          <w:p>
            <w:pPr>
              <w:jc w:val="center"/>
              <w:ind w:right="109"/>
              <w:spacing w:after="0" w:line="105" w:lineRule="exact"/>
              <w:rPr>
                <w:sz w:val="20"/>
                <w:szCs w:val="20"/>
                <w:color w:val="auto"/>
              </w:rPr>
            </w:pPr>
            <w:r>
              <w:rPr>
                <w:rFonts w:ascii="Times New Roman" w:cs="Times New Roman" w:eastAsia="Times New Roman" w:hAnsi="Times New Roman"/>
                <w:sz w:val="10"/>
                <w:szCs w:val="10"/>
                <w:color w:val="FFFFFF"/>
                <w:w w:val="91"/>
              </w:rPr>
              <w:t>Est.</w:t>
            </w:r>
          </w:p>
        </w:tc>
        <w:tc>
          <w:tcPr>
            <w:tcW w:w="120" w:type="dxa"/>
            <w:vAlign w:val="bottom"/>
            <w:tcBorders>
              <w:right w:val="single" w:sz="8" w:color="0070C0"/>
            </w:tcBorders>
            <w:shd w:val="clear" w:color="auto" w:fill="0070C0"/>
          </w:tcPr>
          <w:p>
            <w:pPr>
              <w:spacing w:after="0"/>
              <w:rPr>
                <w:sz w:val="9"/>
                <w:szCs w:val="9"/>
                <w:color w:val="auto"/>
              </w:rPr>
            </w:pPr>
          </w:p>
        </w:tc>
        <w:tc>
          <w:tcPr>
            <w:tcW w:w="620" w:type="dxa"/>
            <w:vAlign w:val="bottom"/>
            <w:tcBorders>
              <w:right w:val="single" w:sz="8" w:color="auto"/>
            </w:tcBorders>
            <w:shd w:val="clear" w:color="auto" w:fill="0070C0"/>
          </w:tcPr>
          <w:p>
            <w:pPr>
              <w:jc w:val="center"/>
              <w:ind w:right="127"/>
              <w:spacing w:after="0" w:line="105" w:lineRule="exact"/>
              <w:rPr>
                <w:sz w:val="20"/>
                <w:szCs w:val="20"/>
                <w:color w:val="auto"/>
              </w:rPr>
            </w:pPr>
            <w:r>
              <w:rPr>
                <w:rFonts w:ascii="Times New Roman" w:cs="Times New Roman" w:eastAsia="Times New Roman" w:hAnsi="Times New Roman"/>
                <w:sz w:val="10"/>
                <w:szCs w:val="10"/>
                <w:color w:val="FFFFFF"/>
                <w:w w:val="92"/>
              </w:rPr>
              <w:t>Est. Total</w:t>
            </w:r>
          </w:p>
        </w:tc>
        <w:tc>
          <w:tcPr>
            <w:tcW w:w="20" w:type="dxa"/>
            <w:vAlign w:val="bottom"/>
            <w:shd w:val="clear" w:color="auto" w:fill="0070C0"/>
          </w:tcPr>
          <w:p>
            <w:pPr>
              <w:spacing w:after="0"/>
              <w:rPr>
                <w:sz w:val="9"/>
                <w:szCs w:val="9"/>
                <w:color w:val="auto"/>
              </w:rPr>
            </w:pPr>
          </w:p>
        </w:tc>
        <w:tc>
          <w:tcPr>
            <w:tcW w:w="740" w:type="dxa"/>
            <w:vAlign w:val="bottom"/>
            <w:tcBorders>
              <w:right w:val="single" w:sz="8" w:color="auto"/>
            </w:tcBorders>
            <w:gridSpan w:val="2"/>
            <w:vMerge w:val="continue"/>
            <w:shd w:val="clear" w:color="auto" w:fill="0070C0"/>
          </w:tcPr>
          <w:p>
            <w:pPr>
              <w:spacing w:after="0"/>
              <w:rPr>
                <w:sz w:val="9"/>
                <w:szCs w:val="9"/>
                <w:color w:val="auto"/>
              </w:rPr>
            </w:pPr>
          </w:p>
        </w:tc>
        <w:tc>
          <w:tcPr>
            <w:tcW w:w="960" w:type="dxa"/>
            <w:vAlign w:val="bottom"/>
            <w:tcBorders>
              <w:right w:val="single" w:sz="8" w:color="auto"/>
            </w:tcBorders>
            <w:gridSpan w:val="2"/>
            <w:shd w:val="clear" w:color="auto" w:fill="0070C0"/>
          </w:tcPr>
          <w:p>
            <w:pPr>
              <w:jc w:val="center"/>
              <w:ind w:right="31"/>
              <w:spacing w:after="0" w:line="105" w:lineRule="exact"/>
              <w:rPr>
                <w:sz w:val="20"/>
                <w:szCs w:val="20"/>
                <w:color w:val="auto"/>
              </w:rPr>
            </w:pPr>
            <w:r>
              <w:rPr>
                <w:rFonts w:ascii="Times New Roman" w:cs="Times New Roman" w:eastAsia="Times New Roman" w:hAnsi="Times New Roman"/>
                <w:sz w:val="10"/>
                <w:szCs w:val="10"/>
                <w:color w:val="FFFFFF"/>
                <w:w w:val="96"/>
              </w:rPr>
              <w:t>Tax credit benefit-</w:t>
            </w:r>
          </w:p>
        </w:tc>
        <w:tc>
          <w:tcPr>
            <w:tcW w:w="600" w:type="dxa"/>
            <w:vAlign w:val="bottom"/>
            <w:tcBorders>
              <w:right w:val="single" w:sz="8" w:color="auto"/>
            </w:tcBorders>
            <w:shd w:val="clear" w:color="auto" w:fill="0070C0"/>
          </w:tcPr>
          <w:p>
            <w:pPr>
              <w:jc w:val="center"/>
              <w:ind w:right="27"/>
              <w:spacing w:after="0" w:line="105" w:lineRule="exact"/>
              <w:rPr>
                <w:sz w:val="20"/>
                <w:szCs w:val="20"/>
                <w:color w:val="auto"/>
              </w:rPr>
            </w:pPr>
            <w:r>
              <w:rPr>
                <w:rFonts w:ascii="Times New Roman" w:cs="Times New Roman" w:eastAsia="Times New Roman" w:hAnsi="Times New Roman"/>
                <w:sz w:val="10"/>
                <w:szCs w:val="10"/>
                <w:color w:val="FFFFFF"/>
                <w:w w:val="96"/>
              </w:rPr>
              <w:t>Discounted</w:t>
            </w:r>
          </w:p>
        </w:tc>
        <w:tc>
          <w:tcPr>
            <w:tcW w:w="80" w:type="dxa"/>
            <w:vAlign w:val="bottom"/>
            <w:tcBorders>
              <w:right w:val="single" w:sz="8" w:color="0070C0"/>
            </w:tcBorders>
            <w:shd w:val="clear" w:color="auto" w:fill="0070C0"/>
          </w:tcPr>
          <w:p>
            <w:pPr>
              <w:spacing w:after="0"/>
              <w:rPr>
                <w:sz w:val="9"/>
                <w:szCs w:val="9"/>
                <w:color w:val="auto"/>
              </w:rPr>
            </w:pPr>
          </w:p>
        </w:tc>
        <w:tc>
          <w:tcPr>
            <w:tcW w:w="580" w:type="dxa"/>
            <w:vAlign w:val="bottom"/>
            <w:tcBorders>
              <w:right w:val="single" w:sz="8" w:color="auto"/>
            </w:tcBorders>
            <w:vMerge w:val="continue"/>
            <w:shd w:val="clear" w:color="auto" w:fill="0070C0"/>
          </w:tcPr>
          <w:p>
            <w:pPr>
              <w:spacing w:after="0"/>
              <w:rPr>
                <w:sz w:val="9"/>
                <w:szCs w:val="9"/>
                <w:color w:val="auto"/>
              </w:rPr>
            </w:pPr>
          </w:p>
        </w:tc>
        <w:tc>
          <w:tcPr>
            <w:tcW w:w="80" w:type="dxa"/>
            <w:vAlign w:val="bottom"/>
            <w:tcBorders>
              <w:right w:val="single" w:sz="8" w:color="0070C0"/>
            </w:tcBorders>
            <w:shd w:val="clear" w:color="auto" w:fill="0070C0"/>
          </w:tcPr>
          <w:p>
            <w:pPr>
              <w:spacing w:after="0"/>
              <w:rPr>
                <w:sz w:val="9"/>
                <w:szCs w:val="9"/>
                <w:color w:val="auto"/>
              </w:rPr>
            </w:pPr>
          </w:p>
        </w:tc>
        <w:tc>
          <w:tcPr>
            <w:tcW w:w="640" w:type="dxa"/>
            <w:vAlign w:val="bottom"/>
            <w:tcBorders>
              <w:right w:val="single" w:sz="8" w:color="auto"/>
            </w:tcBorders>
            <w:vMerge w:val="continue"/>
            <w:shd w:val="clear" w:color="auto" w:fill="0070C0"/>
          </w:tcPr>
          <w:p>
            <w:pPr>
              <w:spacing w:after="0"/>
              <w:rPr>
                <w:sz w:val="9"/>
                <w:szCs w:val="9"/>
                <w:color w:val="auto"/>
              </w:rPr>
            </w:pPr>
          </w:p>
        </w:tc>
        <w:tc>
          <w:tcPr>
            <w:tcW w:w="100" w:type="dxa"/>
            <w:vAlign w:val="bottom"/>
            <w:tcBorders>
              <w:right w:val="single" w:sz="8" w:color="0070C0"/>
            </w:tcBorders>
            <w:shd w:val="clear" w:color="auto" w:fill="0070C0"/>
          </w:tcPr>
          <w:p>
            <w:pPr>
              <w:spacing w:after="0"/>
              <w:rPr>
                <w:sz w:val="9"/>
                <w:szCs w:val="9"/>
                <w:color w:val="auto"/>
              </w:rPr>
            </w:pPr>
          </w:p>
        </w:tc>
        <w:tc>
          <w:tcPr>
            <w:tcW w:w="560" w:type="dxa"/>
            <w:vAlign w:val="bottom"/>
            <w:tcBorders>
              <w:right w:val="single" w:sz="8" w:color="auto"/>
            </w:tcBorders>
            <w:shd w:val="clear" w:color="auto" w:fill="0070C0"/>
          </w:tcPr>
          <w:p>
            <w:pPr>
              <w:jc w:val="center"/>
              <w:ind w:right="69"/>
              <w:spacing w:after="0" w:line="105" w:lineRule="exact"/>
              <w:rPr>
                <w:sz w:val="20"/>
                <w:szCs w:val="20"/>
                <w:color w:val="auto"/>
              </w:rPr>
            </w:pPr>
            <w:r>
              <w:rPr>
                <w:rFonts w:ascii="Times New Roman" w:cs="Times New Roman" w:eastAsia="Times New Roman" w:hAnsi="Times New Roman"/>
                <w:sz w:val="10"/>
                <w:szCs w:val="10"/>
                <w:color w:val="FFFFFF"/>
                <w:w w:val="98"/>
              </w:rPr>
              <w:t>Est. Equity</w:t>
            </w:r>
          </w:p>
        </w:tc>
        <w:tc>
          <w:tcPr>
            <w:tcW w:w="720" w:type="dxa"/>
            <w:vAlign w:val="bottom"/>
            <w:tcBorders>
              <w:right w:val="single" w:sz="8" w:color="auto"/>
            </w:tcBorders>
            <w:gridSpan w:val="2"/>
            <w:vMerge w:val="continue"/>
            <w:shd w:val="clear" w:color="auto" w:fill="0070C0"/>
          </w:tcPr>
          <w:p>
            <w:pPr>
              <w:spacing w:after="0"/>
              <w:rPr>
                <w:sz w:val="9"/>
                <w:szCs w:val="9"/>
                <w:color w:val="auto"/>
              </w:rPr>
            </w:pPr>
          </w:p>
        </w:tc>
        <w:tc>
          <w:tcPr>
            <w:tcW w:w="780" w:type="dxa"/>
            <w:vAlign w:val="bottom"/>
            <w:tcBorders>
              <w:right w:val="single" w:sz="8" w:color="auto"/>
            </w:tcBorders>
            <w:gridSpan w:val="2"/>
            <w:shd w:val="clear" w:color="auto" w:fill="0070C0"/>
          </w:tcPr>
          <w:p>
            <w:pPr>
              <w:jc w:val="center"/>
              <w:spacing w:after="0" w:line="105" w:lineRule="exact"/>
              <w:rPr>
                <w:sz w:val="20"/>
                <w:szCs w:val="20"/>
                <w:color w:val="auto"/>
              </w:rPr>
            </w:pPr>
            <w:r>
              <w:rPr>
                <w:rFonts w:ascii="Times New Roman" w:cs="Times New Roman" w:eastAsia="Times New Roman" w:hAnsi="Times New Roman"/>
                <w:sz w:val="10"/>
                <w:szCs w:val="10"/>
                <w:color w:val="FFFFFF"/>
                <w:w w:val="93"/>
              </w:rPr>
              <w:t>Est. First Full Year</w:t>
            </w:r>
          </w:p>
        </w:tc>
        <w:tc>
          <w:tcPr>
            <w:tcW w:w="720" w:type="dxa"/>
            <w:vAlign w:val="bottom"/>
            <w:tcBorders>
              <w:right w:val="single" w:sz="8" w:color="auto"/>
            </w:tcBorders>
            <w:vMerge w:val="continue"/>
            <w:shd w:val="clear" w:color="auto" w:fill="0070C0"/>
          </w:tcPr>
          <w:p>
            <w:pPr>
              <w:spacing w:after="0"/>
              <w:rPr>
                <w:sz w:val="9"/>
                <w:szCs w:val="9"/>
                <w:color w:val="auto"/>
              </w:rPr>
            </w:pPr>
          </w:p>
        </w:tc>
        <w:tc>
          <w:tcPr>
            <w:tcW w:w="580" w:type="dxa"/>
            <w:vAlign w:val="bottom"/>
            <w:tcBorders>
              <w:right w:val="single" w:sz="8" w:color="auto"/>
            </w:tcBorders>
            <w:shd w:val="clear" w:color="auto" w:fill="0070C0"/>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100" w:type="dxa"/>
            <w:vAlign w:val="bottom"/>
            <w:tcBorders>
              <w:left w:val="single" w:sz="8" w:color="auto"/>
              <w:right w:val="single" w:sz="8" w:color="auto"/>
            </w:tcBorders>
            <w:vMerge w:val="restart"/>
            <w:shd w:val="clear" w:color="auto" w:fill="0070C0"/>
          </w:tcPr>
          <w:p>
            <w:pPr>
              <w:ind w:left="20"/>
              <w:spacing w:after="0"/>
              <w:rPr>
                <w:sz w:val="20"/>
                <w:szCs w:val="20"/>
                <w:color w:val="auto"/>
              </w:rPr>
            </w:pPr>
            <w:r>
              <w:rPr>
                <w:rFonts w:ascii="Times New Roman" w:cs="Times New Roman" w:eastAsia="Times New Roman" w:hAnsi="Times New Roman"/>
                <w:sz w:val="11"/>
                <w:szCs w:val="11"/>
                <w:b w:val="1"/>
                <w:bCs w:val="1"/>
                <w:color w:val="FFFFFF"/>
              </w:rPr>
              <w:t>Consolidated Projects</w:t>
            </w:r>
          </w:p>
        </w:tc>
        <w:tc>
          <w:tcPr>
            <w:tcW w:w="80" w:type="dxa"/>
            <w:vAlign w:val="bottom"/>
            <w:tcBorders>
              <w:right w:val="single" w:sz="8" w:color="0070C0"/>
            </w:tcBorders>
            <w:shd w:val="clear" w:color="auto" w:fill="0070C0"/>
          </w:tcPr>
          <w:p>
            <w:pPr>
              <w:spacing w:after="0"/>
              <w:rPr>
                <w:sz w:val="5"/>
                <w:szCs w:val="5"/>
                <w:color w:val="auto"/>
              </w:rPr>
            </w:pPr>
          </w:p>
        </w:tc>
        <w:tc>
          <w:tcPr>
            <w:tcW w:w="680" w:type="dxa"/>
            <w:vAlign w:val="bottom"/>
            <w:tcBorders>
              <w:right w:val="single" w:sz="8" w:color="auto"/>
            </w:tcBorders>
            <w:vMerge w:val="continue"/>
            <w:shd w:val="clear" w:color="auto" w:fill="0070C0"/>
          </w:tcPr>
          <w:p>
            <w:pPr>
              <w:spacing w:after="0"/>
              <w:rPr>
                <w:sz w:val="5"/>
                <w:szCs w:val="5"/>
                <w:color w:val="auto"/>
              </w:rPr>
            </w:pPr>
          </w:p>
        </w:tc>
        <w:tc>
          <w:tcPr>
            <w:tcW w:w="100" w:type="dxa"/>
            <w:vAlign w:val="bottom"/>
            <w:tcBorders>
              <w:right w:val="single" w:sz="8" w:color="0070C0"/>
            </w:tcBorders>
            <w:shd w:val="clear" w:color="auto" w:fill="0070C0"/>
          </w:tcPr>
          <w:p>
            <w:pPr>
              <w:spacing w:after="0"/>
              <w:rPr>
                <w:sz w:val="5"/>
                <w:szCs w:val="5"/>
                <w:color w:val="auto"/>
              </w:rPr>
            </w:pPr>
          </w:p>
        </w:tc>
        <w:tc>
          <w:tcPr>
            <w:tcW w:w="680" w:type="dxa"/>
            <w:vAlign w:val="bottom"/>
            <w:tcBorders>
              <w:right w:val="single" w:sz="8" w:color="auto"/>
            </w:tcBorders>
            <w:vMerge w:val="restart"/>
            <w:shd w:val="clear" w:color="auto" w:fill="0070C0"/>
          </w:tcPr>
          <w:p>
            <w:pPr>
              <w:jc w:val="center"/>
              <w:ind w:right="91"/>
              <w:spacing w:after="0"/>
              <w:rPr>
                <w:sz w:val="20"/>
                <w:szCs w:val="20"/>
                <w:color w:val="auto"/>
              </w:rPr>
            </w:pPr>
            <w:r>
              <w:rPr>
                <w:rFonts w:ascii="Times New Roman" w:cs="Times New Roman" w:eastAsia="Times New Roman" w:hAnsi="Times New Roman"/>
                <w:sz w:val="10"/>
                <w:szCs w:val="10"/>
                <w:color w:val="FFFFFF"/>
                <w:w w:val="95"/>
              </w:rPr>
              <w:t>Capacity</w:t>
            </w:r>
          </w:p>
        </w:tc>
        <w:tc>
          <w:tcPr>
            <w:tcW w:w="120" w:type="dxa"/>
            <w:vAlign w:val="bottom"/>
            <w:tcBorders>
              <w:right w:val="single" w:sz="8" w:color="0070C0"/>
            </w:tcBorders>
            <w:shd w:val="clear" w:color="auto" w:fill="0070C0"/>
          </w:tcPr>
          <w:p>
            <w:pPr>
              <w:spacing w:after="0"/>
              <w:rPr>
                <w:sz w:val="5"/>
                <w:szCs w:val="5"/>
                <w:color w:val="auto"/>
              </w:rPr>
            </w:pPr>
          </w:p>
        </w:tc>
        <w:tc>
          <w:tcPr>
            <w:tcW w:w="660" w:type="dxa"/>
            <w:vAlign w:val="bottom"/>
            <w:tcBorders>
              <w:right w:val="single" w:sz="8" w:color="auto"/>
            </w:tcBorders>
            <w:vMerge w:val="restart"/>
            <w:shd w:val="clear" w:color="auto" w:fill="0070C0"/>
          </w:tcPr>
          <w:p>
            <w:pPr>
              <w:jc w:val="center"/>
              <w:ind w:right="89"/>
              <w:spacing w:after="0"/>
              <w:rPr>
                <w:sz w:val="20"/>
                <w:szCs w:val="20"/>
                <w:color w:val="auto"/>
              </w:rPr>
            </w:pPr>
            <w:r>
              <w:rPr>
                <w:rFonts w:ascii="Times New Roman" w:cs="Times New Roman" w:eastAsia="Times New Roman" w:hAnsi="Times New Roman"/>
                <w:sz w:val="10"/>
                <w:szCs w:val="10"/>
                <w:color w:val="FFFFFF"/>
                <w:w w:val="94"/>
              </w:rPr>
              <w:t>COD</w:t>
            </w:r>
          </w:p>
        </w:tc>
        <w:tc>
          <w:tcPr>
            <w:tcW w:w="120" w:type="dxa"/>
            <w:vAlign w:val="bottom"/>
            <w:tcBorders>
              <w:right w:val="single" w:sz="8" w:color="0070C0"/>
            </w:tcBorders>
            <w:shd w:val="clear" w:color="auto" w:fill="0070C0"/>
          </w:tcPr>
          <w:p>
            <w:pPr>
              <w:spacing w:after="0"/>
              <w:rPr>
                <w:sz w:val="5"/>
                <w:szCs w:val="5"/>
                <w:color w:val="auto"/>
              </w:rPr>
            </w:pPr>
          </w:p>
        </w:tc>
        <w:tc>
          <w:tcPr>
            <w:tcW w:w="620" w:type="dxa"/>
            <w:vAlign w:val="bottom"/>
            <w:tcBorders>
              <w:right w:val="single" w:sz="8" w:color="auto"/>
            </w:tcBorders>
            <w:vMerge w:val="restart"/>
            <w:shd w:val="clear" w:color="auto" w:fill="0070C0"/>
          </w:tcPr>
          <w:p>
            <w:pPr>
              <w:jc w:val="center"/>
              <w:ind w:right="87"/>
              <w:spacing w:after="0"/>
              <w:rPr>
                <w:sz w:val="20"/>
                <w:szCs w:val="20"/>
                <w:color w:val="auto"/>
              </w:rPr>
            </w:pPr>
            <w:r>
              <w:rPr>
                <w:rFonts w:ascii="Times New Roman" w:cs="Times New Roman" w:eastAsia="Times New Roman" w:hAnsi="Times New Roman"/>
                <w:sz w:val="10"/>
                <w:szCs w:val="10"/>
                <w:color w:val="FFFFFF"/>
                <w:w w:val="97"/>
              </w:rPr>
              <w:t>Project Cost</w:t>
            </w:r>
          </w:p>
        </w:tc>
        <w:tc>
          <w:tcPr>
            <w:tcW w:w="20" w:type="dxa"/>
            <w:vAlign w:val="bottom"/>
            <w:shd w:val="clear" w:color="auto" w:fill="0070C0"/>
          </w:tcPr>
          <w:p>
            <w:pPr>
              <w:spacing w:after="0"/>
              <w:rPr>
                <w:sz w:val="5"/>
                <w:szCs w:val="5"/>
                <w:color w:val="auto"/>
              </w:rPr>
            </w:pPr>
          </w:p>
        </w:tc>
        <w:tc>
          <w:tcPr>
            <w:tcW w:w="140" w:type="dxa"/>
            <w:vAlign w:val="bottom"/>
            <w:tcBorders>
              <w:right w:val="single" w:sz="8" w:color="0070C0"/>
            </w:tcBorders>
            <w:shd w:val="clear" w:color="auto" w:fill="0070C0"/>
          </w:tcPr>
          <w:p>
            <w:pPr>
              <w:spacing w:after="0"/>
              <w:rPr>
                <w:sz w:val="5"/>
                <w:szCs w:val="5"/>
                <w:color w:val="auto"/>
              </w:rPr>
            </w:pPr>
          </w:p>
        </w:tc>
        <w:tc>
          <w:tcPr>
            <w:tcW w:w="600" w:type="dxa"/>
            <w:vAlign w:val="bottom"/>
            <w:tcBorders>
              <w:right w:val="single" w:sz="8" w:color="auto"/>
            </w:tcBorders>
            <w:shd w:val="clear" w:color="auto" w:fill="0070C0"/>
          </w:tcPr>
          <w:p>
            <w:pPr>
              <w:jc w:val="center"/>
              <w:ind w:right="129"/>
              <w:spacing w:after="0" w:line="67" w:lineRule="exact"/>
              <w:rPr>
                <w:sz w:val="20"/>
                <w:szCs w:val="20"/>
                <w:color w:val="auto"/>
              </w:rPr>
            </w:pPr>
            <w:r>
              <w:rPr>
                <w:rFonts w:ascii="Times New Roman" w:cs="Times New Roman" w:eastAsia="Times New Roman" w:hAnsi="Times New Roman"/>
                <w:sz w:val="7"/>
                <w:szCs w:val="7"/>
                <w:color w:val="FFFFFF"/>
              </w:rPr>
              <w:t>Qualifying</w:t>
            </w:r>
          </w:p>
        </w:tc>
        <w:tc>
          <w:tcPr>
            <w:tcW w:w="180" w:type="dxa"/>
            <w:vAlign w:val="bottom"/>
            <w:tcBorders>
              <w:right w:val="single" w:sz="8" w:color="0070C0"/>
            </w:tcBorders>
            <w:shd w:val="clear" w:color="auto" w:fill="0070C0"/>
          </w:tcPr>
          <w:p>
            <w:pPr>
              <w:spacing w:after="0"/>
              <w:rPr>
                <w:sz w:val="5"/>
                <w:szCs w:val="5"/>
                <w:color w:val="auto"/>
              </w:rPr>
            </w:pPr>
          </w:p>
        </w:tc>
        <w:tc>
          <w:tcPr>
            <w:tcW w:w="780" w:type="dxa"/>
            <w:vAlign w:val="bottom"/>
            <w:tcBorders>
              <w:right w:val="single" w:sz="8" w:color="auto"/>
            </w:tcBorders>
            <w:vMerge w:val="restart"/>
            <w:shd w:val="clear" w:color="auto" w:fill="0070C0"/>
          </w:tcPr>
          <w:p>
            <w:pPr>
              <w:jc w:val="center"/>
              <w:ind w:right="211"/>
              <w:spacing w:after="0"/>
              <w:rPr>
                <w:sz w:val="20"/>
                <w:szCs w:val="20"/>
                <w:color w:val="auto"/>
              </w:rPr>
            </w:pPr>
            <w:r>
              <w:rPr>
                <w:rFonts w:ascii="Times New Roman" w:cs="Times New Roman" w:eastAsia="Times New Roman" w:hAnsi="Times New Roman"/>
                <w:sz w:val="10"/>
                <w:szCs w:val="10"/>
                <w:color w:val="FFFFFF"/>
                <w:w w:val="96"/>
              </w:rPr>
              <w:t>Adders*****</w:t>
            </w:r>
          </w:p>
        </w:tc>
        <w:tc>
          <w:tcPr>
            <w:tcW w:w="600" w:type="dxa"/>
            <w:vAlign w:val="bottom"/>
            <w:tcBorders>
              <w:right w:val="single" w:sz="8" w:color="auto"/>
            </w:tcBorders>
            <w:vMerge w:val="restart"/>
            <w:shd w:val="clear" w:color="auto" w:fill="0070C0"/>
          </w:tcPr>
          <w:p>
            <w:pPr>
              <w:jc w:val="center"/>
              <w:ind w:right="27"/>
              <w:spacing w:after="0"/>
              <w:rPr>
                <w:sz w:val="20"/>
                <w:szCs w:val="20"/>
                <w:color w:val="auto"/>
              </w:rPr>
            </w:pPr>
            <w:r>
              <w:rPr>
                <w:rFonts w:ascii="Times New Roman" w:cs="Times New Roman" w:eastAsia="Times New Roman" w:hAnsi="Times New Roman"/>
                <w:sz w:val="10"/>
                <w:szCs w:val="10"/>
                <w:color w:val="FFFFFF"/>
                <w:w w:val="90"/>
              </w:rPr>
              <w:t>Value of Tax</w:t>
            </w:r>
          </w:p>
        </w:tc>
        <w:tc>
          <w:tcPr>
            <w:tcW w:w="660" w:type="dxa"/>
            <w:vAlign w:val="bottom"/>
            <w:tcBorders>
              <w:right w:val="single" w:sz="8" w:color="auto"/>
            </w:tcBorders>
            <w:gridSpan w:val="2"/>
            <w:shd w:val="clear" w:color="auto" w:fill="0070C0"/>
          </w:tcPr>
          <w:p>
            <w:pPr>
              <w:jc w:val="center"/>
              <w:spacing w:after="0" w:line="67" w:lineRule="exact"/>
              <w:rPr>
                <w:sz w:val="20"/>
                <w:szCs w:val="20"/>
                <w:color w:val="auto"/>
              </w:rPr>
            </w:pPr>
            <w:r>
              <w:rPr>
                <w:rFonts w:ascii="Times New Roman" w:cs="Times New Roman" w:eastAsia="Times New Roman" w:hAnsi="Times New Roman"/>
                <w:sz w:val="7"/>
                <w:szCs w:val="7"/>
                <w:color w:val="FFFFFF"/>
              </w:rPr>
              <w:t>Project Cost net</w:t>
            </w:r>
          </w:p>
        </w:tc>
        <w:tc>
          <w:tcPr>
            <w:tcW w:w="80" w:type="dxa"/>
            <w:vAlign w:val="bottom"/>
            <w:tcBorders>
              <w:right w:val="single" w:sz="8" w:color="0070C0"/>
            </w:tcBorders>
            <w:shd w:val="clear" w:color="auto" w:fill="0070C0"/>
          </w:tcPr>
          <w:p>
            <w:pPr>
              <w:spacing w:after="0"/>
              <w:rPr>
                <w:sz w:val="5"/>
                <w:szCs w:val="5"/>
                <w:color w:val="auto"/>
              </w:rPr>
            </w:pPr>
          </w:p>
        </w:tc>
        <w:tc>
          <w:tcPr>
            <w:tcW w:w="640" w:type="dxa"/>
            <w:vAlign w:val="bottom"/>
            <w:tcBorders>
              <w:right w:val="single" w:sz="8" w:color="auto"/>
            </w:tcBorders>
            <w:shd w:val="clear" w:color="auto" w:fill="0070C0"/>
          </w:tcPr>
          <w:p>
            <w:pPr>
              <w:spacing w:after="0" w:line="67" w:lineRule="exact"/>
              <w:rPr>
                <w:sz w:val="20"/>
                <w:szCs w:val="20"/>
                <w:color w:val="auto"/>
              </w:rPr>
            </w:pPr>
            <w:r>
              <w:rPr>
                <w:rFonts w:ascii="Times New Roman" w:cs="Times New Roman" w:eastAsia="Times New Roman" w:hAnsi="Times New Roman"/>
                <w:sz w:val="7"/>
                <w:szCs w:val="7"/>
                <w:color w:val="FFFFFF"/>
              </w:rPr>
              <w:t>as of September</w:t>
            </w:r>
          </w:p>
        </w:tc>
        <w:tc>
          <w:tcPr>
            <w:tcW w:w="660" w:type="dxa"/>
            <w:vAlign w:val="bottom"/>
            <w:tcBorders>
              <w:right w:val="single" w:sz="8" w:color="auto"/>
            </w:tcBorders>
            <w:gridSpan w:val="2"/>
            <w:vMerge w:val="restart"/>
            <w:shd w:val="clear" w:color="auto" w:fill="0070C0"/>
          </w:tcPr>
          <w:p>
            <w:pPr>
              <w:jc w:val="center"/>
              <w:spacing w:after="0"/>
              <w:rPr>
                <w:sz w:val="20"/>
                <w:szCs w:val="20"/>
                <w:color w:val="auto"/>
              </w:rPr>
            </w:pPr>
            <w:r>
              <w:rPr>
                <w:rFonts w:ascii="Times New Roman" w:cs="Times New Roman" w:eastAsia="Times New Roman" w:hAnsi="Times New Roman"/>
                <w:sz w:val="10"/>
                <w:szCs w:val="10"/>
                <w:color w:val="FFFFFF"/>
                <w:w w:val="95"/>
              </w:rPr>
              <w:t>Required (%)</w:t>
            </w:r>
          </w:p>
        </w:tc>
        <w:tc>
          <w:tcPr>
            <w:tcW w:w="720" w:type="dxa"/>
            <w:vAlign w:val="bottom"/>
            <w:tcBorders>
              <w:right w:val="single" w:sz="8" w:color="auto"/>
            </w:tcBorders>
            <w:gridSpan w:val="2"/>
            <w:shd w:val="clear" w:color="auto" w:fill="0070C0"/>
          </w:tcPr>
          <w:p>
            <w:pPr>
              <w:ind w:left="40"/>
              <w:spacing w:after="0" w:line="67" w:lineRule="exact"/>
              <w:rPr>
                <w:sz w:val="20"/>
                <w:szCs w:val="20"/>
                <w:color w:val="auto"/>
              </w:rPr>
            </w:pPr>
            <w:r>
              <w:rPr>
                <w:rFonts w:ascii="Times New Roman" w:cs="Times New Roman" w:eastAsia="Times New Roman" w:hAnsi="Times New Roman"/>
                <w:sz w:val="7"/>
                <w:szCs w:val="7"/>
                <w:color w:val="FFFFFF"/>
              </w:rPr>
              <w:t>as of September</w:t>
            </w:r>
          </w:p>
        </w:tc>
        <w:tc>
          <w:tcPr>
            <w:tcW w:w="780" w:type="dxa"/>
            <w:vAlign w:val="bottom"/>
            <w:tcBorders>
              <w:right w:val="single" w:sz="8" w:color="auto"/>
            </w:tcBorders>
            <w:gridSpan w:val="2"/>
            <w:vMerge w:val="restart"/>
            <w:shd w:val="clear" w:color="auto" w:fill="0070C0"/>
          </w:tcPr>
          <w:p>
            <w:pPr>
              <w:jc w:val="center"/>
              <w:spacing w:after="0"/>
              <w:rPr>
                <w:sz w:val="20"/>
                <w:szCs w:val="20"/>
                <w:color w:val="auto"/>
              </w:rPr>
            </w:pPr>
            <w:r>
              <w:rPr>
                <w:rFonts w:ascii="Times New Roman" w:cs="Times New Roman" w:eastAsia="Times New Roman" w:hAnsi="Times New Roman"/>
                <w:sz w:val="10"/>
                <w:szCs w:val="10"/>
                <w:color w:val="FFFFFF"/>
                <w:w w:val="94"/>
              </w:rPr>
              <w:t>Revenue*********</w:t>
            </w:r>
          </w:p>
        </w:tc>
        <w:tc>
          <w:tcPr>
            <w:tcW w:w="720" w:type="dxa"/>
            <w:vAlign w:val="bottom"/>
            <w:tcBorders>
              <w:right w:val="single" w:sz="8" w:color="auto"/>
            </w:tcBorders>
            <w:shd w:val="clear" w:color="auto" w:fill="0070C0"/>
          </w:tcPr>
          <w:p>
            <w:pPr>
              <w:jc w:val="center"/>
              <w:ind w:right="8"/>
              <w:spacing w:after="0" w:line="67" w:lineRule="exact"/>
              <w:rPr>
                <w:sz w:val="20"/>
                <w:szCs w:val="20"/>
                <w:color w:val="auto"/>
              </w:rPr>
            </w:pPr>
            <w:r>
              <w:rPr>
                <w:rFonts w:ascii="Times New Roman" w:cs="Times New Roman" w:eastAsia="Times New Roman" w:hAnsi="Times New Roman"/>
                <w:sz w:val="7"/>
                <w:szCs w:val="7"/>
                <w:color w:val="FFFFFF"/>
              </w:rPr>
              <w:t>Year</w:t>
            </w:r>
          </w:p>
        </w:tc>
        <w:tc>
          <w:tcPr>
            <w:tcW w:w="580" w:type="dxa"/>
            <w:vAlign w:val="bottom"/>
            <w:tcBorders>
              <w:right w:val="single" w:sz="8" w:color="auto"/>
            </w:tcBorders>
            <w:vMerge w:val="restart"/>
            <w:shd w:val="clear" w:color="auto" w:fill="0070C0"/>
          </w:tcPr>
          <w:p>
            <w:pPr>
              <w:spacing w:after="0"/>
              <w:rPr>
                <w:sz w:val="20"/>
                <w:szCs w:val="20"/>
                <w:color w:val="auto"/>
              </w:rPr>
            </w:pPr>
            <w:r>
              <w:rPr>
                <w:rFonts w:ascii="Times New Roman" w:cs="Times New Roman" w:eastAsia="Times New Roman" w:hAnsi="Times New Roman"/>
                <w:sz w:val="10"/>
                <w:szCs w:val="10"/>
                <w:color w:val="FFFFFF"/>
                <w:w w:val="90"/>
              </w:rPr>
              <w:t>Ownership %*</w:t>
            </w:r>
          </w:p>
        </w:tc>
        <w:tc>
          <w:tcPr>
            <w:tcW w:w="0" w:type="dxa"/>
            <w:vAlign w:val="bottom"/>
          </w:tcPr>
          <w:p>
            <w:pPr>
              <w:spacing w:after="0"/>
              <w:rPr>
                <w:sz w:val="1"/>
                <w:szCs w:val="1"/>
                <w:color w:val="auto"/>
              </w:rPr>
            </w:pPr>
          </w:p>
        </w:tc>
      </w:tr>
      <w:tr>
        <w:trPr>
          <w:trHeight w:val="95"/>
        </w:trPr>
        <w:tc>
          <w:tcPr>
            <w:tcW w:w="1100" w:type="dxa"/>
            <w:vAlign w:val="bottom"/>
            <w:tcBorders>
              <w:left w:val="single" w:sz="8" w:color="auto"/>
              <w:right w:val="single" w:sz="8" w:color="auto"/>
            </w:tcBorders>
            <w:vMerge w:val="continue"/>
            <w:shd w:val="clear" w:color="auto" w:fill="0070C0"/>
          </w:tcPr>
          <w:p>
            <w:pPr>
              <w:spacing w:after="0"/>
              <w:rPr>
                <w:sz w:val="8"/>
                <w:szCs w:val="8"/>
                <w:color w:val="auto"/>
              </w:rPr>
            </w:pPr>
          </w:p>
        </w:tc>
        <w:tc>
          <w:tcPr>
            <w:tcW w:w="80" w:type="dxa"/>
            <w:vAlign w:val="bottom"/>
            <w:tcBorders>
              <w:right w:val="single" w:sz="8" w:color="0070C0"/>
            </w:tcBorders>
            <w:shd w:val="clear" w:color="auto" w:fill="0070C0"/>
          </w:tcPr>
          <w:p>
            <w:pPr>
              <w:spacing w:after="0"/>
              <w:rPr>
                <w:sz w:val="8"/>
                <w:szCs w:val="8"/>
                <w:color w:val="auto"/>
              </w:rPr>
            </w:pPr>
          </w:p>
        </w:tc>
        <w:tc>
          <w:tcPr>
            <w:tcW w:w="680" w:type="dxa"/>
            <w:vAlign w:val="bottom"/>
            <w:tcBorders>
              <w:right w:val="single" w:sz="8" w:color="auto"/>
            </w:tcBorders>
            <w:shd w:val="clear" w:color="auto" w:fill="0070C0"/>
          </w:tcPr>
          <w:p>
            <w:pPr>
              <w:spacing w:after="0"/>
              <w:rPr>
                <w:sz w:val="8"/>
                <w:szCs w:val="8"/>
                <w:color w:val="auto"/>
              </w:rPr>
            </w:pPr>
          </w:p>
        </w:tc>
        <w:tc>
          <w:tcPr>
            <w:tcW w:w="100" w:type="dxa"/>
            <w:vAlign w:val="bottom"/>
            <w:tcBorders>
              <w:right w:val="single" w:sz="8" w:color="0070C0"/>
            </w:tcBorders>
            <w:shd w:val="clear" w:color="auto" w:fill="0070C0"/>
          </w:tcPr>
          <w:p>
            <w:pPr>
              <w:spacing w:after="0"/>
              <w:rPr>
                <w:sz w:val="8"/>
                <w:szCs w:val="8"/>
                <w:color w:val="auto"/>
              </w:rPr>
            </w:pPr>
          </w:p>
        </w:tc>
        <w:tc>
          <w:tcPr>
            <w:tcW w:w="680" w:type="dxa"/>
            <w:vAlign w:val="bottom"/>
            <w:tcBorders>
              <w:right w:val="single" w:sz="8" w:color="auto"/>
            </w:tcBorders>
            <w:vMerge w:val="continue"/>
            <w:shd w:val="clear" w:color="auto" w:fill="0070C0"/>
          </w:tcPr>
          <w:p>
            <w:pPr>
              <w:spacing w:after="0"/>
              <w:rPr>
                <w:sz w:val="8"/>
                <w:szCs w:val="8"/>
                <w:color w:val="auto"/>
              </w:rPr>
            </w:pPr>
          </w:p>
        </w:tc>
        <w:tc>
          <w:tcPr>
            <w:tcW w:w="120" w:type="dxa"/>
            <w:vAlign w:val="bottom"/>
            <w:tcBorders>
              <w:right w:val="single" w:sz="8" w:color="0070C0"/>
            </w:tcBorders>
            <w:shd w:val="clear" w:color="auto" w:fill="0070C0"/>
          </w:tcPr>
          <w:p>
            <w:pPr>
              <w:spacing w:after="0"/>
              <w:rPr>
                <w:sz w:val="8"/>
                <w:szCs w:val="8"/>
                <w:color w:val="auto"/>
              </w:rPr>
            </w:pPr>
          </w:p>
        </w:tc>
        <w:tc>
          <w:tcPr>
            <w:tcW w:w="660" w:type="dxa"/>
            <w:vAlign w:val="bottom"/>
            <w:tcBorders>
              <w:right w:val="single" w:sz="8" w:color="auto"/>
            </w:tcBorders>
            <w:vMerge w:val="continue"/>
            <w:shd w:val="clear" w:color="auto" w:fill="0070C0"/>
          </w:tcPr>
          <w:p>
            <w:pPr>
              <w:spacing w:after="0"/>
              <w:rPr>
                <w:sz w:val="8"/>
                <w:szCs w:val="8"/>
                <w:color w:val="auto"/>
              </w:rPr>
            </w:pPr>
          </w:p>
        </w:tc>
        <w:tc>
          <w:tcPr>
            <w:tcW w:w="120" w:type="dxa"/>
            <w:vAlign w:val="bottom"/>
            <w:tcBorders>
              <w:right w:val="single" w:sz="8" w:color="0070C0"/>
            </w:tcBorders>
            <w:shd w:val="clear" w:color="auto" w:fill="0070C0"/>
          </w:tcPr>
          <w:p>
            <w:pPr>
              <w:spacing w:after="0"/>
              <w:rPr>
                <w:sz w:val="8"/>
                <w:szCs w:val="8"/>
                <w:color w:val="auto"/>
              </w:rPr>
            </w:pPr>
          </w:p>
        </w:tc>
        <w:tc>
          <w:tcPr>
            <w:tcW w:w="620" w:type="dxa"/>
            <w:vAlign w:val="bottom"/>
            <w:tcBorders>
              <w:right w:val="single" w:sz="8" w:color="auto"/>
            </w:tcBorders>
            <w:vMerge w:val="continue"/>
            <w:shd w:val="clear" w:color="auto" w:fill="0070C0"/>
          </w:tcPr>
          <w:p>
            <w:pPr>
              <w:spacing w:after="0"/>
              <w:rPr>
                <w:sz w:val="8"/>
                <w:szCs w:val="8"/>
                <w:color w:val="auto"/>
              </w:rPr>
            </w:pPr>
          </w:p>
        </w:tc>
        <w:tc>
          <w:tcPr>
            <w:tcW w:w="20" w:type="dxa"/>
            <w:vAlign w:val="bottom"/>
            <w:shd w:val="clear" w:color="auto" w:fill="0070C0"/>
          </w:tcPr>
          <w:p>
            <w:pPr>
              <w:spacing w:after="0"/>
              <w:rPr>
                <w:sz w:val="8"/>
                <w:szCs w:val="8"/>
                <w:color w:val="auto"/>
              </w:rPr>
            </w:pPr>
          </w:p>
        </w:tc>
        <w:tc>
          <w:tcPr>
            <w:tcW w:w="140" w:type="dxa"/>
            <w:vAlign w:val="bottom"/>
            <w:tcBorders>
              <w:right w:val="single" w:sz="8" w:color="0070C0"/>
            </w:tcBorders>
            <w:shd w:val="clear" w:color="auto" w:fill="0070C0"/>
          </w:tcPr>
          <w:p>
            <w:pPr>
              <w:spacing w:after="0"/>
              <w:rPr>
                <w:sz w:val="8"/>
                <w:szCs w:val="8"/>
                <w:color w:val="auto"/>
              </w:rPr>
            </w:pPr>
          </w:p>
        </w:tc>
        <w:tc>
          <w:tcPr>
            <w:tcW w:w="600" w:type="dxa"/>
            <w:vAlign w:val="bottom"/>
            <w:tcBorders>
              <w:right w:val="single" w:sz="8" w:color="auto"/>
            </w:tcBorders>
            <w:shd w:val="clear" w:color="auto" w:fill="0070C0"/>
          </w:tcPr>
          <w:p>
            <w:pPr>
              <w:jc w:val="center"/>
              <w:ind w:right="129"/>
              <w:spacing w:after="0" w:line="96" w:lineRule="exact"/>
              <w:rPr>
                <w:sz w:val="20"/>
                <w:szCs w:val="20"/>
                <w:color w:val="auto"/>
              </w:rPr>
            </w:pPr>
            <w:r>
              <w:rPr>
                <w:rFonts w:ascii="Times New Roman" w:cs="Times New Roman" w:eastAsia="Times New Roman" w:hAnsi="Times New Roman"/>
                <w:sz w:val="10"/>
                <w:szCs w:val="10"/>
                <w:color w:val="FFFFFF"/>
                <w:w w:val="98"/>
              </w:rPr>
              <w:t>category</w:t>
            </w:r>
          </w:p>
        </w:tc>
        <w:tc>
          <w:tcPr>
            <w:tcW w:w="180" w:type="dxa"/>
            <w:vAlign w:val="bottom"/>
            <w:tcBorders>
              <w:right w:val="single" w:sz="8" w:color="0070C0"/>
            </w:tcBorders>
            <w:shd w:val="clear" w:color="auto" w:fill="0070C0"/>
          </w:tcPr>
          <w:p>
            <w:pPr>
              <w:spacing w:after="0"/>
              <w:rPr>
                <w:sz w:val="8"/>
                <w:szCs w:val="8"/>
                <w:color w:val="auto"/>
              </w:rPr>
            </w:pPr>
          </w:p>
        </w:tc>
        <w:tc>
          <w:tcPr>
            <w:tcW w:w="780" w:type="dxa"/>
            <w:vAlign w:val="bottom"/>
            <w:tcBorders>
              <w:right w:val="single" w:sz="8" w:color="auto"/>
            </w:tcBorders>
            <w:vMerge w:val="continue"/>
            <w:shd w:val="clear" w:color="auto" w:fill="0070C0"/>
          </w:tcPr>
          <w:p>
            <w:pPr>
              <w:spacing w:after="0"/>
              <w:rPr>
                <w:sz w:val="8"/>
                <w:szCs w:val="8"/>
                <w:color w:val="auto"/>
              </w:rPr>
            </w:pPr>
          </w:p>
        </w:tc>
        <w:tc>
          <w:tcPr>
            <w:tcW w:w="600" w:type="dxa"/>
            <w:vAlign w:val="bottom"/>
            <w:tcBorders>
              <w:right w:val="single" w:sz="8" w:color="auto"/>
            </w:tcBorders>
            <w:vMerge w:val="continue"/>
            <w:shd w:val="clear" w:color="auto" w:fill="0070C0"/>
          </w:tcPr>
          <w:p>
            <w:pPr>
              <w:spacing w:after="0"/>
              <w:rPr>
                <w:sz w:val="8"/>
                <w:szCs w:val="8"/>
                <w:color w:val="auto"/>
              </w:rPr>
            </w:pPr>
          </w:p>
        </w:tc>
        <w:tc>
          <w:tcPr>
            <w:tcW w:w="80" w:type="dxa"/>
            <w:vAlign w:val="bottom"/>
            <w:tcBorders>
              <w:right w:val="single" w:sz="8" w:color="0070C0"/>
            </w:tcBorders>
            <w:shd w:val="clear" w:color="auto" w:fill="0070C0"/>
          </w:tcPr>
          <w:p>
            <w:pPr>
              <w:spacing w:after="0"/>
              <w:rPr>
                <w:sz w:val="8"/>
                <w:szCs w:val="8"/>
                <w:color w:val="auto"/>
              </w:rPr>
            </w:pPr>
          </w:p>
        </w:tc>
        <w:tc>
          <w:tcPr>
            <w:tcW w:w="580" w:type="dxa"/>
            <w:vAlign w:val="bottom"/>
            <w:tcBorders>
              <w:right w:val="single" w:sz="8" w:color="auto"/>
            </w:tcBorders>
            <w:shd w:val="clear" w:color="auto" w:fill="0070C0"/>
          </w:tcPr>
          <w:p>
            <w:pPr>
              <w:jc w:val="center"/>
              <w:ind w:right="27"/>
              <w:spacing w:after="0" w:line="96" w:lineRule="exact"/>
              <w:rPr>
                <w:sz w:val="20"/>
                <w:szCs w:val="20"/>
                <w:color w:val="auto"/>
              </w:rPr>
            </w:pPr>
            <w:r>
              <w:rPr>
                <w:rFonts w:ascii="Times New Roman" w:cs="Times New Roman" w:eastAsia="Times New Roman" w:hAnsi="Times New Roman"/>
                <w:sz w:val="10"/>
                <w:szCs w:val="10"/>
                <w:color w:val="FFFFFF"/>
                <w:w w:val="93"/>
              </w:rPr>
              <w:t>of tax benefit</w:t>
            </w:r>
          </w:p>
        </w:tc>
        <w:tc>
          <w:tcPr>
            <w:tcW w:w="80" w:type="dxa"/>
            <w:vAlign w:val="bottom"/>
            <w:tcBorders>
              <w:right w:val="single" w:sz="8" w:color="0070C0"/>
            </w:tcBorders>
            <w:shd w:val="clear" w:color="auto" w:fill="0070C0"/>
          </w:tcPr>
          <w:p>
            <w:pPr>
              <w:spacing w:after="0"/>
              <w:rPr>
                <w:sz w:val="8"/>
                <w:szCs w:val="8"/>
                <w:color w:val="auto"/>
              </w:rPr>
            </w:pPr>
          </w:p>
        </w:tc>
        <w:tc>
          <w:tcPr>
            <w:tcW w:w="640" w:type="dxa"/>
            <w:vAlign w:val="bottom"/>
            <w:tcBorders>
              <w:right w:val="single" w:sz="8" w:color="auto"/>
            </w:tcBorders>
            <w:shd w:val="clear" w:color="auto" w:fill="0070C0"/>
          </w:tcPr>
          <w:p>
            <w:pPr>
              <w:jc w:val="center"/>
              <w:ind w:right="48"/>
              <w:spacing w:after="0" w:line="96" w:lineRule="exact"/>
              <w:rPr>
                <w:sz w:val="20"/>
                <w:szCs w:val="20"/>
                <w:color w:val="auto"/>
              </w:rPr>
            </w:pPr>
            <w:r>
              <w:rPr>
                <w:rFonts w:ascii="Times New Roman" w:cs="Times New Roman" w:eastAsia="Times New Roman" w:hAnsi="Times New Roman"/>
                <w:sz w:val="10"/>
                <w:szCs w:val="10"/>
                <w:color w:val="FFFFFF"/>
                <w:w w:val="97"/>
              </w:rPr>
              <w:t>30, 2025</w:t>
            </w:r>
          </w:p>
        </w:tc>
        <w:tc>
          <w:tcPr>
            <w:tcW w:w="660" w:type="dxa"/>
            <w:vAlign w:val="bottom"/>
            <w:tcBorders>
              <w:right w:val="single" w:sz="8" w:color="auto"/>
            </w:tcBorders>
            <w:gridSpan w:val="2"/>
            <w:vMerge w:val="continue"/>
            <w:shd w:val="clear" w:color="auto" w:fill="0070C0"/>
          </w:tcPr>
          <w:p>
            <w:pPr>
              <w:spacing w:after="0"/>
              <w:rPr>
                <w:sz w:val="8"/>
                <w:szCs w:val="8"/>
                <w:color w:val="auto"/>
              </w:rPr>
            </w:pPr>
          </w:p>
        </w:tc>
        <w:tc>
          <w:tcPr>
            <w:tcW w:w="720" w:type="dxa"/>
            <w:vAlign w:val="bottom"/>
            <w:tcBorders>
              <w:right w:val="single" w:sz="8" w:color="auto"/>
            </w:tcBorders>
            <w:gridSpan w:val="2"/>
            <w:shd w:val="clear" w:color="auto" w:fill="0070C0"/>
          </w:tcPr>
          <w:p>
            <w:pPr>
              <w:jc w:val="center"/>
              <w:spacing w:after="0" w:line="96" w:lineRule="exact"/>
              <w:rPr>
                <w:sz w:val="20"/>
                <w:szCs w:val="20"/>
                <w:color w:val="auto"/>
              </w:rPr>
            </w:pPr>
            <w:r>
              <w:rPr>
                <w:rFonts w:ascii="Times New Roman" w:cs="Times New Roman" w:eastAsia="Times New Roman" w:hAnsi="Times New Roman"/>
                <w:sz w:val="10"/>
                <w:szCs w:val="10"/>
                <w:color w:val="FFFFFF"/>
                <w:w w:val="97"/>
              </w:rPr>
              <w:t>30, 2025</w:t>
            </w:r>
          </w:p>
        </w:tc>
        <w:tc>
          <w:tcPr>
            <w:tcW w:w="780" w:type="dxa"/>
            <w:vAlign w:val="bottom"/>
            <w:tcBorders>
              <w:right w:val="single" w:sz="8" w:color="auto"/>
            </w:tcBorders>
            <w:gridSpan w:val="2"/>
            <w:vMerge w:val="continue"/>
            <w:shd w:val="clear" w:color="auto" w:fill="0070C0"/>
          </w:tcPr>
          <w:p>
            <w:pPr>
              <w:spacing w:after="0"/>
              <w:rPr>
                <w:sz w:val="8"/>
                <w:szCs w:val="8"/>
                <w:color w:val="auto"/>
              </w:rPr>
            </w:pPr>
          </w:p>
        </w:tc>
        <w:tc>
          <w:tcPr>
            <w:tcW w:w="720" w:type="dxa"/>
            <w:vAlign w:val="bottom"/>
            <w:tcBorders>
              <w:right w:val="single" w:sz="8" w:color="auto"/>
            </w:tcBorders>
            <w:shd w:val="clear" w:color="auto" w:fill="0070C0"/>
          </w:tcPr>
          <w:p>
            <w:pPr>
              <w:jc w:val="center"/>
              <w:ind w:right="8"/>
              <w:spacing w:after="0" w:line="96" w:lineRule="exact"/>
              <w:rPr>
                <w:sz w:val="20"/>
                <w:szCs w:val="20"/>
                <w:color w:val="auto"/>
              </w:rPr>
            </w:pPr>
            <w:r>
              <w:rPr>
                <w:rFonts w:ascii="Times New Roman" w:cs="Times New Roman" w:eastAsia="Times New Roman" w:hAnsi="Times New Roman"/>
                <w:sz w:val="10"/>
                <w:szCs w:val="10"/>
                <w:color w:val="FFFFFF"/>
                <w:w w:val="95"/>
              </w:rPr>
              <w:t>EBITDA****</w:t>
            </w:r>
          </w:p>
        </w:tc>
        <w:tc>
          <w:tcPr>
            <w:tcW w:w="580" w:type="dxa"/>
            <w:vAlign w:val="bottom"/>
            <w:tcBorders>
              <w:right w:val="single" w:sz="8" w:color="auto"/>
            </w:tcBorders>
            <w:vMerge w:val="continue"/>
            <w:shd w:val="clear" w:color="auto" w:fill="0070C0"/>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100" w:type="dxa"/>
            <w:vAlign w:val="bottom"/>
            <w:tcBorders>
              <w:left w:val="single" w:sz="8" w:color="auto"/>
              <w:bottom w:val="single" w:sz="8" w:color="auto"/>
              <w:right w:val="single" w:sz="8" w:color="auto"/>
            </w:tcBorders>
            <w:shd w:val="clear" w:color="auto" w:fill="0070C0"/>
          </w:tcPr>
          <w:p>
            <w:pPr>
              <w:spacing w:after="0"/>
              <w:rPr>
                <w:sz w:val="10"/>
                <w:szCs w:val="10"/>
                <w:color w:val="auto"/>
              </w:rPr>
            </w:pPr>
          </w:p>
        </w:tc>
        <w:tc>
          <w:tcPr>
            <w:tcW w:w="80" w:type="dxa"/>
            <w:vAlign w:val="bottom"/>
            <w:tcBorders>
              <w:bottom w:val="single" w:sz="8" w:color="auto"/>
              <w:right w:val="single" w:sz="8" w:color="0070C0"/>
            </w:tcBorders>
            <w:shd w:val="clear" w:color="auto" w:fill="0070C0"/>
          </w:tcPr>
          <w:p>
            <w:pPr>
              <w:spacing w:after="0"/>
              <w:rPr>
                <w:sz w:val="10"/>
                <w:szCs w:val="10"/>
                <w:color w:val="auto"/>
              </w:rPr>
            </w:pPr>
          </w:p>
        </w:tc>
        <w:tc>
          <w:tcPr>
            <w:tcW w:w="680" w:type="dxa"/>
            <w:vAlign w:val="bottom"/>
            <w:tcBorders>
              <w:bottom w:val="single" w:sz="8" w:color="auto"/>
              <w:right w:val="single" w:sz="8" w:color="auto"/>
            </w:tcBorders>
            <w:shd w:val="clear" w:color="auto" w:fill="0070C0"/>
          </w:tcPr>
          <w:p>
            <w:pPr>
              <w:spacing w:after="0"/>
              <w:rPr>
                <w:sz w:val="10"/>
                <w:szCs w:val="10"/>
                <w:color w:val="auto"/>
              </w:rPr>
            </w:pPr>
          </w:p>
        </w:tc>
        <w:tc>
          <w:tcPr>
            <w:tcW w:w="100" w:type="dxa"/>
            <w:vAlign w:val="bottom"/>
            <w:tcBorders>
              <w:bottom w:val="single" w:sz="8" w:color="auto"/>
              <w:right w:val="single" w:sz="8" w:color="0070C0"/>
            </w:tcBorders>
            <w:shd w:val="clear" w:color="auto" w:fill="0070C0"/>
          </w:tcPr>
          <w:p>
            <w:pPr>
              <w:spacing w:after="0"/>
              <w:rPr>
                <w:sz w:val="10"/>
                <w:szCs w:val="10"/>
                <w:color w:val="auto"/>
              </w:rPr>
            </w:pPr>
          </w:p>
        </w:tc>
        <w:tc>
          <w:tcPr>
            <w:tcW w:w="680" w:type="dxa"/>
            <w:vAlign w:val="bottom"/>
            <w:tcBorders>
              <w:bottom w:val="single" w:sz="8" w:color="auto"/>
              <w:right w:val="single" w:sz="8" w:color="auto"/>
            </w:tcBorders>
            <w:shd w:val="clear" w:color="auto" w:fill="0070C0"/>
          </w:tcPr>
          <w:p>
            <w:pPr>
              <w:jc w:val="center"/>
              <w:ind w:right="71"/>
              <w:spacing w:after="0"/>
              <w:rPr>
                <w:sz w:val="20"/>
                <w:szCs w:val="20"/>
                <w:color w:val="auto"/>
              </w:rPr>
            </w:pPr>
            <w:r>
              <w:rPr>
                <w:rFonts w:ascii="Times New Roman" w:cs="Times New Roman" w:eastAsia="Times New Roman" w:hAnsi="Times New Roman"/>
                <w:sz w:val="10"/>
                <w:szCs w:val="10"/>
                <w:color w:val="FFFFFF"/>
                <w:w w:val="93"/>
              </w:rPr>
              <w:t>(MW/MWh)</w:t>
            </w:r>
          </w:p>
        </w:tc>
        <w:tc>
          <w:tcPr>
            <w:tcW w:w="120" w:type="dxa"/>
            <w:vAlign w:val="bottom"/>
            <w:tcBorders>
              <w:bottom w:val="single" w:sz="8" w:color="auto"/>
              <w:right w:val="single" w:sz="8" w:color="0070C0"/>
            </w:tcBorders>
            <w:shd w:val="clear" w:color="auto" w:fill="0070C0"/>
          </w:tcPr>
          <w:p>
            <w:pPr>
              <w:spacing w:after="0"/>
              <w:rPr>
                <w:sz w:val="10"/>
                <w:szCs w:val="10"/>
                <w:color w:val="auto"/>
              </w:rPr>
            </w:pPr>
          </w:p>
        </w:tc>
        <w:tc>
          <w:tcPr>
            <w:tcW w:w="660" w:type="dxa"/>
            <w:vAlign w:val="bottom"/>
            <w:tcBorders>
              <w:bottom w:val="single" w:sz="8" w:color="auto"/>
              <w:right w:val="single" w:sz="8" w:color="auto"/>
            </w:tcBorders>
            <w:shd w:val="clear" w:color="auto" w:fill="0070C0"/>
          </w:tcPr>
          <w:p>
            <w:pPr>
              <w:spacing w:after="0"/>
              <w:rPr>
                <w:sz w:val="10"/>
                <w:szCs w:val="10"/>
                <w:color w:val="auto"/>
              </w:rPr>
            </w:pPr>
          </w:p>
        </w:tc>
        <w:tc>
          <w:tcPr>
            <w:tcW w:w="120" w:type="dxa"/>
            <w:vAlign w:val="bottom"/>
            <w:tcBorders>
              <w:bottom w:val="single" w:sz="8" w:color="auto"/>
              <w:right w:val="single" w:sz="8" w:color="0070C0"/>
            </w:tcBorders>
            <w:shd w:val="clear" w:color="auto" w:fill="0070C0"/>
          </w:tcPr>
          <w:p>
            <w:pPr>
              <w:spacing w:after="0"/>
              <w:rPr>
                <w:sz w:val="10"/>
                <w:szCs w:val="10"/>
                <w:color w:val="auto"/>
              </w:rPr>
            </w:pPr>
          </w:p>
        </w:tc>
        <w:tc>
          <w:tcPr>
            <w:tcW w:w="620" w:type="dxa"/>
            <w:vAlign w:val="bottom"/>
            <w:tcBorders>
              <w:bottom w:val="single" w:sz="8" w:color="auto"/>
              <w:right w:val="single" w:sz="8" w:color="auto"/>
            </w:tcBorders>
            <w:shd w:val="clear" w:color="auto" w:fill="0070C0"/>
          </w:tcPr>
          <w:p>
            <w:pPr>
              <w:spacing w:after="0"/>
              <w:rPr>
                <w:sz w:val="10"/>
                <w:szCs w:val="10"/>
                <w:color w:val="auto"/>
              </w:rPr>
            </w:pPr>
          </w:p>
        </w:tc>
        <w:tc>
          <w:tcPr>
            <w:tcW w:w="20" w:type="dxa"/>
            <w:vAlign w:val="bottom"/>
            <w:tcBorders>
              <w:bottom w:val="single" w:sz="8" w:color="auto"/>
            </w:tcBorders>
            <w:shd w:val="clear" w:color="auto" w:fill="0070C0"/>
          </w:tcPr>
          <w:p>
            <w:pPr>
              <w:spacing w:after="0"/>
              <w:rPr>
                <w:sz w:val="10"/>
                <w:szCs w:val="10"/>
                <w:color w:val="auto"/>
              </w:rPr>
            </w:pPr>
          </w:p>
        </w:tc>
        <w:tc>
          <w:tcPr>
            <w:tcW w:w="140" w:type="dxa"/>
            <w:vAlign w:val="bottom"/>
            <w:tcBorders>
              <w:bottom w:val="single" w:sz="8" w:color="auto"/>
              <w:right w:val="single" w:sz="8" w:color="0070C0"/>
            </w:tcBorders>
            <w:shd w:val="clear" w:color="auto" w:fill="0070C0"/>
          </w:tcPr>
          <w:p>
            <w:pPr>
              <w:spacing w:after="0"/>
              <w:rPr>
                <w:sz w:val="10"/>
                <w:szCs w:val="10"/>
                <w:color w:val="auto"/>
              </w:rPr>
            </w:pPr>
          </w:p>
        </w:tc>
        <w:tc>
          <w:tcPr>
            <w:tcW w:w="600" w:type="dxa"/>
            <w:vAlign w:val="bottom"/>
            <w:tcBorders>
              <w:bottom w:val="single" w:sz="8" w:color="auto"/>
              <w:right w:val="single" w:sz="8" w:color="auto"/>
            </w:tcBorders>
            <w:shd w:val="clear" w:color="auto" w:fill="0070C0"/>
          </w:tcPr>
          <w:p>
            <w:pPr>
              <w:spacing w:after="0"/>
              <w:rPr>
                <w:sz w:val="10"/>
                <w:szCs w:val="10"/>
                <w:color w:val="auto"/>
              </w:rPr>
            </w:pPr>
          </w:p>
        </w:tc>
        <w:tc>
          <w:tcPr>
            <w:tcW w:w="180" w:type="dxa"/>
            <w:vAlign w:val="bottom"/>
            <w:tcBorders>
              <w:bottom w:val="single" w:sz="8" w:color="auto"/>
              <w:right w:val="single" w:sz="8" w:color="0070C0"/>
            </w:tcBorders>
            <w:shd w:val="clear" w:color="auto" w:fill="0070C0"/>
          </w:tcPr>
          <w:p>
            <w:pPr>
              <w:spacing w:after="0"/>
              <w:rPr>
                <w:sz w:val="10"/>
                <w:szCs w:val="10"/>
                <w:color w:val="auto"/>
              </w:rPr>
            </w:pPr>
          </w:p>
        </w:tc>
        <w:tc>
          <w:tcPr>
            <w:tcW w:w="780" w:type="dxa"/>
            <w:vAlign w:val="bottom"/>
            <w:tcBorders>
              <w:bottom w:val="single" w:sz="8" w:color="auto"/>
              <w:right w:val="single" w:sz="8" w:color="auto"/>
            </w:tcBorders>
            <w:shd w:val="clear" w:color="auto" w:fill="0070C0"/>
          </w:tcPr>
          <w:p>
            <w:pPr>
              <w:spacing w:after="0"/>
              <w:rPr>
                <w:sz w:val="10"/>
                <w:szCs w:val="10"/>
                <w:color w:val="auto"/>
              </w:rPr>
            </w:pPr>
          </w:p>
        </w:tc>
        <w:tc>
          <w:tcPr>
            <w:tcW w:w="600" w:type="dxa"/>
            <w:vAlign w:val="bottom"/>
            <w:tcBorders>
              <w:bottom w:val="single" w:sz="8" w:color="auto"/>
              <w:right w:val="single" w:sz="8" w:color="auto"/>
            </w:tcBorders>
            <w:shd w:val="clear" w:color="auto" w:fill="0070C0"/>
          </w:tcPr>
          <w:p>
            <w:pPr>
              <w:jc w:val="center"/>
              <w:ind w:right="47"/>
              <w:spacing w:after="0"/>
              <w:rPr>
                <w:sz w:val="20"/>
                <w:szCs w:val="20"/>
                <w:color w:val="auto"/>
              </w:rPr>
            </w:pPr>
            <w:r>
              <w:rPr>
                <w:rFonts w:ascii="Times New Roman" w:cs="Times New Roman" w:eastAsia="Times New Roman" w:hAnsi="Times New Roman"/>
                <w:sz w:val="10"/>
                <w:szCs w:val="10"/>
                <w:color w:val="FFFFFF"/>
                <w:w w:val="94"/>
              </w:rPr>
              <w:t>Benefit***</w:t>
            </w:r>
          </w:p>
        </w:tc>
        <w:tc>
          <w:tcPr>
            <w:tcW w:w="80" w:type="dxa"/>
            <w:vAlign w:val="bottom"/>
            <w:tcBorders>
              <w:bottom w:val="single" w:sz="8" w:color="auto"/>
              <w:right w:val="single" w:sz="8" w:color="0070C0"/>
            </w:tcBorders>
            <w:shd w:val="clear" w:color="auto" w:fill="0070C0"/>
          </w:tcPr>
          <w:p>
            <w:pPr>
              <w:spacing w:after="0"/>
              <w:rPr>
                <w:sz w:val="10"/>
                <w:szCs w:val="10"/>
                <w:color w:val="auto"/>
              </w:rPr>
            </w:pPr>
          </w:p>
        </w:tc>
        <w:tc>
          <w:tcPr>
            <w:tcW w:w="580" w:type="dxa"/>
            <w:vAlign w:val="bottom"/>
            <w:tcBorders>
              <w:bottom w:val="single" w:sz="8" w:color="auto"/>
              <w:right w:val="single" w:sz="8" w:color="auto"/>
            </w:tcBorders>
            <w:shd w:val="clear" w:color="auto" w:fill="0070C0"/>
          </w:tcPr>
          <w:p>
            <w:pPr>
              <w:spacing w:after="0"/>
              <w:rPr>
                <w:sz w:val="10"/>
                <w:szCs w:val="10"/>
                <w:color w:val="auto"/>
              </w:rPr>
            </w:pPr>
          </w:p>
        </w:tc>
        <w:tc>
          <w:tcPr>
            <w:tcW w:w="80" w:type="dxa"/>
            <w:vAlign w:val="bottom"/>
            <w:tcBorders>
              <w:bottom w:val="single" w:sz="8" w:color="auto"/>
              <w:right w:val="single" w:sz="8" w:color="0070C0"/>
            </w:tcBorders>
            <w:shd w:val="clear" w:color="auto" w:fill="0070C0"/>
          </w:tcPr>
          <w:p>
            <w:pPr>
              <w:spacing w:after="0"/>
              <w:rPr>
                <w:sz w:val="10"/>
                <w:szCs w:val="10"/>
                <w:color w:val="auto"/>
              </w:rPr>
            </w:pPr>
          </w:p>
        </w:tc>
        <w:tc>
          <w:tcPr>
            <w:tcW w:w="640" w:type="dxa"/>
            <w:vAlign w:val="bottom"/>
            <w:tcBorders>
              <w:bottom w:val="single" w:sz="8" w:color="auto"/>
              <w:right w:val="single" w:sz="8" w:color="auto"/>
            </w:tcBorders>
            <w:shd w:val="clear" w:color="auto" w:fill="0070C0"/>
          </w:tcPr>
          <w:p>
            <w:pPr>
              <w:spacing w:after="0"/>
              <w:rPr>
                <w:sz w:val="10"/>
                <w:szCs w:val="10"/>
                <w:color w:val="auto"/>
              </w:rPr>
            </w:pPr>
          </w:p>
        </w:tc>
        <w:tc>
          <w:tcPr>
            <w:tcW w:w="100" w:type="dxa"/>
            <w:vAlign w:val="bottom"/>
            <w:tcBorders>
              <w:bottom w:val="single" w:sz="8" w:color="auto"/>
              <w:right w:val="single" w:sz="8" w:color="0070C0"/>
            </w:tcBorders>
            <w:shd w:val="clear" w:color="auto" w:fill="0070C0"/>
          </w:tcPr>
          <w:p>
            <w:pPr>
              <w:spacing w:after="0"/>
              <w:rPr>
                <w:sz w:val="10"/>
                <w:szCs w:val="10"/>
                <w:color w:val="auto"/>
              </w:rPr>
            </w:pPr>
          </w:p>
        </w:tc>
        <w:tc>
          <w:tcPr>
            <w:tcW w:w="560" w:type="dxa"/>
            <w:vAlign w:val="bottom"/>
            <w:tcBorders>
              <w:bottom w:val="single" w:sz="8" w:color="auto"/>
              <w:right w:val="single" w:sz="8" w:color="auto"/>
            </w:tcBorders>
            <w:shd w:val="clear" w:color="auto" w:fill="0070C0"/>
          </w:tcPr>
          <w:p>
            <w:pPr>
              <w:spacing w:after="0"/>
              <w:rPr>
                <w:sz w:val="10"/>
                <w:szCs w:val="10"/>
                <w:color w:val="auto"/>
              </w:rPr>
            </w:pPr>
          </w:p>
        </w:tc>
        <w:tc>
          <w:tcPr>
            <w:tcW w:w="120" w:type="dxa"/>
            <w:vAlign w:val="bottom"/>
            <w:tcBorders>
              <w:bottom w:val="single" w:sz="8" w:color="auto"/>
              <w:right w:val="single" w:sz="8" w:color="0070C0"/>
            </w:tcBorders>
            <w:shd w:val="clear" w:color="auto" w:fill="0070C0"/>
          </w:tcPr>
          <w:p>
            <w:pPr>
              <w:spacing w:after="0"/>
              <w:rPr>
                <w:sz w:val="10"/>
                <w:szCs w:val="10"/>
                <w:color w:val="auto"/>
              </w:rPr>
            </w:pPr>
          </w:p>
        </w:tc>
        <w:tc>
          <w:tcPr>
            <w:tcW w:w="600" w:type="dxa"/>
            <w:vAlign w:val="bottom"/>
            <w:tcBorders>
              <w:bottom w:val="single" w:sz="8" w:color="auto"/>
              <w:right w:val="single" w:sz="8" w:color="auto"/>
            </w:tcBorders>
            <w:shd w:val="clear" w:color="auto" w:fill="0070C0"/>
          </w:tcPr>
          <w:p>
            <w:pPr>
              <w:spacing w:after="0"/>
              <w:rPr>
                <w:sz w:val="10"/>
                <w:szCs w:val="10"/>
                <w:color w:val="auto"/>
              </w:rPr>
            </w:pPr>
          </w:p>
        </w:tc>
        <w:tc>
          <w:tcPr>
            <w:tcW w:w="120" w:type="dxa"/>
            <w:vAlign w:val="bottom"/>
            <w:tcBorders>
              <w:bottom w:val="single" w:sz="8" w:color="auto"/>
              <w:right w:val="single" w:sz="8" w:color="0070C0"/>
            </w:tcBorders>
            <w:shd w:val="clear" w:color="auto" w:fill="0070C0"/>
          </w:tcPr>
          <w:p>
            <w:pPr>
              <w:spacing w:after="0"/>
              <w:rPr>
                <w:sz w:val="10"/>
                <w:szCs w:val="10"/>
                <w:color w:val="auto"/>
              </w:rPr>
            </w:pPr>
          </w:p>
        </w:tc>
        <w:tc>
          <w:tcPr>
            <w:tcW w:w="660" w:type="dxa"/>
            <w:vAlign w:val="bottom"/>
            <w:tcBorders>
              <w:bottom w:val="single" w:sz="8" w:color="auto"/>
              <w:right w:val="single" w:sz="8" w:color="auto"/>
            </w:tcBorders>
            <w:shd w:val="clear" w:color="auto" w:fill="0070C0"/>
          </w:tcPr>
          <w:p>
            <w:pPr>
              <w:spacing w:after="0"/>
              <w:rPr>
                <w:sz w:val="10"/>
                <w:szCs w:val="10"/>
                <w:color w:val="auto"/>
              </w:rPr>
            </w:pPr>
          </w:p>
        </w:tc>
        <w:tc>
          <w:tcPr>
            <w:tcW w:w="720" w:type="dxa"/>
            <w:vAlign w:val="bottom"/>
            <w:tcBorders>
              <w:bottom w:val="single" w:sz="8" w:color="auto"/>
              <w:right w:val="single" w:sz="8" w:color="auto"/>
            </w:tcBorders>
            <w:shd w:val="clear" w:color="auto" w:fill="0070C0"/>
          </w:tcPr>
          <w:p>
            <w:pPr>
              <w:spacing w:after="0"/>
              <w:rPr>
                <w:sz w:val="10"/>
                <w:szCs w:val="10"/>
                <w:color w:val="auto"/>
              </w:rPr>
            </w:pPr>
          </w:p>
        </w:tc>
        <w:tc>
          <w:tcPr>
            <w:tcW w:w="580" w:type="dxa"/>
            <w:vAlign w:val="bottom"/>
            <w:tcBorders>
              <w:bottom w:val="single" w:sz="8" w:color="auto"/>
              <w:right w:val="single" w:sz="8" w:color="auto"/>
            </w:tcBorders>
            <w:shd w:val="clear" w:color="auto" w:fill="0070C0"/>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Country Acres</w:t>
            </w: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center"/>
              <w:ind w:right="47"/>
              <w:spacing w:after="0"/>
              <w:rPr>
                <w:sz w:val="20"/>
                <w:szCs w:val="20"/>
                <w:color w:val="auto"/>
              </w:rPr>
            </w:pPr>
            <w:r>
              <w:rPr>
                <w:rFonts w:ascii="Times New Roman" w:cs="Times New Roman" w:eastAsia="Times New Roman" w:hAnsi="Times New Roman"/>
                <w:sz w:val="11"/>
                <w:szCs w:val="11"/>
                <w:color w:val="auto"/>
                <w:w w:val="99"/>
              </w:rPr>
              <w:t>USA</w:t>
            </w:r>
          </w:p>
        </w:tc>
        <w:tc>
          <w:tcPr>
            <w:tcW w:w="7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w w:val="99"/>
              </w:rPr>
              <w:t>403/688</w:t>
            </w: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jc w:val="center"/>
              <w:ind w:right="109"/>
              <w:spacing w:after="0"/>
              <w:rPr>
                <w:sz w:val="20"/>
                <w:szCs w:val="20"/>
                <w:color w:val="auto"/>
              </w:rPr>
            </w:pPr>
            <w:r>
              <w:rPr>
                <w:rFonts w:ascii="Times New Roman" w:cs="Times New Roman" w:eastAsia="Times New Roman" w:hAnsi="Times New Roman"/>
                <w:sz w:val="11"/>
                <w:szCs w:val="11"/>
                <w:color w:val="auto"/>
                <w:w w:val="99"/>
              </w:rPr>
              <w:t>H2 2026</w:t>
            </w: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jc w:val="center"/>
              <w:ind w:right="87"/>
              <w:spacing w:after="0"/>
              <w:rPr>
                <w:sz w:val="20"/>
                <w:szCs w:val="20"/>
                <w:color w:val="auto"/>
              </w:rPr>
            </w:pPr>
            <w:r>
              <w:rPr>
                <w:rFonts w:ascii="Times New Roman" w:cs="Times New Roman" w:eastAsia="Times New Roman" w:hAnsi="Times New Roman"/>
                <w:sz w:val="11"/>
                <w:szCs w:val="11"/>
                <w:color w:val="auto"/>
                <w:w w:val="98"/>
              </w:rPr>
              <w:t>793-834</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jc w:val="center"/>
              <w:ind w:right="129"/>
              <w:spacing w:after="0"/>
              <w:rPr>
                <w:sz w:val="20"/>
                <w:szCs w:val="20"/>
                <w:color w:val="auto"/>
              </w:rPr>
            </w:pPr>
            <w:r>
              <w:rPr>
                <w:rFonts w:ascii="Times New Roman" w:cs="Times New Roman" w:eastAsia="Times New Roman" w:hAnsi="Times New Roman"/>
                <w:sz w:val="11"/>
                <w:szCs w:val="11"/>
                <w:color w:val="auto"/>
              </w:rPr>
              <w:t>ITC</w:t>
            </w: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jc w:val="center"/>
              <w:ind w:right="211"/>
              <w:spacing w:after="0"/>
              <w:rPr>
                <w:sz w:val="20"/>
                <w:szCs w:val="20"/>
                <w:color w:val="auto"/>
              </w:rPr>
            </w:pPr>
            <w:r>
              <w:rPr>
                <w:rFonts w:ascii="Times New Roman" w:cs="Times New Roman" w:eastAsia="Times New Roman" w:hAnsi="Times New Roman"/>
                <w:sz w:val="10"/>
                <w:szCs w:val="10"/>
                <w:color w:val="auto"/>
                <w:w w:val="96"/>
              </w:rPr>
              <w:t>DC (10%)</w:t>
            </w:r>
          </w:p>
        </w:tc>
        <w:tc>
          <w:tcPr>
            <w:tcW w:w="600" w:type="dxa"/>
            <w:vAlign w:val="bottom"/>
            <w:tcBorders>
              <w:bottom w:val="single" w:sz="8" w:color="auto"/>
              <w:right w:val="single" w:sz="8" w:color="auto"/>
            </w:tcBorders>
          </w:tcPr>
          <w:p>
            <w:pPr>
              <w:jc w:val="center"/>
              <w:ind w:right="27"/>
              <w:spacing w:after="0"/>
              <w:rPr>
                <w:sz w:val="20"/>
                <w:szCs w:val="20"/>
                <w:color w:val="auto"/>
              </w:rPr>
            </w:pPr>
            <w:r>
              <w:rPr>
                <w:rFonts w:ascii="Times New Roman" w:cs="Times New Roman" w:eastAsia="Times New Roman" w:hAnsi="Times New Roman"/>
                <w:sz w:val="11"/>
                <w:szCs w:val="11"/>
                <w:color w:val="auto"/>
                <w:w w:val="98"/>
              </w:rPr>
              <w:t>387-407</w:t>
            </w: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jc w:val="center"/>
              <w:ind w:right="47"/>
              <w:spacing w:after="0"/>
              <w:rPr>
                <w:sz w:val="20"/>
                <w:szCs w:val="20"/>
                <w:color w:val="auto"/>
              </w:rPr>
            </w:pPr>
            <w:r>
              <w:rPr>
                <w:rFonts w:ascii="Times New Roman" w:cs="Times New Roman" w:eastAsia="Times New Roman" w:hAnsi="Times New Roman"/>
                <w:sz w:val="11"/>
                <w:szCs w:val="11"/>
                <w:color w:val="auto"/>
                <w:w w:val="98"/>
              </w:rPr>
              <w:t>406-427</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1"/>
                <w:szCs w:val="11"/>
                <w:color w:val="auto"/>
              </w:rPr>
              <w:t>408</w:t>
            </w:r>
          </w:p>
        </w:tc>
        <w:tc>
          <w:tcPr>
            <w:tcW w:w="6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w w:val="98"/>
              </w:rPr>
              <w:t>10%</w:t>
            </w:r>
          </w:p>
        </w:tc>
        <w:tc>
          <w:tcPr>
            <w:tcW w:w="7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w w:val="90"/>
              </w:rPr>
              <w:t>91</w:t>
            </w:r>
          </w:p>
        </w:tc>
        <w:tc>
          <w:tcPr>
            <w:tcW w:w="7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w w:val="93"/>
              </w:rPr>
              <w:t>61-64</w:t>
            </w:r>
          </w:p>
        </w:tc>
        <w:tc>
          <w:tcPr>
            <w:tcW w:w="720" w:type="dxa"/>
            <w:vAlign w:val="bottom"/>
            <w:tcBorders>
              <w:bottom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1"/>
                <w:szCs w:val="11"/>
                <w:color w:val="auto"/>
              </w:rPr>
              <w:t>46-48</w:t>
            </w:r>
          </w:p>
        </w:tc>
        <w:tc>
          <w:tcPr>
            <w:tcW w:w="580" w:type="dxa"/>
            <w:vAlign w:val="bottom"/>
            <w:tcBorders>
              <w:bottom w:val="single" w:sz="8" w:color="auto"/>
              <w:right w:val="single" w:sz="8" w:color="auto"/>
            </w:tcBorders>
          </w:tcPr>
          <w:p>
            <w:pPr>
              <w:jc w:val="center"/>
              <w:ind w:right="27"/>
              <w:spacing w:after="0"/>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r>
        <w:trPr>
          <w:trHeight w:val="133"/>
        </w:trPr>
        <w:tc>
          <w:tcPr>
            <w:tcW w:w="11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Quail Ranch BESS</w:t>
            </w: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center"/>
              <w:ind w:right="47"/>
              <w:spacing w:after="0"/>
              <w:rPr>
                <w:sz w:val="20"/>
                <w:szCs w:val="20"/>
                <w:color w:val="auto"/>
              </w:rPr>
            </w:pPr>
            <w:r>
              <w:rPr>
                <w:rFonts w:ascii="Times New Roman" w:cs="Times New Roman" w:eastAsia="Times New Roman" w:hAnsi="Times New Roman"/>
                <w:sz w:val="11"/>
                <w:szCs w:val="11"/>
                <w:color w:val="auto"/>
                <w:w w:val="99"/>
              </w:rPr>
              <w:t>USA</w:t>
            </w:r>
          </w:p>
        </w:tc>
        <w:tc>
          <w:tcPr>
            <w:tcW w:w="7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w w:val="95"/>
              </w:rPr>
              <w:t>0/400</w:t>
            </w:r>
          </w:p>
        </w:tc>
        <w:tc>
          <w:tcPr>
            <w:tcW w:w="120" w:type="dxa"/>
            <w:vAlign w:val="bottom"/>
          </w:tcPr>
          <w:p>
            <w:pPr>
              <w:spacing w:after="0"/>
              <w:rPr>
                <w:sz w:val="11"/>
                <w:szCs w:val="11"/>
                <w:color w:val="auto"/>
              </w:rPr>
            </w:pPr>
          </w:p>
        </w:tc>
        <w:tc>
          <w:tcPr>
            <w:tcW w:w="660" w:type="dxa"/>
            <w:vAlign w:val="bottom"/>
            <w:tcBorders>
              <w:right w:val="single" w:sz="8" w:color="auto"/>
            </w:tcBorders>
            <w:vMerge w:val="restart"/>
          </w:tcPr>
          <w:p>
            <w:pPr>
              <w:jc w:val="center"/>
              <w:ind w:right="109"/>
              <w:spacing w:after="0"/>
              <w:rPr>
                <w:sz w:val="20"/>
                <w:szCs w:val="20"/>
                <w:color w:val="auto"/>
              </w:rPr>
            </w:pPr>
            <w:r>
              <w:rPr>
                <w:rFonts w:ascii="Times New Roman" w:cs="Times New Roman" w:eastAsia="Times New Roman" w:hAnsi="Times New Roman"/>
                <w:sz w:val="11"/>
                <w:szCs w:val="11"/>
                <w:color w:val="auto"/>
                <w:w w:val="99"/>
              </w:rPr>
              <w:t>Q4 2025</w:t>
            </w: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jc w:val="center"/>
              <w:ind w:right="87"/>
              <w:spacing w:after="0"/>
              <w:rPr>
                <w:sz w:val="20"/>
                <w:szCs w:val="20"/>
                <w:color w:val="auto"/>
              </w:rPr>
            </w:pPr>
            <w:r>
              <w:rPr>
                <w:rFonts w:ascii="Times New Roman" w:cs="Times New Roman" w:eastAsia="Times New Roman" w:hAnsi="Times New Roman"/>
                <w:sz w:val="11"/>
                <w:szCs w:val="11"/>
                <w:color w:val="auto"/>
                <w:w w:val="98"/>
              </w:rPr>
              <w:t>124-130</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jc w:val="center"/>
              <w:ind w:right="129"/>
              <w:spacing w:after="0"/>
              <w:rPr>
                <w:sz w:val="20"/>
                <w:szCs w:val="20"/>
                <w:color w:val="auto"/>
              </w:rPr>
            </w:pPr>
            <w:r>
              <w:rPr>
                <w:rFonts w:ascii="Times New Roman" w:cs="Times New Roman" w:eastAsia="Times New Roman" w:hAnsi="Times New Roman"/>
                <w:sz w:val="11"/>
                <w:szCs w:val="11"/>
                <w:color w:val="auto"/>
              </w:rPr>
              <w:t>ITC</w:t>
            </w: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jc w:val="center"/>
              <w:ind w:right="211"/>
              <w:spacing w:after="0"/>
              <w:rPr>
                <w:sz w:val="20"/>
                <w:szCs w:val="20"/>
                <w:color w:val="auto"/>
              </w:rPr>
            </w:pPr>
            <w:r>
              <w:rPr>
                <w:rFonts w:ascii="Times New Roman" w:cs="Times New Roman" w:eastAsia="Times New Roman" w:hAnsi="Times New Roman"/>
                <w:sz w:val="10"/>
                <w:szCs w:val="10"/>
                <w:color w:val="auto"/>
                <w:w w:val="99"/>
              </w:rPr>
              <w:t>EC (10%)</w:t>
            </w:r>
          </w:p>
        </w:tc>
        <w:tc>
          <w:tcPr>
            <w:tcW w:w="600" w:type="dxa"/>
            <w:vAlign w:val="bottom"/>
            <w:tcBorders>
              <w:bottom w:val="single" w:sz="8" w:color="auto"/>
              <w:right w:val="single" w:sz="8" w:color="auto"/>
            </w:tcBorders>
          </w:tcPr>
          <w:p>
            <w:pPr>
              <w:jc w:val="center"/>
              <w:ind w:right="47"/>
              <w:spacing w:after="0"/>
              <w:rPr>
                <w:sz w:val="20"/>
                <w:szCs w:val="20"/>
                <w:color w:val="auto"/>
              </w:rPr>
            </w:pPr>
            <w:r>
              <w:rPr>
                <w:rFonts w:ascii="Times New Roman" w:cs="Times New Roman" w:eastAsia="Times New Roman" w:hAnsi="Times New Roman"/>
                <w:sz w:val="11"/>
                <w:szCs w:val="11"/>
                <w:color w:val="auto"/>
              </w:rPr>
              <w:t>58-61</w:t>
            </w: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jc w:val="center"/>
              <w:ind w:right="47"/>
              <w:spacing w:after="0"/>
              <w:rPr>
                <w:sz w:val="20"/>
                <w:szCs w:val="20"/>
                <w:color w:val="auto"/>
              </w:rPr>
            </w:pPr>
            <w:r>
              <w:rPr>
                <w:rFonts w:ascii="Times New Roman" w:cs="Times New Roman" w:eastAsia="Times New Roman" w:hAnsi="Times New Roman"/>
                <w:sz w:val="11"/>
                <w:szCs w:val="11"/>
                <w:color w:val="auto"/>
                <w:w w:val="93"/>
              </w:rPr>
              <w:t>66-69</w:t>
            </w:r>
          </w:p>
        </w:tc>
        <w:tc>
          <w:tcPr>
            <w:tcW w:w="80" w:type="dxa"/>
            <w:vAlign w:val="bottom"/>
          </w:tcPr>
          <w:p>
            <w:pPr>
              <w:spacing w:after="0"/>
              <w:rPr>
                <w:sz w:val="11"/>
                <w:szCs w:val="11"/>
                <w:color w:val="auto"/>
              </w:rPr>
            </w:pPr>
          </w:p>
        </w:tc>
        <w:tc>
          <w:tcPr>
            <w:tcW w:w="640" w:type="dxa"/>
            <w:vAlign w:val="bottom"/>
            <w:tcBorders>
              <w:right w:val="single" w:sz="8" w:color="auto"/>
            </w:tcBorders>
            <w:vMerge w:val="restart"/>
          </w:tcPr>
          <w:p>
            <w:pPr>
              <w:jc w:val="center"/>
              <w:ind w:right="48"/>
              <w:spacing w:after="0"/>
              <w:rPr>
                <w:sz w:val="20"/>
                <w:szCs w:val="20"/>
                <w:color w:val="auto"/>
              </w:rPr>
            </w:pPr>
            <w:r>
              <w:rPr>
                <w:rFonts w:ascii="Times New Roman" w:cs="Times New Roman" w:eastAsia="Times New Roman" w:hAnsi="Times New Roman"/>
                <w:sz w:val="11"/>
                <w:szCs w:val="11"/>
                <w:color w:val="auto"/>
              </w:rPr>
              <w:t>222</w:t>
            </w:r>
          </w:p>
        </w:tc>
        <w:tc>
          <w:tcPr>
            <w:tcW w:w="6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5%-10%</w:t>
            </w:r>
          </w:p>
        </w:tc>
        <w:tc>
          <w:tcPr>
            <w:tcW w:w="7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27</w:t>
            </w:r>
          </w:p>
        </w:tc>
        <w:tc>
          <w:tcPr>
            <w:tcW w:w="7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1"/>
                <w:szCs w:val="11"/>
                <w:color w:val="auto"/>
                <w:w w:val="93"/>
              </w:rPr>
              <w:t>23-24</w:t>
            </w:r>
          </w:p>
        </w:tc>
        <w:tc>
          <w:tcPr>
            <w:tcW w:w="720" w:type="dxa"/>
            <w:vAlign w:val="bottom"/>
            <w:tcBorders>
              <w:right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1"/>
                <w:szCs w:val="11"/>
                <w:color w:val="auto"/>
              </w:rPr>
              <w:t>16-17</w:t>
            </w:r>
          </w:p>
        </w:tc>
        <w:tc>
          <w:tcPr>
            <w:tcW w:w="580" w:type="dxa"/>
            <w:vAlign w:val="bottom"/>
            <w:tcBorders>
              <w:bottom w:val="single" w:sz="8" w:color="auto"/>
              <w:right w:val="single" w:sz="8" w:color="auto"/>
            </w:tcBorders>
          </w:tcPr>
          <w:p>
            <w:pPr>
              <w:jc w:val="center"/>
              <w:ind w:right="27"/>
              <w:spacing w:after="0"/>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r>
        <w:trPr>
          <w:trHeight w:val="48"/>
        </w:trPr>
        <w:tc>
          <w:tcPr>
            <w:tcW w:w="110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Quail Ranch Solar</w:t>
            </w:r>
          </w:p>
        </w:tc>
        <w:tc>
          <w:tcPr>
            <w:tcW w:w="80" w:type="dxa"/>
            <w:vAlign w:val="bottom"/>
          </w:tcPr>
          <w:p>
            <w:pPr>
              <w:spacing w:after="0"/>
              <w:rPr>
                <w:sz w:val="4"/>
                <w:szCs w:val="4"/>
                <w:color w:val="auto"/>
              </w:rPr>
            </w:pPr>
          </w:p>
        </w:tc>
        <w:tc>
          <w:tcPr>
            <w:tcW w:w="680" w:type="dxa"/>
            <w:vAlign w:val="bottom"/>
            <w:tcBorders>
              <w:right w:val="single" w:sz="8" w:color="auto"/>
            </w:tcBorders>
            <w:vMerge w:val="restart"/>
          </w:tcPr>
          <w:p>
            <w:pPr>
              <w:jc w:val="center"/>
              <w:ind w:right="47"/>
              <w:spacing w:after="0"/>
              <w:rPr>
                <w:sz w:val="20"/>
                <w:szCs w:val="20"/>
                <w:color w:val="auto"/>
              </w:rPr>
            </w:pPr>
            <w:r>
              <w:rPr>
                <w:rFonts w:ascii="Times New Roman" w:cs="Times New Roman" w:eastAsia="Times New Roman" w:hAnsi="Times New Roman"/>
                <w:sz w:val="11"/>
                <w:szCs w:val="11"/>
                <w:color w:val="auto"/>
                <w:w w:val="99"/>
              </w:rPr>
              <w:t>USA</w:t>
            </w:r>
          </w:p>
        </w:tc>
        <w:tc>
          <w:tcPr>
            <w:tcW w:w="7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128/0</w:t>
            </w:r>
          </w:p>
        </w:tc>
        <w:tc>
          <w:tcPr>
            <w:tcW w:w="120" w:type="dxa"/>
            <w:vAlign w:val="bottom"/>
          </w:tcPr>
          <w:p>
            <w:pPr>
              <w:spacing w:after="0"/>
              <w:rPr>
                <w:sz w:val="4"/>
                <w:szCs w:val="4"/>
                <w:color w:val="auto"/>
              </w:rPr>
            </w:pPr>
          </w:p>
        </w:tc>
        <w:tc>
          <w:tcPr>
            <w:tcW w:w="66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Borders>
              <w:right w:val="single" w:sz="8" w:color="auto"/>
            </w:tcBorders>
            <w:vMerge w:val="restart"/>
          </w:tcPr>
          <w:p>
            <w:pPr>
              <w:jc w:val="center"/>
              <w:ind w:right="87"/>
              <w:spacing w:after="0"/>
              <w:rPr>
                <w:sz w:val="20"/>
                <w:szCs w:val="20"/>
                <w:color w:val="auto"/>
              </w:rPr>
            </w:pPr>
            <w:r>
              <w:rPr>
                <w:rFonts w:ascii="Times New Roman" w:cs="Times New Roman" w:eastAsia="Times New Roman" w:hAnsi="Times New Roman"/>
                <w:sz w:val="11"/>
                <w:szCs w:val="11"/>
                <w:color w:val="auto"/>
                <w:w w:val="98"/>
              </w:rPr>
              <w:t>143-150</w:t>
            </w: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Borders>
              <w:right w:val="single" w:sz="8" w:color="auto"/>
            </w:tcBorders>
            <w:vMerge w:val="restart"/>
          </w:tcPr>
          <w:p>
            <w:pPr>
              <w:jc w:val="center"/>
              <w:ind w:right="109"/>
              <w:spacing w:after="0"/>
              <w:rPr>
                <w:sz w:val="20"/>
                <w:szCs w:val="20"/>
                <w:color w:val="auto"/>
              </w:rPr>
            </w:pPr>
            <w:r>
              <w:rPr>
                <w:rFonts w:ascii="Times New Roman" w:cs="Times New Roman" w:eastAsia="Times New Roman" w:hAnsi="Times New Roman"/>
                <w:sz w:val="11"/>
                <w:szCs w:val="11"/>
                <w:color w:val="auto"/>
                <w:w w:val="98"/>
              </w:rPr>
              <w:t>PTC</w:t>
            </w:r>
          </w:p>
        </w:tc>
        <w:tc>
          <w:tcPr>
            <w:tcW w:w="180" w:type="dxa"/>
            <w:vAlign w:val="bottom"/>
          </w:tcPr>
          <w:p>
            <w:pPr>
              <w:spacing w:after="0"/>
              <w:rPr>
                <w:sz w:val="4"/>
                <w:szCs w:val="4"/>
                <w:color w:val="auto"/>
              </w:rPr>
            </w:pPr>
          </w:p>
        </w:tc>
        <w:tc>
          <w:tcPr>
            <w:tcW w:w="780" w:type="dxa"/>
            <w:vAlign w:val="bottom"/>
            <w:tcBorders>
              <w:right w:val="single" w:sz="8" w:color="auto"/>
            </w:tcBorders>
            <w:vMerge w:val="restart"/>
          </w:tcPr>
          <w:p>
            <w:pPr>
              <w:jc w:val="center"/>
              <w:ind w:right="211"/>
              <w:spacing w:after="0"/>
              <w:rPr>
                <w:sz w:val="20"/>
                <w:szCs w:val="20"/>
                <w:color w:val="auto"/>
              </w:rPr>
            </w:pPr>
            <w:r>
              <w:rPr>
                <w:rFonts w:ascii="Times New Roman" w:cs="Times New Roman" w:eastAsia="Times New Roman" w:hAnsi="Times New Roman"/>
                <w:sz w:val="10"/>
                <w:szCs w:val="10"/>
                <w:color w:val="auto"/>
                <w:w w:val="99"/>
              </w:rPr>
              <w:t>EC (10%)</w:t>
            </w:r>
          </w:p>
        </w:tc>
        <w:tc>
          <w:tcPr>
            <w:tcW w:w="600" w:type="dxa"/>
            <w:vAlign w:val="bottom"/>
            <w:tcBorders>
              <w:right w:val="single" w:sz="8" w:color="auto"/>
            </w:tcBorders>
            <w:vMerge w:val="restart"/>
          </w:tcPr>
          <w:p>
            <w:pPr>
              <w:jc w:val="center"/>
              <w:ind w:right="47"/>
              <w:spacing w:after="0"/>
              <w:rPr>
                <w:sz w:val="20"/>
                <w:szCs w:val="20"/>
                <w:color w:val="auto"/>
              </w:rPr>
            </w:pPr>
            <w:r>
              <w:rPr>
                <w:rFonts w:ascii="Times New Roman" w:cs="Times New Roman" w:eastAsia="Times New Roman" w:hAnsi="Times New Roman"/>
                <w:sz w:val="11"/>
                <w:szCs w:val="11"/>
                <w:color w:val="auto"/>
              </w:rPr>
              <w:t>68-72</w:t>
            </w:r>
          </w:p>
        </w:tc>
        <w:tc>
          <w:tcPr>
            <w:tcW w:w="80" w:type="dxa"/>
            <w:vAlign w:val="bottom"/>
          </w:tcPr>
          <w:p>
            <w:pPr>
              <w:spacing w:after="0"/>
              <w:rPr>
                <w:sz w:val="4"/>
                <w:szCs w:val="4"/>
                <w:color w:val="auto"/>
              </w:rPr>
            </w:pPr>
          </w:p>
        </w:tc>
        <w:tc>
          <w:tcPr>
            <w:tcW w:w="580" w:type="dxa"/>
            <w:vAlign w:val="bottom"/>
            <w:tcBorders>
              <w:right w:val="single" w:sz="8" w:color="auto"/>
            </w:tcBorders>
            <w:vMerge w:val="restart"/>
          </w:tcPr>
          <w:p>
            <w:pPr>
              <w:jc w:val="center"/>
              <w:ind w:right="47"/>
              <w:spacing w:after="0"/>
              <w:rPr>
                <w:sz w:val="20"/>
                <w:szCs w:val="20"/>
                <w:color w:val="auto"/>
              </w:rPr>
            </w:pPr>
            <w:r>
              <w:rPr>
                <w:rFonts w:ascii="Times New Roman" w:cs="Times New Roman" w:eastAsia="Times New Roman" w:hAnsi="Times New Roman"/>
                <w:sz w:val="11"/>
                <w:szCs w:val="11"/>
                <w:color w:val="auto"/>
                <w:w w:val="93"/>
              </w:rPr>
              <w:t>75-78</w:t>
            </w:r>
          </w:p>
        </w:tc>
        <w:tc>
          <w:tcPr>
            <w:tcW w:w="80" w:type="dxa"/>
            <w:vAlign w:val="bottom"/>
          </w:tcPr>
          <w:p>
            <w:pPr>
              <w:spacing w:after="0"/>
              <w:rPr>
                <w:sz w:val="4"/>
                <w:szCs w:val="4"/>
                <w:color w:val="auto"/>
              </w:rPr>
            </w:pPr>
          </w:p>
        </w:tc>
        <w:tc>
          <w:tcPr>
            <w:tcW w:w="640" w:type="dxa"/>
            <w:vAlign w:val="bottom"/>
            <w:tcBorders>
              <w:right w:val="single" w:sz="8" w:color="auto"/>
            </w:tcBorders>
            <w:vMerge w:val="continue"/>
          </w:tcPr>
          <w:p>
            <w:pPr>
              <w:spacing w:after="0"/>
              <w:rPr>
                <w:sz w:val="4"/>
                <w:szCs w:val="4"/>
                <w:color w:val="auto"/>
              </w:rPr>
            </w:pPr>
          </w:p>
        </w:tc>
        <w:tc>
          <w:tcPr>
            <w:tcW w:w="660" w:type="dxa"/>
            <w:vAlign w:val="bottom"/>
            <w:tcBorders>
              <w:right w:val="single" w:sz="8" w:color="auto"/>
            </w:tcBorders>
            <w:gridSpan w:val="2"/>
            <w:vMerge w:val="continue"/>
          </w:tcPr>
          <w:p>
            <w:pPr>
              <w:spacing w:after="0"/>
              <w:rPr>
                <w:sz w:val="4"/>
                <w:szCs w:val="4"/>
                <w:color w:val="auto"/>
              </w:rPr>
            </w:pPr>
          </w:p>
        </w:tc>
        <w:tc>
          <w:tcPr>
            <w:tcW w:w="720" w:type="dxa"/>
            <w:vAlign w:val="bottom"/>
            <w:tcBorders>
              <w:right w:val="single" w:sz="8" w:color="auto"/>
            </w:tcBorders>
            <w:gridSpan w:val="2"/>
            <w:vMerge w:val="continue"/>
          </w:tcPr>
          <w:p>
            <w:pPr>
              <w:spacing w:after="0"/>
              <w:rPr>
                <w:sz w:val="4"/>
                <w:szCs w:val="4"/>
                <w:color w:val="auto"/>
              </w:rPr>
            </w:pPr>
          </w:p>
        </w:tc>
        <w:tc>
          <w:tcPr>
            <w:tcW w:w="780" w:type="dxa"/>
            <w:vAlign w:val="bottom"/>
            <w:tcBorders>
              <w:right w:val="single" w:sz="8" w:color="auto"/>
            </w:tcBorders>
            <w:gridSpan w:val="2"/>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580" w:type="dxa"/>
            <w:vAlign w:val="bottom"/>
            <w:tcBorders>
              <w:right w:val="single" w:sz="8" w:color="auto"/>
            </w:tcBorders>
            <w:vMerge w:val="restart"/>
          </w:tcPr>
          <w:p>
            <w:pPr>
              <w:jc w:val="center"/>
              <w:ind w:right="27"/>
              <w:spacing w:after="0"/>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r>
        <w:trPr>
          <w:trHeight w:val="85"/>
        </w:trPr>
        <w:tc>
          <w:tcPr>
            <w:tcW w:w="110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right w:val="single" w:sz="8" w:color="auto"/>
            </w:tcBorders>
            <w:vMerge w:val="continue"/>
          </w:tcPr>
          <w:p>
            <w:pPr>
              <w:spacing w:after="0"/>
              <w:rPr>
                <w:sz w:val="7"/>
                <w:szCs w:val="7"/>
                <w:color w:val="auto"/>
              </w:rPr>
            </w:pPr>
          </w:p>
        </w:tc>
        <w:tc>
          <w:tcPr>
            <w:tcW w:w="780" w:type="dxa"/>
            <w:vAlign w:val="bottom"/>
            <w:tcBorders>
              <w:bottom w:val="single" w:sz="8" w:color="auto"/>
              <w:right w:val="single" w:sz="8" w:color="auto"/>
            </w:tcBorders>
            <w:gridSpan w:val="2"/>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right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right w:val="single" w:sz="8" w:color="auto"/>
            </w:tcBorders>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vMerge w:val="continue"/>
          </w:tcPr>
          <w:p>
            <w:pPr>
              <w:spacing w:after="0"/>
              <w:rPr>
                <w:sz w:val="7"/>
                <w:szCs w:val="7"/>
                <w:color w:val="auto"/>
              </w:rPr>
            </w:pPr>
          </w:p>
        </w:tc>
        <w:tc>
          <w:tcPr>
            <w:tcW w:w="600" w:type="dxa"/>
            <w:vAlign w:val="bottom"/>
            <w:tcBorders>
              <w:bottom w:val="single" w:sz="8" w:color="auto"/>
              <w:right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right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5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1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Roadrunner BESS</w:t>
            </w: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center"/>
              <w:ind w:right="47"/>
              <w:spacing w:after="0"/>
              <w:rPr>
                <w:sz w:val="20"/>
                <w:szCs w:val="20"/>
                <w:color w:val="auto"/>
              </w:rPr>
            </w:pPr>
            <w:r>
              <w:rPr>
                <w:rFonts w:ascii="Times New Roman" w:cs="Times New Roman" w:eastAsia="Times New Roman" w:hAnsi="Times New Roman"/>
                <w:sz w:val="11"/>
                <w:szCs w:val="11"/>
                <w:color w:val="auto"/>
                <w:w w:val="99"/>
              </w:rPr>
              <w:t>USA</w:t>
            </w:r>
          </w:p>
        </w:tc>
        <w:tc>
          <w:tcPr>
            <w:tcW w:w="7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w w:val="95"/>
              </w:rPr>
              <w:t>0/940</w:t>
            </w:r>
          </w:p>
        </w:tc>
        <w:tc>
          <w:tcPr>
            <w:tcW w:w="120" w:type="dxa"/>
            <w:vAlign w:val="bottom"/>
          </w:tcPr>
          <w:p>
            <w:pPr>
              <w:spacing w:after="0"/>
              <w:rPr>
                <w:sz w:val="11"/>
                <w:szCs w:val="11"/>
                <w:color w:val="auto"/>
              </w:rPr>
            </w:pPr>
          </w:p>
        </w:tc>
        <w:tc>
          <w:tcPr>
            <w:tcW w:w="660" w:type="dxa"/>
            <w:vAlign w:val="bottom"/>
            <w:tcBorders>
              <w:right w:val="single" w:sz="8" w:color="auto"/>
            </w:tcBorders>
            <w:vMerge w:val="restart"/>
          </w:tcPr>
          <w:p>
            <w:pPr>
              <w:jc w:val="center"/>
              <w:ind w:right="109"/>
              <w:spacing w:after="0"/>
              <w:rPr>
                <w:sz w:val="20"/>
                <w:szCs w:val="20"/>
                <w:color w:val="auto"/>
              </w:rPr>
            </w:pPr>
            <w:r>
              <w:rPr>
                <w:rFonts w:ascii="Times New Roman" w:cs="Times New Roman" w:eastAsia="Times New Roman" w:hAnsi="Times New Roman"/>
                <w:sz w:val="11"/>
                <w:szCs w:val="11"/>
                <w:color w:val="auto"/>
                <w:w w:val="99"/>
              </w:rPr>
              <w:t>Q4 2025</w:t>
            </w: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jc w:val="center"/>
              <w:ind w:right="87"/>
              <w:spacing w:after="0"/>
              <w:rPr>
                <w:sz w:val="20"/>
                <w:szCs w:val="20"/>
                <w:color w:val="auto"/>
              </w:rPr>
            </w:pPr>
            <w:r>
              <w:rPr>
                <w:rFonts w:ascii="Times New Roman" w:cs="Times New Roman" w:eastAsia="Times New Roman" w:hAnsi="Times New Roman"/>
                <w:sz w:val="11"/>
                <w:szCs w:val="11"/>
                <w:color w:val="auto"/>
                <w:w w:val="98"/>
              </w:rPr>
              <w:t>326-342</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jc w:val="center"/>
              <w:ind w:right="129"/>
              <w:spacing w:after="0"/>
              <w:rPr>
                <w:sz w:val="20"/>
                <w:szCs w:val="20"/>
                <w:color w:val="auto"/>
              </w:rPr>
            </w:pPr>
            <w:r>
              <w:rPr>
                <w:rFonts w:ascii="Times New Roman" w:cs="Times New Roman" w:eastAsia="Times New Roman" w:hAnsi="Times New Roman"/>
                <w:sz w:val="11"/>
                <w:szCs w:val="11"/>
                <w:color w:val="auto"/>
              </w:rPr>
              <w:t>ITC</w:t>
            </w: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jc w:val="center"/>
              <w:ind w:right="211"/>
              <w:spacing w:after="0"/>
              <w:rPr>
                <w:sz w:val="20"/>
                <w:szCs w:val="20"/>
                <w:color w:val="auto"/>
              </w:rPr>
            </w:pPr>
            <w:r>
              <w:rPr>
                <w:rFonts w:ascii="Times New Roman" w:cs="Times New Roman" w:eastAsia="Times New Roman" w:hAnsi="Times New Roman"/>
                <w:sz w:val="10"/>
                <w:szCs w:val="10"/>
                <w:color w:val="auto"/>
                <w:w w:val="99"/>
              </w:rPr>
              <w:t>EC (10%)</w:t>
            </w:r>
          </w:p>
        </w:tc>
        <w:tc>
          <w:tcPr>
            <w:tcW w:w="600" w:type="dxa"/>
            <w:vAlign w:val="bottom"/>
            <w:tcBorders>
              <w:bottom w:val="single" w:sz="8" w:color="auto"/>
              <w:right w:val="single" w:sz="8" w:color="auto"/>
            </w:tcBorders>
          </w:tcPr>
          <w:p>
            <w:pPr>
              <w:jc w:val="center"/>
              <w:ind w:right="27"/>
              <w:spacing w:after="0"/>
              <w:rPr>
                <w:sz w:val="20"/>
                <w:szCs w:val="20"/>
                <w:color w:val="auto"/>
              </w:rPr>
            </w:pPr>
            <w:r>
              <w:rPr>
                <w:rFonts w:ascii="Times New Roman" w:cs="Times New Roman" w:eastAsia="Times New Roman" w:hAnsi="Times New Roman"/>
                <w:sz w:val="11"/>
                <w:szCs w:val="11"/>
                <w:color w:val="auto"/>
                <w:w w:val="98"/>
              </w:rPr>
              <w:t>149-156</w:t>
            </w: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jc w:val="center"/>
              <w:ind w:right="47"/>
              <w:spacing w:after="0"/>
              <w:rPr>
                <w:sz w:val="20"/>
                <w:szCs w:val="20"/>
                <w:color w:val="auto"/>
              </w:rPr>
            </w:pPr>
            <w:r>
              <w:rPr>
                <w:rFonts w:ascii="Times New Roman" w:cs="Times New Roman" w:eastAsia="Times New Roman" w:hAnsi="Times New Roman"/>
                <w:sz w:val="11"/>
                <w:szCs w:val="11"/>
                <w:color w:val="auto"/>
                <w:w w:val="98"/>
              </w:rPr>
              <w:t>177-186</w:t>
            </w:r>
          </w:p>
        </w:tc>
        <w:tc>
          <w:tcPr>
            <w:tcW w:w="80" w:type="dxa"/>
            <w:vAlign w:val="bottom"/>
          </w:tcPr>
          <w:p>
            <w:pPr>
              <w:spacing w:after="0"/>
              <w:rPr>
                <w:sz w:val="11"/>
                <w:szCs w:val="11"/>
                <w:color w:val="auto"/>
              </w:rPr>
            </w:pPr>
          </w:p>
        </w:tc>
        <w:tc>
          <w:tcPr>
            <w:tcW w:w="640" w:type="dxa"/>
            <w:vAlign w:val="bottom"/>
            <w:tcBorders>
              <w:right w:val="single" w:sz="8" w:color="auto"/>
            </w:tcBorders>
            <w:vMerge w:val="restart"/>
          </w:tcPr>
          <w:p>
            <w:pPr>
              <w:jc w:val="center"/>
              <w:ind w:right="48"/>
              <w:spacing w:after="0"/>
              <w:rPr>
                <w:sz w:val="20"/>
                <w:szCs w:val="20"/>
                <w:color w:val="auto"/>
              </w:rPr>
            </w:pPr>
            <w:r>
              <w:rPr>
                <w:rFonts w:ascii="Times New Roman" w:cs="Times New Roman" w:eastAsia="Times New Roman" w:hAnsi="Times New Roman"/>
                <w:sz w:val="11"/>
                <w:szCs w:val="11"/>
                <w:color w:val="auto"/>
              </w:rPr>
              <w:t>500</w:t>
            </w:r>
          </w:p>
        </w:tc>
        <w:tc>
          <w:tcPr>
            <w:tcW w:w="6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w w:val="98"/>
              </w:rPr>
              <w:t>0%-10%</w:t>
            </w:r>
          </w:p>
        </w:tc>
        <w:tc>
          <w:tcPr>
            <w:tcW w:w="7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61</w:t>
            </w:r>
          </w:p>
        </w:tc>
        <w:tc>
          <w:tcPr>
            <w:tcW w:w="7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1"/>
                <w:szCs w:val="11"/>
                <w:color w:val="auto"/>
                <w:w w:val="93"/>
              </w:rPr>
              <w:t>52-55</w:t>
            </w:r>
          </w:p>
        </w:tc>
        <w:tc>
          <w:tcPr>
            <w:tcW w:w="720" w:type="dxa"/>
            <w:vAlign w:val="bottom"/>
            <w:tcBorders>
              <w:right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1"/>
                <w:szCs w:val="11"/>
                <w:color w:val="auto"/>
              </w:rPr>
              <w:t>40-42</w:t>
            </w:r>
          </w:p>
        </w:tc>
        <w:tc>
          <w:tcPr>
            <w:tcW w:w="580" w:type="dxa"/>
            <w:vAlign w:val="bottom"/>
            <w:tcBorders>
              <w:bottom w:val="single" w:sz="8" w:color="auto"/>
              <w:right w:val="single" w:sz="8" w:color="auto"/>
            </w:tcBorders>
          </w:tcPr>
          <w:p>
            <w:pPr>
              <w:jc w:val="center"/>
              <w:ind w:right="27"/>
              <w:spacing w:after="0"/>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r>
        <w:trPr>
          <w:trHeight w:val="48"/>
        </w:trPr>
        <w:tc>
          <w:tcPr>
            <w:tcW w:w="110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Roadrunner Solar</w:t>
            </w:r>
          </w:p>
        </w:tc>
        <w:tc>
          <w:tcPr>
            <w:tcW w:w="80" w:type="dxa"/>
            <w:vAlign w:val="bottom"/>
          </w:tcPr>
          <w:p>
            <w:pPr>
              <w:spacing w:after="0"/>
              <w:rPr>
                <w:sz w:val="4"/>
                <w:szCs w:val="4"/>
                <w:color w:val="auto"/>
              </w:rPr>
            </w:pPr>
          </w:p>
        </w:tc>
        <w:tc>
          <w:tcPr>
            <w:tcW w:w="680" w:type="dxa"/>
            <w:vAlign w:val="bottom"/>
            <w:tcBorders>
              <w:right w:val="single" w:sz="8" w:color="auto"/>
            </w:tcBorders>
            <w:vMerge w:val="restart"/>
          </w:tcPr>
          <w:p>
            <w:pPr>
              <w:jc w:val="center"/>
              <w:ind w:right="47"/>
              <w:spacing w:after="0"/>
              <w:rPr>
                <w:sz w:val="20"/>
                <w:szCs w:val="20"/>
                <w:color w:val="auto"/>
              </w:rPr>
            </w:pPr>
            <w:r>
              <w:rPr>
                <w:rFonts w:ascii="Times New Roman" w:cs="Times New Roman" w:eastAsia="Times New Roman" w:hAnsi="Times New Roman"/>
                <w:sz w:val="11"/>
                <w:szCs w:val="11"/>
                <w:color w:val="auto"/>
                <w:w w:val="99"/>
              </w:rPr>
              <w:t>USA</w:t>
            </w:r>
          </w:p>
        </w:tc>
        <w:tc>
          <w:tcPr>
            <w:tcW w:w="7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298/0</w:t>
            </w:r>
          </w:p>
        </w:tc>
        <w:tc>
          <w:tcPr>
            <w:tcW w:w="120" w:type="dxa"/>
            <w:vAlign w:val="bottom"/>
          </w:tcPr>
          <w:p>
            <w:pPr>
              <w:spacing w:after="0"/>
              <w:rPr>
                <w:sz w:val="4"/>
                <w:szCs w:val="4"/>
                <w:color w:val="auto"/>
              </w:rPr>
            </w:pPr>
          </w:p>
        </w:tc>
        <w:tc>
          <w:tcPr>
            <w:tcW w:w="66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Borders>
              <w:right w:val="single" w:sz="8" w:color="auto"/>
            </w:tcBorders>
            <w:vMerge w:val="restart"/>
          </w:tcPr>
          <w:p>
            <w:pPr>
              <w:jc w:val="center"/>
              <w:ind w:right="87"/>
              <w:spacing w:after="0"/>
              <w:rPr>
                <w:sz w:val="20"/>
                <w:szCs w:val="20"/>
                <w:color w:val="auto"/>
              </w:rPr>
            </w:pPr>
            <w:r>
              <w:rPr>
                <w:rFonts w:ascii="Times New Roman" w:cs="Times New Roman" w:eastAsia="Times New Roman" w:hAnsi="Times New Roman"/>
                <w:sz w:val="11"/>
                <w:szCs w:val="11"/>
                <w:color w:val="auto"/>
                <w:w w:val="98"/>
              </w:rPr>
              <w:t>278-292</w:t>
            </w: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Borders>
              <w:right w:val="single" w:sz="8" w:color="auto"/>
            </w:tcBorders>
            <w:vMerge w:val="restart"/>
          </w:tcPr>
          <w:p>
            <w:pPr>
              <w:jc w:val="center"/>
              <w:ind w:right="109"/>
              <w:spacing w:after="0"/>
              <w:rPr>
                <w:sz w:val="20"/>
                <w:szCs w:val="20"/>
                <w:color w:val="auto"/>
              </w:rPr>
            </w:pPr>
            <w:r>
              <w:rPr>
                <w:rFonts w:ascii="Times New Roman" w:cs="Times New Roman" w:eastAsia="Times New Roman" w:hAnsi="Times New Roman"/>
                <w:sz w:val="11"/>
                <w:szCs w:val="11"/>
                <w:color w:val="auto"/>
                <w:w w:val="98"/>
              </w:rPr>
              <w:t>PTC</w:t>
            </w:r>
          </w:p>
        </w:tc>
        <w:tc>
          <w:tcPr>
            <w:tcW w:w="180" w:type="dxa"/>
            <w:vAlign w:val="bottom"/>
          </w:tcPr>
          <w:p>
            <w:pPr>
              <w:spacing w:after="0"/>
              <w:rPr>
                <w:sz w:val="4"/>
                <w:szCs w:val="4"/>
                <w:color w:val="auto"/>
              </w:rPr>
            </w:pPr>
          </w:p>
        </w:tc>
        <w:tc>
          <w:tcPr>
            <w:tcW w:w="780" w:type="dxa"/>
            <w:vAlign w:val="bottom"/>
            <w:tcBorders>
              <w:right w:val="single" w:sz="8" w:color="auto"/>
            </w:tcBorders>
            <w:vMerge w:val="restart"/>
          </w:tcPr>
          <w:p>
            <w:pPr>
              <w:jc w:val="center"/>
              <w:ind w:right="211"/>
              <w:spacing w:after="0"/>
              <w:rPr>
                <w:sz w:val="20"/>
                <w:szCs w:val="20"/>
                <w:color w:val="auto"/>
              </w:rPr>
            </w:pPr>
            <w:r>
              <w:rPr>
                <w:rFonts w:ascii="Times New Roman" w:cs="Times New Roman" w:eastAsia="Times New Roman" w:hAnsi="Times New Roman"/>
                <w:sz w:val="10"/>
                <w:szCs w:val="10"/>
                <w:color w:val="auto"/>
                <w:w w:val="99"/>
              </w:rPr>
              <w:t>EC (10%)</w:t>
            </w:r>
          </w:p>
        </w:tc>
        <w:tc>
          <w:tcPr>
            <w:tcW w:w="600" w:type="dxa"/>
            <w:vAlign w:val="bottom"/>
            <w:tcBorders>
              <w:right w:val="single" w:sz="8" w:color="auto"/>
            </w:tcBorders>
            <w:vMerge w:val="restart"/>
          </w:tcPr>
          <w:p>
            <w:pPr>
              <w:jc w:val="center"/>
              <w:ind w:right="27"/>
              <w:spacing w:after="0"/>
              <w:rPr>
                <w:sz w:val="20"/>
                <w:szCs w:val="20"/>
                <w:color w:val="auto"/>
              </w:rPr>
            </w:pPr>
            <w:r>
              <w:rPr>
                <w:rFonts w:ascii="Times New Roman" w:cs="Times New Roman" w:eastAsia="Times New Roman" w:hAnsi="Times New Roman"/>
                <w:sz w:val="11"/>
                <w:szCs w:val="11"/>
                <w:color w:val="auto"/>
                <w:w w:val="98"/>
              </w:rPr>
              <w:t>170-178</w:t>
            </w:r>
          </w:p>
        </w:tc>
        <w:tc>
          <w:tcPr>
            <w:tcW w:w="80" w:type="dxa"/>
            <w:vAlign w:val="bottom"/>
          </w:tcPr>
          <w:p>
            <w:pPr>
              <w:spacing w:after="0"/>
              <w:rPr>
                <w:sz w:val="4"/>
                <w:szCs w:val="4"/>
                <w:color w:val="auto"/>
              </w:rPr>
            </w:pPr>
          </w:p>
        </w:tc>
        <w:tc>
          <w:tcPr>
            <w:tcW w:w="580" w:type="dxa"/>
            <w:vAlign w:val="bottom"/>
            <w:tcBorders>
              <w:right w:val="single" w:sz="8" w:color="auto"/>
            </w:tcBorders>
            <w:vMerge w:val="restart"/>
          </w:tcPr>
          <w:p>
            <w:pPr>
              <w:jc w:val="center"/>
              <w:ind w:right="47"/>
              <w:spacing w:after="0"/>
              <w:rPr>
                <w:sz w:val="20"/>
                <w:szCs w:val="20"/>
                <w:color w:val="auto"/>
              </w:rPr>
            </w:pPr>
            <w:r>
              <w:rPr>
                <w:rFonts w:ascii="Times New Roman" w:cs="Times New Roman" w:eastAsia="Times New Roman" w:hAnsi="Times New Roman"/>
                <w:sz w:val="11"/>
                <w:szCs w:val="11"/>
                <w:color w:val="auto"/>
                <w:w w:val="98"/>
              </w:rPr>
              <w:t>108-114</w:t>
            </w:r>
          </w:p>
        </w:tc>
        <w:tc>
          <w:tcPr>
            <w:tcW w:w="80" w:type="dxa"/>
            <w:vAlign w:val="bottom"/>
          </w:tcPr>
          <w:p>
            <w:pPr>
              <w:spacing w:after="0"/>
              <w:rPr>
                <w:sz w:val="4"/>
                <w:szCs w:val="4"/>
                <w:color w:val="auto"/>
              </w:rPr>
            </w:pPr>
          </w:p>
        </w:tc>
        <w:tc>
          <w:tcPr>
            <w:tcW w:w="640" w:type="dxa"/>
            <w:vAlign w:val="bottom"/>
            <w:tcBorders>
              <w:right w:val="single" w:sz="8" w:color="auto"/>
            </w:tcBorders>
            <w:vMerge w:val="continue"/>
          </w:tcPr>
          <w:p>
            <w:pPr>
              <w:spacing w:after="0"/>
              <w:rPr>
                <w:sz w:val="4"/>
                <w:szCs w:val="4"/>
                <w:color w:val="auto"/>
              </w:rPr>
            </w:pPr>
          </w:p>
        </w:tc>
        <w:tc>
          <w:tcPr>
            <w:tcW w:w="660" w:type="dxa"/>
            <w:vAlign w:val="bottom"/>
            <w:tcBorders>
              <w:right w:val="single" w:sz="8" w:color="auto"/>
            </w:tcBorders>
            <w:gridSpan w:val="2"/>
            <w:vMerge w:val="restart"/>
          </w:tcPr>
          <w:p>
            <w:pPr>
              <w:jc w:val="center"/>
              <w:spacing w:after="0" w:line="121" w:lineRule="exact"/>
              <w:rPr>
                <w:sz w:val="20"/>
                <w:szCs w:val="20"/>
                <w:color w:val="auto"/>
              </w:rPr>
            </w:pPr>
            <w:r>
              <w:rPr>
                <w:rFonts w:ascii="Times New Roman" w:cs="Times New Roman" w:eastAsia="Times New Roman" w:hAnsi="Times New Roman"/>
                <w:sz w:val="11"/>
                <w:szCs w:val="11"/>
                <w:color w:val="auto"/>
                <w:w w:val="99"/>
              </w:rPr>
              <w:t>********</w:t>
            </w:r>
          </w:p>
        </w:tc>
        <w:tc>
          <w:tcPr>
            <w:tcW w:w="720" w:type="dxa"/>
            <w:vAlign w:val="bottom"/>
            <w:tcBorders>
              <w:right w:val="single" w:sz="8" w:color="auto"/>
            </w:tcBorders>
            <w:gridSpan w:val="2"/>
            <w:vMerge w:val="continue"/>
          </w:tcPr>
          <w:p>
            <w:pPr>
              <w:spacing w:after="0"/>
              <w:rPr>
                <w:sz w:val="4"/>
                <w:szCs w:val="4"/>
                <w:color w:val="auto"/>
              </w:rPr>
            </w:pPr>
          </w:p>
        </w:tc>
        <w:tc>
          <w:tcPr>
            <w:tcW w:w="780" w:type="dxa"/>
            <w:vAlign w:val="bottom"/>
            <w:tcBorders>
              <w:right w:val="single" w:sz="8" w:color="auto"/>
            </w:tcBorders>
            <w:gridSpan w:val="2"/>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580" w:type="dxa"/>
            <w:vAlign w:val="bottom"/>
            <w:tcBorders>
              <w:right w:val="single" w:sz="8" w:color="auto"/>
            </w:tcBorders>
            <w:vMerge w:val="restart"/>
          </w:tcPr>
          <w:p>
            <w:pPr>
              <w:jc w:val="center"/>
              <w:ind w:right="27"/>
              <w:spacing w:after="0"/>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r>
        <w:trPr>
          <w:trHeight w:val="85"/>
        </w:trPr>
        <w:tc>
          <w:tcPr>
            <w:tcW w:w="110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right w:val="single" w:sz="8" w:color="auto"/>
            </w:tcBorders>
            <w:vMerge w:val="continue"/>
          </w:tcPr>
          <w:p>
            <w:pPr>
              <w:spacing w:after="0"/>
              <w:rPr>
                <w:sz w:val="7"/>
                <w:szCs w:val="7"/>
                <w:color w:val="auto"/>
              </w:rPr>
            </w:pPr>
          </w:p>
        </w:tc>
        <w:tc>
          <w:tcPr>
            <w:tcW w:w="780" w:type="dxa"/>
            <w:vAlign w:val="bottom"/>
            <w:tcBorders>
              <w:bottom w:val="single" w:sz="8" w:color="auto"/>
              <w:right w:val="single" w:sz="8" w:color="auto"/>
            </w:tcBorders>
            <w:gridSpan w:val="2"/>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right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right w:val="single" w:sz="8" w:color="auto"/>
            </w:tcBorders>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vMerge w:val="continue"/>
          </w:tcPr>
          <w:p>
            <w:pPr>
              <w:spacing w:after="0"/>
              <w:rPr>
                <w:sz w:val="7"/>
                <w:szCs w:val="7"/>
                <w:color w:val="auto"/>
              </w:rPr>
            </w:pPr>
          </w:p>
        </w:tc>
        <w:tc>
          <w:tcPr>
            <w:tcW w:w="600" w:type="dxa"/>
            <w:vAlign w:val="bottom"/>
            <w:tcBorders>
              <w:bottom w:val="single" w:sz="8" w:color="auto"/>
              <w:right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right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right w:val="single" w:sz="8" w:color="auto"/>
            </w:tcBorders>
          </w:tcPr>
          <w:p>
            <w:pPr>
              <w:spacing w:after="0"/>
              <w:rPr>
                <w:sz w:val="7"/>
                <w:szCs w:val="7"/>
                <w:color w:val="auto"/>
              </w:rPr>
            </w:pPr>
          </w:p>
        </w:tc>
        <w:tc>
          <w:tcPr>
            <w:tcW w:w="660" w:type="dxa"/>
            <w:vAlign w:val="bottom"/>
            <w:tcBorders>
              <w:bottom w:val="single" w:sz="8" w:color="auto"/>
              <w:right w:val="single" w:sz="8" w:color="auto"/>
            </w:tcBorders>
            <w:gridSpan w:val="2"/>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5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110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Snowflake A</w:t>
            </w:r>
          </w:p>
        </w:tc>
        <w:tc>
          <w:tcPr>
            <w:tcW w:w="80" w:type="dxa"/>
            <w:vAlign w:val="bottom"/>
          </w:tcPr>
          <w:p>
            <w:pPr>
              <w:spacing w:after="0"/>
              <w:rPr>
                <w:sz w:val="10"/>
                <w:szCs w:val="10"/>
                <w:color w:val="auto"/>
              </w:rPr>
            </w:pPr>
          </w:p>
        </w:tc>
        <w:tc>
          <w:tcPr>
            <w:tcW w:w="680" w:type="dxa"/>
            <w:vAlign w:val="bottom"/>
            <w:tcBorders>
              <w:right w:val="single" w:sz="8" w:color="auto"/>
            </w:tcBorders>
            <w:vMerge w:val="restart"/>
          </w:tcPr>
          <w:p>
            <w:pPr>
              <w:jc w:val="center"/>
              <w:ind w:right="47"/>
              <w:spacing w:after="0"/>
              <w:rPr>
                <w:sz w:val="20"/>
                <w:szCs w:val="20"/>
                <w:color w:val="auto"/>
              </w:rPr>
            </w:pPr>
            <w:r>
              <w:rPr>
                <w:rFonts w:ascii="Times New Roman" w:cs="Times New Roman" w:eastAsia="Times New Roman" w:hAnsi="Times New Roman"/>
                <w:sz w:val="11"/>
                <w:szCs w:val="11"/>
                <w:color w:val="auto"/>
                <w:w w:val="99"/>
              </w:rPr>
              <w:t>USA</w:t>
            </w:r>
          </w:p>
        </w:tc>
        <w:tc>
          <w:tcPr>
            <w:tcW w:w="7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600/1,900</w:t>
            </w:r>
          </w:p>
        </w:tc>
        <w:tc>
          <w:tcPr>
            <w:tcW w:w="7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2027</w:t>
            </w:r>
          </w:p>
        </w:tc>
        <w:tc>
          <w:tcPr>
            <w:tcW w:w="120" w:type="dxa"/>
            <w:vAlign w:val="bottom"/>
          </w:tcPr>
          <w:p>
            <w:pPr>
              <w:spacing w:after="0"/>
              <w:rPr>
                <w:sz w:val="10"/>
                <w:szCs w:val="10"/>
                <w:color w:val="auto"/>
              </w:rPr>
            </w:pPr>
          </w:p>
        </w:tc>
        <w:tc>
          <w:tcPr>
            <w:tcW w:w="620" w:type="dxa"/>
            <w:vAlign w:val="bottom"/>
            <w:tcBorders>
              <w:right w:val="single" w:sz="8" w:color="auto"/>
            </w:tcBorders>
            <w:vMerge w:val="restart"/>
          </w:tcPr>
          <w:p>
            <w:pPr>
              <w:jc w:val="center"/>
              <w:ind w:right="67"/>
              <w:spacing w:after="0"/>
              <w:rPr>
                <w:sz w:val="20"/>
                <w:szCs w:val="20"/>
                <w:color w:val="auto"/>
              </w:rPr>
            </w:pPr>
            <w:r>
              <w:rPr>
                <w:rFonts w:ascii="Times New Roman" w:cs="Times New Roman" w:eastAsia="Times New Roman" w:hAnsi="Times New Roman"/>
                <w:sz w:val="11"/>
                <w:szCs w:val="11"/>
                <w:color w:val="auto"/>
                <w:w w:val="93"/>
              </w:rPr>
              <w:t>1,570-1,650</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Borders>
              <w:right w:val="single" w:sz="8" w:color="auto"/>
            </w:tcBorders>
            <w:vMerge w:val="restart"/>
          </w:tcPr>
          <w:p>
            <w:pPr>
              <w:jc w:val="center"/>
              <w:ind w:right="129"/>
              <w:spacing w:after="0"/>
              <w:rPr>
                <w:sz w:val="20"/>
                <w:szCs w:val="20"/>
                <w:color w:val="auto"/>
              </w:rPr>
            </w:pPr>
            <w:r>
              <w:rPr>
                <w:rFonts w:ascii="Times New Roman" w:cs="Times New Roman" w:eastAsia="Times New Roman" w:hAnsi="Times New Roman"/>
                <w:sz w:val="11"/>
                <w:szCs w:val="11"/>
                <w:color w:val="auto"/>
              </w:rPr>
              <w:t>ITC</w:t>
            </w:r>
          </w:p>
        </w:tc>
        <w:tc>
          <w:tcPr>
            <w:tcW w:w="180" w:type="dxa"/>
            <w:vAlign w:val="bottom"/>
          </w:tcPr>
          <w:p>
            <w:pPr>
              <w:spacing w:after="0"/>
              <w:rPr>
                <w:sz w:val="10"/>
                <w:szCs w:val="10"/>
                <w:color w:val="auto"/>
              </w:rPr>
            </w:pPr>
          </w:p>
        </w:tc>
        <w:tc>
          <w:tcPr>
            <w:tcW w:w="780" w:type="dxa"/>
            <w:vAlign w:val="bottom"/>
            <w:tcBorders>
              <w:right w:val="single" w:sz="8" w:color="auto"/>
            </w:tcBorders>
          </w:tcPr>
          <w:p>
            <w:pPr>
              <w:jc w:val="center"/>
              <w:ind w:right="191"/>
              <w:spacing w:after="0"/>
              <w:rPr>
                <w:sz w:val="20"/>
                <w:szCs w:val="20"/>
                <w:color w:val="auto"/>
              </w:rPr>
            </w:pPr>
            <w:r>
              <w:rPr>
                <w:rFonts w:ascii="Times New Roman" w:cs="Times New Roman" w:eastAsia="Times New Roman" w:hAnsi="Times New Roman"/>
                <w:sz w:val="10"/>
                <w:szCs w:val="10"/>
                <w:color w:val="auto"/>
                <w:w w:val="94"/>
              </w:rPr>
              <w:t>EC (10%) +</w:t>
            </w:r>
          </w:p>
        </w:tc>
        <w:tc>
          <w:tcPr>
            <w:tcW w:w="600" w:type="dxa"/>
            <w:vAlign w:val="bottom"/>
            <w:tcBorders>
              <w:right w:val="single" w:sz="8" w:color="auto"/>
            </w:tcBorders>
            <w:vMerge w:val="restart"/>
          </w:tcPr>
          <w:p>
            <w:pPr>
              <w:jc w:val="center"/>
              <w:ind w:right="27"/>
              <w:spacing w:after="0"/>
              <w:rPr>
                <w:sz w:val="20"/>
                <w:szCs w:val="20"/>
                <w:color w:val="auto"/>
              </w:rPr>
            </w:pPr>
            <w:r>
              <w:rPr>
                <w:rFonts w:ascii="Times New Roman" w:cs="Times New Roman" w:eastAsia="Times New Roman" w:hAnsi="Times New Roman"/>
                <w:sz w:val="11"/>
                <w:szCs w:val="11"/>
                <w:color w:val="auto"/>
                <w:w w:val="98"/>
              </w:rPr>
              <w:t>786-827</w:t>
            </w:r>
          </w:p>
        </w:tc>
        <w:tc>
          <w:tcPr>
            <w:tcW w:w="80" w:type="dxa"/>
            <w:vAlign w:val="bottom"/>
          </w:tcPr>
          <w:p>
            <w:pPr>
              <w:spacing w:after="0"/>
              <w:rPr>
                <w:sz w:val="10"/>
                <w:szCs w:val="10"/>
                <w:color w:val="auto"/>
              </w:rPr>
            </w:pPr>
          </w:p>
        </w:tc>
        <w:tc>
          <w:tcPr>
            <w:tcW w:w="580" w:type="dxa"/>
            <w:vAlign w:val="bottom"/>
            <w:tcBorders>
              <w:right w:val="single" w:sz="8" w:color="auto"/>
            </w:tcBorders>
            <w:vMerge w:val="restart"/>
          </w:tcPr>
          <w:p>
            <w:pPr>
              <w:jc w:val="center"/>
              <w:ind w:right="47"/>
              <w:spacing w:after="0"/>
              <w:rPr>
                <w:sz w:val="20"/>
                <w:szCs w:val="20"/>
                <w:color w:val="auto"/>
              </w:rPr>
            </w:pPr>
            <w:r>
              <w:rPr>
                <w:rFonts w:ascii="Times New Roman" w:cs="Times New Roman" w:eastAsia="Times New Roman" w:hAnsi="Times New Roman"/>
                <w:sz w:val="11"/>
                <w:szCs w:val="11"/>
                <w:color w:val="auto"/>
                <w:w w:val="98"/>
              </w:rPr>
              <w:t>784-823</w:t>
            </w:r>
          </w:p>
        </w:tc>
        <w:tc>
          <w:tcPr>
            <w:tcW w:w="80" w:type="dxa"/>
            <w:vAlign w:val="bottom"/>
          </w:tcPr>
          <w:p>
            <w:pPr>
              <w:spacing w:after="0"/>
              <w:rPr>
                <w:sz w:val="10"/>
                <w:szCs w:val="10"/>
                <w:color w:val="auto"/>
              </w:rPr>
            </w:pPr>
          </w:p>
        </w:tc>
        <w:tc>
          <w:tcPr>
            <w:tcW w:w="640" w:type="dxa"/>
            <w:vAlign w:val="bottom"/>
            <w:tcBorders>
              <w:right w:val="single" w:sz="8" w:color="auto"/>
            </w:tcBorders>
            <w:vMerge w:val="restart"/>
          </w:tcPr>
          <w:p>
            <w:pPr>
              <w:jc w:val="center"/>
              <w:ind w:right="48"/>
              <w:spacing w:after="0"/>
              <w:rPr>
                <w:sz w:val="20"/>
                <w:szCs w:val="20"/>
                <w:color w:val="auto"/>
              </w:rPr>
            </w:pPr>
            <w:r>
              <w:rPr>
                <w:rFonts w:ascii="Times New Roman" w:cs="Times New Roman" w:eastAsia="Times New Roman" w:hAnsi="Times New Roman"/>
                <w:sz w:val="11"/>
                <w:szCs w:val="11"/>
                <w:color w:val="auto"/>
              </w:rPr>
              <w:t>104</w:t>
            </w:r>
          </w:p>
        </w:tc>
        <w:tc>
          <w:tcPr>
            <w:tcW w:w="660" w:type="dxa"/>
            <w:vAlign w:val="bottom"/>
            <w:tcBorders>
              <w:right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1"/>
                <w:szCs w:val="11"/>
                <w:color w:val="auto"/>
                <w:w w:val="98"/>
              </w:rPr>
              <w:t>0%-10%</w:t>
            </w:r>
          </w:p>
        </w:tc>
        <w:tc>
          <w:tcPr>
            <w:tcW w:w="7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1"/>
                <w:szCs w:val="11"/>
                <w:color w:val="auto"/>
              </w:rPr>
              <w:t>104</w:t>
            </w:r>
          </w:p>
        </w:tc>
        <w:tc>
          <w:tcPr>
            <w:tcW w:w="7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125-131</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101-106</w:t>
            </w:r>
          </w:p>
        </w:tc>
        <w:tc>
          <w:tcPr>
            <w:tcW w:w="580" w:type="dxa"/>
            <w:vAlign w:val="bottom"/>
            <w:tcBorders>
              <w:right w:val="single" w:sz="8" w:color="auto"/>
            </w:tcBorders>
            <w:vMerge w:val="restart"/>
          </w:tcPr>
          <w:p>
            <w:pPr>
              <w:jc w:val="center"/>
              <w:ind w:right="27"/>
              <w:spacing w:after="0"/>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r>
        <w:trPr>
          <w:trHeight w:val="73"/>
        </w:trPr>
        <w:tc>
          <w:tcPr>
            <w:tcW w:w="1100" w:type="dxa"/>
            <w:vAlign w:val="bottom"/>
            <w:tcBorders>
              <w:left w:val="single" w:sz="8" w:color="auto"/>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gridSpan w:val="2"/>
            <w:vMerge w:val="continue"/>
          </w:tcPr>
          <w:p>
            <w:pPr>
              <w:spacing w:after="0"/>
              <w:rPr>
                <w:sz w:val="6"/>
                <w:szCs w:val="6"/>
                <w:color w:val="auto"/>
              </w:rPr>
            </w:pPr>
          </w:p>
        </w:tc>
        <w:tc>
          <w:tcPr>
            <w:tcW w:w="780" w:type="dxa"/>
            <w:vAlign w:val="bottom"/>
            <w:tcBorders>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right w:val="single" w:sz="8" w:color="auto"/>
            </w:tcBorders>
            <w:vMerge w:val="continue"/>
          </w:tcPr>
          <w:p>
            <w:pPr>
              <w:spacing w:after="0"/>
              <w:rPr>
                <w:sz w:val="6"/>
                <w:szCs w:val="6"/>
                <w:color w:val="auto"/>
              </w:rPr>
            </w:pPr>
          </w:p>
        </w:tc>
        <w:tc>
          <w:tcPr>
            <w:tcW w:w="9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DC (10% BESS only)</w:t>
            </w:r>
          </w:p>
        </w:tc>
        <w:tc>
          <w:tcPr>
            <w:tcW w:w="60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w:t>
            </w:r>
          </w:p>
        </w:tc>
        <w:tc>
          <w:tcPr>
            <w:tcW w:w="720" w:type="dxa"/>
            <w:vAlign w:val="bottom"/>
            <w:tcBorders>
              <w:right w:val="single" w:sz="8" w:color="auto"/>
            </w:tcBorders>
            <w:gridSpan w:val="2"/>
            <w:vMerge w:val="continue"/>
          </w:tcPr>
          <w:p>
            <w:pPr>
              <w:spacing w:after="0"/>
              <w:rPr>
                <w:sz w:val="6"/>
                <w:szCs w:val="6"/>
                <w:color w:val="auto"/>
              </w:rPr>
            </w:pPr>
          </w:p>
        </w:tc>
        <w:tc>
          <w:tcPr>
            <w:tcW w:w="780" w:type="dxa"/>
            <w:vAlign w:val="bottom"/>
            <w:tcBorders>
              <w:right w:val="single" w:sz="8" w:color="auto"/>
            </w:tcBorders>
            <w:gridSpan w:val="2"/>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5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1100" w:type="dxa"/>
            <w:vAlign w:val="bottom"/>
            <w:tcBorders>
              <w:left w:val="single" w:sz="8" w:color="auto"/>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gridSpan w:val="2"/>
            <w:vMerge w:val="continue"/>
          </w:tcPr>
          <w:p>
            <w:pPr>
              <w:spacing w:after="0"/>
              <w:rPr>
                <w:sz w:val="6"/>
                <w:szCs w:val="6"/>
                <w:color w:val="auto"/>
              </w:rPr>
            </w:pPr>
          </w:p>
        </w:tc>
        <w:tc>
          <w:tcPr>
            <w:tcW w:w="6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right w:val="single" w:sz="8" w:color="auto"/>
            </w:tcBorders>
            <w:gridSpan w:val="2"/>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Gecama Solar</w:t>
            </w: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center"/>
              <w:ind w:right="27"/>
              <w:spacing w:after="0"/>
              <w:rPr>
                <w:sz w:val="20"/>
                <w:szCs w:val="20"/>
                <w:color w:val="auto"/>
              </w:rPr>
            </w:pPr>
            <w:r>
              <w:rPr>
                <w:rFonts w:ascii="Times New Roman" w:cs="Times New Roman" w:eastAsia="Times New Roman" w:hAnsi="Times New Roman"/>
                <w:sz w:val="11"/>
                <w:szCs w:val="11"/>
                <w:color w:val="auto"/>
                <w:w w:val="95"/>
              </w:rPr>
              <w:t>Spain</w:t>
            </w:r>
          </w:p>
        </w:tc>
        <w:tc>
          <w:tcPr>
            <w:tcW w:w="7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w w:val="99"/>
              </w:rPr>
              <w:t>225/220</w:t>
            </w: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jc w:val="center"/>
              <w:ind w:right="109"/>
              <w:spacing w:after="0"/>
              <w:rPr>
                <w:sz w:val="20"/>
                <w:szCs w:val="20"/>
                <w:color w:val="auto"/>
              </w:rPr>
            </w:pPr>
            <w:r>
              <w:rPr>
                <w:rFonts w:ascii="Times New Roman" w:cs="Times New Roman" w:eastAsia="Times New Roman" w:hAnsi="Times New Roman"/>
                <w:sz w:val="11"/>
                <w:szCs w:val="11"/>
                <w:color w:val="auto"/>
                <w:w w:val="99"/>
              </w:rPr>
              <w:t>H2 2026</w:t>
            </w: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jc w:val="center"/>
              <w:ind w:right="87"/>
              <w:spacing w:after="0"/>
              <w:rPr>
                <w:sz w:val="20"/>
                <w:szCs w:val="20"/>
                <w:color w:val="auto"/>
              </w:rPr>
            </w:pPr>
            <w:r>
              <w:rPr>
                <w:rFonts w:ascii="Times New Roman" w:cs="Times New Roman" w:eastAsia="Times New Roman" w:hAnsi="Times New Roman"/>
                <w:sz w:val="11"/>
                <w:szCs w:val="11"/>
                <w:color w:val="auto"/>
                <w:w w:val="98"/>
              </w:rPr>
              <w:t>218-229</w:t>
            </w: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right w:val="single" w:sz="8" w:color="auto"/>
            </w:tcBorders>
            <w:gridSpan w:val="2"/>
          </w:tcPr>
          <w:p>
            <w:pPr>
              <w:jc w:val="center"/>
              <w:ind w:right="31"/>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right w:val="single" w:sz="8" w:color="auto"/>
            </w:tcBorders>
          </w:tcPr>
          <w:p>
            <w:pPr>
              <w:jc w:val="center"/>
              <w:ind w:right="27"/>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jc w:val="center"/>
              <w:ind w:right="47"/>
              <w:spacing w:after="0"/>
              <w:rPr>
                <w:sz w:val="20"/>
                <w:szCs w:val="20"/>
                <w:color w:val="auto"/>
              </w:rPr>
            </w:pPr>
            <w:r>
              <w:rPr>
                <w:rFonts w:ascii="Times New Roman" w:cs="Times New Roman" w:eastAsia="Times New Roman" w:hAnsi="Times New Roman"/>
                <w:sz w:val="11"/>
                <w:szCs w:val="11"/>
                <w:color w:val="auto"/>
                <w:w w:val="98"/>
              </w:rPr>
              <w:t>218-229</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1"/>
                <w:szCs w:val="11"/>
                <w:color w:val="auto"/>
              </w:rPr>
              <w:t>158</w:t>
            </w:r>
          </w:p>
        </w:tc>
        <w:tc>
          <w:tcPr>
            <w:tcW w:w="6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w w:val="99"/>
              </w:rPr>
              <w:t>23%-28%</w:t>
            </w:r>
          </w:p>
        </w:tc>
        <w:tc>
          <w:tcPr>
            <w:tcW w:w="7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rPr>
              <w:t>158</w:t>
            </w:r>
          </w:p>
        </w:tc>
        <w:tc>
          <w:tcPr>
            <w:tcW w:w="7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w w:val="93"/>
              </w:rPr>
              <w:t>43-45</w:t>
            </w:r>
          </w:p>
        </w:tc>
        <w:tc>
          <w:tcPr>
            <w:tcW w:w="720" w:type="dxa"/>
            <w:vAlign w:val="bottom"/>
            <w:tcBorders>
              <w:bottom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1"/>
                <w:szCs w:val="11"/>
                <w:color w:val="auto"/>
              </w:rPr>
              <w:t>35-37</w:t>
            </w:r>
          </w:p>
        </w:tc>
        <w:tc>
          <w:tcPr>
            <w:tcW w:w="580" w:type="dxa"/>
            <w:vAlign w:val="bottom"/>
            <w:tcBorders>
              <w:bottom w:val="single" w:sz="8" w:color="auto"/>
              <w:right w:val="single" w:sz="8" w:color="auto"/>
            </w:tcBorders>
          </w:tcPr>
          <w:p>
            <w:pPr>
              <w:jc w:val="center"/>
              <w:ind w:right="27"/>
              <w:spacing w:after="0"/>
              <w:rPr>
                <w:sz w:val="20"/>
                <w:szCs w:val="20"/>
                <w:color w:val="auto"/>
              </w:rPr>
            </w:pPr>
            <w:r>
              <w:rPr>
                <w:rFonts w:ascii="Times New Roman" w:cs="Times New Roman" w:eastAsia="Times New Roman" w:hAnsi="Times New Roman"/>
                <w:sz w:val="11"/>
                <w:szCs w:val="11"/>
                <w:color w:val="auto"/>
                <w:w w:val="89"/>
              </w:rPr>
              <w:t>72%</w:t>
            </w:r>
          </w:p>
        </w:tc>
        <w:tc>
          <w:tcPr>
            <w:tcW w:w="0" w:type="dxa"/>
            <w:vAlign w:val="bottom"/>
          </w:tcPr>
          <w:p>
            <w:pPr>
              <w:spacing w:after="0"/>
              <w:rPr>
                <w:sz w:val="1"/>
                <w:szCs w:val="1"/>
                <w:color w:val="auto"/>
              </w:rPr>
            </w:pPr>
          </w:p>
        </w:tc>
      </w:tr>
      <w:tr>
        <w:trPr>
          <w:trHeight w:val="133"/>
        </w:trPr>
        <w:tc>
          <w:tcPr>
            <w:tcW w:w="11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Bjornberget – BESS</w:t>
            </w: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center"/>
              <w:ind w:right="47"/>
              <w:spacing w:after="0"/>
              <w:rPr>
                <w:sz w:val="20"/>
                <w:szCs w:val="20"/>
                <w:color w:val="auto"/>
              </w:rPr>
            </w:pPr>
            <w:r>
              <w:rPr>
                <w:rFonts w:ascii="Times New Roman" w:cs="Times New Roman" w:eastAsia="Times New Roman" w:hAnsi="Times New Roman"/>
                <w:sz w:val="11"/>
                <w:szCs w:val="11"/>
                <w:color w:val="auto"/>
                <w:w w:val="97"/>
              </w:rPr>
              <w:t>Sweden</w:t>
            </w:r>
          </w:p>
        </w:tc>
        <w:tc>
          <w:tcPr>
            <w:tcW w:w="7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w w:val="95"/>
              </w:rPr>
              <w:t>0/100</w:t>
            </w:r>
          </w:p>
        </w:tc>
        <w:tc>
          <w:tcPr>
            <w:tcW w:w="7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w w:val="99"/>
              </w:rPr>
              <w:t>2026</w:t>
            </w: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jc w:val="center"/>
              <w:ind w:right="87"/>
              <w:spacing w:after="0"/>
              <w:rPr>
                <w:sz w:val="20"/>
                <w:szCs w:val="20"/>
                <w:color w:val="auto"/>
              </w:rPr>
            </w:pPr>
            <w:r>
              <w:rPr>
                <w:rFonts w:ascii="Times New Roman" w:cs="Times New Roman" w:eastAsia="Times New Roman" w:hAnsi="Times New Roman"/>
                <w:sz w:val="11"/>
                <w:szCs w:val="11"/>
                <w:color w:val="auto"/>
                <w:w w:val="93"/>
              </w:rPr>
              <w:t>24-26</w:t>
            </w: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right w:val="single" w:sz="8" w:color="auto"/>
            </w:tcBorders>
            <w:gridSpan w:val="2"/>
          </w:tcPr>
          <w:p>
            <w:pPr>
              <w:jc w:val="center"/>
              <w:ind w:right="31"/>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right w:val="single" w:sz="8" w:color="auto"/>
            </w:tcBorders>
          </w:tcPr>
          <w:p>
            <w:pPr>
              <w:jc w:val="center"/>
              <w:ind w:right="27"/>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jc w:val="center"/>
              <w:ind w:right="47"/>
              <w:spacing w:after="0"/>
              <w:rPr>
                <w:sz w:val="20"/>
                <w:szCs w:val="20"/>
                <w:color w:val="auto"/>
              </w:rPr>
            </w:pPr>
            <w:r>
              <w:rPr>
                <w:rFonts w:ascii="Times New Roman" w:cs="Times New Roman" w:eastAsia="Times New Roman" w:hAnsi="Times New Roman"/>
                <w:sz w:val="11"/>
                <w:szCs w:val="11"/>
                <w:color w:val="auto"/>
                <w:w w:val="93"/>
              </w:rPr>
              <w:t>24-26</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1"/>
                <w:szCs w:val="11"/>
                <w:color w:val="auto"/>
                <w:w w:val="90"/>
              </w:rPr>
              <w:t>10</w:t>
            </w:r>
          </w:p>
        </w:tc>
        <w:tc>
          <w:tcPr>
            <w:tcW w:w="6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w w:val="93"/>
              </w:rPr>
              <w:t>100%</w:t>
            </w:r>
          </w:p>
        </w:tc>
        <w:tc>
          <w:tcPr>
            <w:tcW w:w="7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w w:val="90"/>
              </w:rPr>
              <w:t>10</w:t>
            </w:r>
          </w:p>
        </w:tc>
        <w:tc>
          <w:tcPr>
            <w:tcW w:w="7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w w:val="71"/>
              </w:rPr>
              <w:t>4</w:t>
            </w:r>
          </w:p>
        </w:tc>
        <w:tc>
          <w:tcPr>
            <w:tcW w:w="720" w:type="dxa"/>
            <w:vAlign w:val="bottom"/>
            <w:tcBorders>
              <w:bottom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1"/>
                <w:szCs w:val="11"/>
                <w:color w:val="auto"/>
              </w:rPr>
              <w:t>3</w:t>
            </w:r>
          </w:p>
        </w:tc>
        <w:tc>
          <w:tcPr>
            <w:tcW w:w="580" w:type="dxa"/>
            <w:vAlign w:val="bottom"/>
            <w:tcBorders>
              <w:bottom w:val="single" w:sz="8" w:color="auto"/>
              <w:right w:val="single" w:sz="8" w:color="auto"/>
            </w:tcBorders>
          </w:tcPr>
          <w:p>
            <w:pPr>
              <w:jc w:val="center"/>
              <w:ind w:right="27"/>
              <w:spacing w:after="0"/>
              <w:rPr>
                <w:sz w:val="20"/>
                <w:szCs w:val="20"/>
                <w:color w:val="auto"/>
              </w:rPr>
            </w:pPr>
            <w:r>
              <w:rPr>
                <w:rFonts w:ascii="Times New Roman" w:cs="Times New Roman" w:eastAsia="Times New Roman" w:hAnsi="Times New Roman"/>
                <w:sz w:val="11"/>
                <w:szCs w:val="11"/>
                <w:color w:val="auto"/>
                <w:w w:val="89"/>
              </w:rPr>
              <w:t>55%</w:t>
            </w:r>
          </w:p>
        </w:tc>
        <w:tc>
          <w:tcPr>
            <w:tcW w:w="0" w:type="dxa"/>
            <w:vAlign w:val="bottom"/>
          </w:tcPr>
          <w:p>
            <w:pPr>
              <w:spacing w:after="0"/>
              <w:rPr>
                <w:sz w:val="1"/>
                <w:szCs w:val="1"/>
                <w:color w:val="auto"/>
              </w:rPr>
            </w:pPr>
          </w:p>
        </w:tc>
      </w:tr>
      <w:tr>
        <w:trPr>
          <w:trHeight w:val="133"/>
        </w:trPr>
        <w:tc>
          <w:tcPr>
            <w:tcW w:w="11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Israel Construction</w:t>
            </w: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center"/>
              <w:ind w:right="27"/>
              <w:spacing w:after="0"/>
              <w:rPr>
                <w:sz w:val="20"/>
                <w:szCs w:val="20"/>
                <w:color w:val="auto"/>
              </w:rPr>
            </w:pPr>
            <w:r>
              <w:rPr>
                <w:rFonts w:ascii="Times New Roman" w:cs="Times New Roman" w:eastAsia="Times New Roman" w:hAnsi="Times New Roman"/>
                <w:sz w:val="11"/>
                <w:szCs w:val="11"/>
                <w:color w:val="auto"/>
                <w:w w:val="98"/>
              </w:rPr>
              <w:t>Israel</w:t>
            </w:r>
          </w:p>
        </w:tc>
        <w:tc>
          <w:tcPr>
            <w:tcW w:w="7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rPr>
              <w:t>4/47</w:t>
            </w:r>
          </w:p>
        </w:tc>
        <w:tc>
          <w:tcPr>
            <w:tcW w:w="7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color w:val="auto"/>
                <w:w w:val="96"/>
              </w:rPr>
              <w:t>Q4 2025-H2 2026</w:t>
            </w: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jc w:val="center"/>
              <w:ind w:right="87"/>
              <w:spacing w:after="0"/>
              <w:rPr>
                <w:sz w:val="20"/>
                <w:szCs w:val="20"/>
                <w:color w:val="auto"/>
              </w:rPr>
            </w:pPr>
            <w:r>
              <w:rPr>
                <w:rFonts w:ascii="Times New Roman" w:cs="Times New Roman" w:eastAsia="Times New Roman" w:hAnsi="Times New Roman"/>
                <w:sz w:val="11"/>
                <w:szCs w:val="11"/>
                <w:color w:val="auto"/>
                <w:w w:val="93"/>
              </w:rPr>
              <w:t>15-16</w:t>
            </w: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right w:val="single" w:sz="8" w:color="auto"/>
            </w:tcBorders>
            <w:gridSpan w:val="2"/>
          </w:tcPr>
          <w:p>
            <w:pPr>
              <w:jc w:val="center"/>
              <w:ind w:right="31"/>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right w:val="single" w:sz="8" w:color="auto"/>
            </w:tcBorders>
          </w:tcPr>
          <w:p>
            <w:pPr>
              <w:jc w:val="center"/>
              <w:ind w:right="27"/>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jc w:val="center"/>
              <w:ind w:right="47"/>
              <w:spacing w:after="0"/>
              <w:rPr>
                <w:sz w:val="20"/>
                <w:szCs w:val="20"/>
                <w:color w:val="auto"/>
              </w:rPr>
            </w:pPr>
            <w:r>
              <w:rPr>
                <w:rFonts w:ascii="Times New Roman" w:cs="Times New Roman" w:eastAsia="Times New Roman" w:hAnsi="Times New Roman"/>
                <w:sz w:val="11"/>
                <w:szCs w:val="11"/>
                <w:color w:val="auto"/>
                <w:w w:val="93"/>
              </w:rPr>
              <w:t>15-16</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1"/>
                <w:szCs w:val="11"/>
                <w:color w:val="auto"/>
              </w:rPr>
              <w:t>5</w:t>
            </w:r>
          </w:p>
        </w:tc>
        <w:tc>
          <w:tcPr>
            <w:tcW w:w="6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w w:val="99"/>
              </w:rPr>
              <w:t>15%-25%</w:t>
            </w:r>
          </w:p>
        </w:tc>
        <w:tc>
          <w:tcPr>
            <w:tcW w:w="7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rPr>
              <w:t>5</w:t>
            </w:r>
          </w:p>
        </w:tc>
        <w:tc>
          <w:tcPr>
            <w:tcW w:w="7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w w:val="71"/>
              </w:rPr>
              <w:t>1</w:t>
            </w:r>
          </w:p>
        </w:tc>
        <w:tc>
          <w:tcPr>
            <w:tcW w:w="720" w:type="dxa"/>
            <w:vAlign w:val="bottom"/>
            <w:tcBorders>
              <w:bottom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1"/>
                <w:szCs w:val="11"/>
                <w:color w:val="auto"/>
              </w:rPr>
              <w:t>1</w:t>
            </w:r>
          </w:p>
        </w:tc>
        <w:tc>
          <w:tcPr>
            <w:tcW w:w="580" w:type="dxa"/>
            <w:vAlign w:val="bottom"/>
            <w:tcBorders>
              <w:bottom w:val="single" w:sz="8" w:color="auto"/>
              <w:right w:val="single" w:sz="8" w:color="auto"/>
            </w:tcBorders>
          </w:tcPr>
          <w:p>
            <w:pPr>
              <w:jc w:val="center"/>
              <w:ind w:right="27"/>
              <w:spacing w:after="0"/>
              <w:rPr>
                <w:sz w:val="20"/>
                <w:szCs w:val="20"/>
                <w:color w:val="auto"/>
              </w:rPr>
            </w:pPr>
            <w:r>
              <w:rPr>
                <w:rFonts w:ascii="Times New Roman" w:cs="Times New Roman" w:eastAsia="Times New Roman" w:hAnsi="Times New Roman"/>
                <w:sz w:val="11"/>
                <w:szCs w:val="11"/>
                <w:color w:val="auto"/>
                <w:w w:val="89"/>
              </w:rPr>
              <w:t>75%</w:t>
            </w: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gridSpan w:val="2"/>
            <w:vMerge w:val="restart"/>
            <w:shd w:val="clear" w:color="auto" w:fill="92BAEA"/>
          </w:tcPr>
          <w:p>
            <w:pPr>
              <w:ind w:left="20"/>
              <w:spacing w:after="0"/>
              <w:rPr>
                <w:sz w:val="20"/>
                <w:szCs w:val="20"/>
                <w:color w:val="auto"/>
              </w:rPr>
            </w:pPr>
            <w:r>
              <w:rPr>
                <w:rFonts w:ascii="Times New Roman" w:cs="Times New Roman" w:eastAsia="Times New Roman" w:hAnsi="Times New Roman"/>
                <w:sz w:val="10"/>
                <w:szCs w:val="10"/>
                <w:b w:val="1"/>
                <w:bCs w:val="1"/>
                <w:color w:val="auto"/>
                <w:w w:val="94"/>
              </w:rPr>
              <w:t>Total Consolidated Projects</w:t>
            </w:r>
          </w:p>
        </w:tc>
        <w:tc>
          <w:tcPr>
            <w:tcW w:w="680" w:type="dxa"/>
            <w:vAlign w:val="bottom"/>
            <w:tcBorders>
              <w:right w:val="single" w:sz="8" w:color="92BAEA"/>
            </w:tcBorders>
            <w:shd w:val="clear" w:color="auto" w:fill="92BAEA"/>
          </w:tcPr>
          <w:p>
            <w:pPr>
              <w:spacing w:after="0"/>
              <w:rPr>
                <w:sz w:val="9"/>
                <w:szCs w:val="9"/>
                <w:color w:val="auto"/>
              </w:rPr>
            </w:pPr>
          </w:p>
        </w:tc>
        <w:tc>
          <w:tcPr>
            <w:tcW w:w="100" w:type="dxa"/>
            <w:vAlign w:val="bottom"/>
            <w:tcBorders>
              <w:right w:val="single" w:sz="8" w:color="auto"/>
            </w:tcBorders>
            <w:shd w:val="clear" w:color="auto" w:fill="92BAEA"/>
          </w:tcPr>
          <w:p>
            <w:pPr>
              <w:spacing w:after="0"/>
              <w:rPr>
                <w:sz w:val="9"/>
                <w:szCs w:val="9"/>
                <w:color w:val="auto"/>
              </w:rPr>
            </w:pPr>
          </w:p>
        </w:tc>
        <w:tc>
          <w:tcPr>
            <w:tcW w:w="680" w:type="dxa"/>
            <w:vAlign w:val="bottom"/>
            <w:tcBorders>
              <w:right w:val="single" w:sz="8" w:color="92BAEA"/>
            </w:tcBorders>
            <w:shd w:val="clear" w:color="auto" w:fill="92BAEA"/>
          </w:tcPr>
          <w:p>
            <w:pPr>
              <w:jc w:val="center"/>
              <w:ind w:left="51"/>
              <w:spacing w:after="0" w:line="108" w:lineRule="exact"/>
              <w:rPr>
                <w:sz w:val="20"/>
                <w:szCs w:val="20"/>
                <w:color w:val="auto"/>
              </w:rPr>
            </w:pPr>
            <w:r>
              <w:rPr>
                <w:rFonts w:ascii="Times New Roman" w:cs="Times New Roman" w:eastAsia="Times New Roman" w:hAnsi="Times New Roman"/>
                <w:sz w:val="10"/>
                <w:szCs w:val="10"/>
                <w:b w:val="1"/>
                <w:bCs w:val="1"/>
                <w:color w:val="auto"/>
              </w:rPr>
              <w:t>1,658/</w:t>
            </w:r>
          </w:p>
        </w:tc>
        <w:tc>
          <w:tcPr>
            <w:tcW w:w="120" w:type="dxa"/>
            <w:vAlign w:val="bottom"/>
            <w:tcBorders>
              <w:right w:val="single" w:sz="8" w:color="auto"/>
            </w:tcBorders>
            <w:shd w:val="clear" w:color="auto" w:fill="92BAEA"/>
          </w:tcPr>
          <w:p>
            <w:pPr>
              <w:spacing w:after="0"/>
              <w:rPr>
                <w:sz w:val="9"/>
                <w:szCs w:val="9"/>
                <w:color w:val="auto"/>
              </w:rPr>
            </w:pPr>
          </w:p>
        </w:tc>
        <w:tc>
          <w:tcPr>
            <w:tcW w:w="660" w:type="dxa"/>
            <w:vAlign w:val="bottom"/>
            <w:tcBorders>
              <w:right w:val="single" w:sz="8" w:color="92BAEA"/>
            </w:tcBorders>
            <w:shd w:val="clear" w:color="auto" w:fill="92BAEA"/>
          </w:tcPr>
          <w:p>
            <w:pPr>
              <w:spacing w:after="0"/>
              <w:rPr>
                <w:sz w:val="9"/>
                <w:szCs w:val="9"/>
                <w:color w:val="auto"/>
              </w:rPr>
            </w:pPr>
          </w:p>
        </w:tc>
        <w:tc>
          <w:tcPr>
            <w:tcW w:w="120" w:type="dxa"/>
            <w:vAlign w:val="bottom"/>
            <w:tcBorders>
              <w:right w:val="single" w:sz="8" w:color="auto"/>
            </w:tcBorders>
            <w:shd w:val="clear" w:color="auto" w:fill="92BAEA"/>
          </w:tcPr>
          <w:p>
            <w:pPr>
              <w:spacing w:after="0"/>
              <w:rPr>
                <w:sz w:val="9"/>
                <w:szCs w:val="9"/>
                <w:color w:val="auto"/>
              </w:rPr>
            </w:pPr>
          </w:p>
        </w:tc>
        <w:tc>
          <w:tcPr>
            <w:tcW w:w="780" w:type="dxa"/>
            <w:vAlign w:val="bottom"/>
            <w:tcBorders>
              <w:right w:val="single" w:sz="8" w:color="auto"/>
            </w:tcBorders>
            <w:gridSpan w:val="3"/>
            <w:vMerge w:val="restart"/>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3,491-3,669</w:t>
            </w:r>
          </w:p>
        </w:tc>
        <w:tc>
          <w:tcPr>
            <w:tcW w:w="600" w:type="dxa"/>
            <w:vAlign w:val="bottom"/>
            <w:tcBorders>
              <w:right w:val="single" w:sz="8" w:color="92BAEA"/>
            </w:tcBorders>
            <w:shd w:val="clear" w:color="auto" w:fill="92BAEA"/>
          </w:tcPr>
          <w:p>
            <w:pPr>
              <w:spacing w:after="0"/>
              <w:rPr>
                <w:sz w:val="9"/>
                <w:szCs w:val="9"/>
                <w:color w:val="auto"/>
              </w:rPr>
            </w:pPr>
          </w:p>
        </w:tc>
        <w:tc>
          <w:tcPr>
            <w:tcW w:w="180" w:type="dxa"/>
            <w:vAlign w:val="bottom"/>
            <w:tcBorders>
              <w:right w:val="single" w:sz="8" w:color="auto"/>
            </w:tcBorders>
            <w:shd w:val="clear" w:color="auto" w:fill="92BAEA"/>
          </w:tcPr>
          <w:p>
            <w:pPr>
              <w:spacing w:after="0"/>
              <w:rPr>
                <w:sz w:val="9"/>
                <w:szCs w:val="9"/>
                <w:color w:val="auto"/>
              </w:rPr>
            </w:pPr>
          </w:p>
        </w:tc>
        <w:tc>
          <w:tcPr>
            <w:tcW w:w="780" w:type="dxa"/>
            <w:vAlign w:val="bottom"/>
            <w:tcBorders>
              <w:right w:val="single" w:sz="8" w:color="auto"/>
            </w:tcBorders>
            <w:shd w:val="clear" w:color="auto" w:fill="92BAEA"/>
          </w:tcPr>
          <w:p>
            <w:pPr>
              <w:spacing w:after="0"/>
              <w:rPr>
                <w:sz w:val="9"/>
                <w:szCs w:val="9"/>
                <w:color w:val="auto"/>
              </w:rPr>
            </w:pPr>
          </w:p>
        </w:tc>
        <w:tc>
          <w:tcPr>
            <w:tcW w:w="680" w:type="dxa"/>
            <w:vAlign w:val="bottom"/>
            <w:tcBorders>
              <w:right w:val="single" w:sz="8" w:color="auto"/>
            </w:tcBorders>
            <w:gridSpan w:val="2"/>
            <w:vMerge w:val="restart"/>
            <w:shd w:val="clear" w:color="auto" w:fill="92BAEA"/>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1,618-1,701</w:t>
            </w:r>
          </w:p>
        </w:tc>
        <w:tc>
          <w:tcPr>
            <w:tcW w:w="660" w:type="dxa"/>
            <w:vAlign w:val="bottom"/>
            <w:tcBorders>
              <w:right w:val="single" w:sz="8" w:color="auto"/>
            </w:tcBorders>
            <w:gridSpan w:val="2"/>
            <w:vMerge w:val="restart"/>
            <w:shd w:val="clear" w:color="auto" w:fill="92BAEA"/>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1,873-1,968</w:t>
            </w:r>
          </w:p>
        </w:tc>
        <w:tc>
          <w:tcPr>
            <w:tcW w:w="640" w:type="dxa"/>
            <w:vAlign w:val="bottom"/>
            <w:tcBorders>
              <w:right w:val="single" w:sz="8" w:color="92BAEA"/>
            </w:tcBorders>
            <w:vMerge w:val="restart"/>
            <w:shd w:val="clear" w:color="auto" w:fill="92BAEA"/>
          </w:tcPr>
          <w:p>
            <w:pPr>
              <w:jc w:val="center"/>
              <w:ind w:left="28"/>
              <w:spacing w:after="0"/>
              <w:rPr>
                <w:sz w:val="20"/>
                <w:szCs w:val="20"/>
                <w:color w:val="auto"/>
              </w:rPr>
            </w:pPr>
            <w:r>
              <w:rPr>
                <w:rFonts w:ascii="Times New Roman" w:cs="Times New Roman" w:eastAsia="Times New Roman" w:hAnsi="Times New Roman"/>
                <w:sz w:val="11"/>
                <w:szCs w:val="11"/>
                <w:b w:val="1"/>
                <w:bCs w:val="1"/>
                <w:color w:val="auto"/>
                <w:w w:val="96"/>
              </w:rPr>
              <w:t>1,406</w:t>
            </w:r>
          </w:p>
        </w:tc>
        <w:tc>
          <w:tcPr>
            <w:tcW w:w="100" w:type="dxa"/>
            <w:vAlign w:val="bottom"/>
            <w:tcBorders>
              <w:right w:val="single" w:sz="8" w:color="auto"/>
            </w:tcBorders>
            <w:shd w:val="clear" w:color="auto" w:fill="92BAEA"/>
          </w:tcPr>
          <w:p>
            <w:pPr>
              <w:spacing w:after="0"/>
              <w:rPr>
                <w:sz w:val="9"/>
                <w:szCs w:val="9"/>
                <w:color w:val="auto"/>
              </w:rPr>
            </w:pPr>
          </w:p>
        </w:tc>
        <w:tc>
          <w:tcPr>
            <w:tcW w:w="560" w:type="dxa"/>
            <w:vAlign w:val="bottom"/>
            <w:tcBorders>
              <w:right w:val="single" w:sz="8" w:color="92BAEA"/>
            </w:tcBorders>
            <w:shd w:val="clear" w:color="auto" w:fill="92BAEA"/>
          </w:tcPr>
          <w:p>
            <w:pPr>
              <w:spacing w:after="0"/>
              <w:rPr>
                <w:sz w:val="9"/>
                <w:szCs w:val="9"/>
                <w:color w:val="auto"/>
              </w:rPr>
            </w:pPr>
          </w:p>
        </w:tc>
        <w:tc>
          <w:tcPr>
            <w:tcW w:w="120" w:type="dxa"/>
            <w:vAlign w:val="bottom"/>
            <w:tcBorders>
              <w:right w:val="single" w:sz="8" w:color="auto"/>
            </w:tcBorders>
            <w:shd w:val="clear" w:color="auto" w:fill="92BAEA"/>
          </w:tcPr>
          <w:p>
            <w:pPr>
              <w:spacing w:after="0"/>
              <w:rPr>
                <w:sz w:val="9"/>
                <w:szCs w:val="9"/>
                <w:color w:val="auto"/>
              </w:rPr>
            </w:pPr>
          </w:p>
        </w:tc>
        <w:tc>
          <w:tcPr>
            <w:tcW w:w="600" w:type="dxa"/>
            <w:vAlign w:val="bottom"/>
            <w:tcBorders>
              <w:right w:val="single" w:sz="8" w:color="92BAEA"/>
            </w:tcBorders>
            <w:vMerge w:val="restart"/>
            <w:shd w:val="clear" w:color="auto" w:fill="92BAEA"/>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6"/>
              </w:rPr>
              <w:t>455</w:t>
            </w:r>
          </w:p>
        </w:tc>
        <w:tc>
          <w:tcPr>
            <w:tcW w:w="120" w:type="dxa"/>
            <w:vAlign w:val="bottom"/>
            <w:tcBorders>
              <w:right w:val="single" w:sz="8" w:color="auto"/>
            </w:tcBorders>
            <w:shd w:val="clear" w:color="auto" w:fill="92BAEA"/>
          </w:tcPr>
          <w:p>
            <w:pPr>
              <w:spacing w:after="0"/>
              <w:rPr>
                <w:sz w:val="9"/>
                <w:szCs w:val="9"/>
                <w:color w:val="auto"/>
              </w:rPr>
            </w:pPr>
          </w:p>
        </w:tc>
        <w:tc>
          <w:tcPr>
            <w:tcW w:w="660" w:type="dxa"/>
            <w:vAlign w:val="bottom"/>
            <w:tcBorders>
              <w:right w:val="single" w:sz="8" w:color="auto"/>
            </w:tcBorders>
            <w:vMerge w:val="restart"/>
            <w:shd w:val="clear" w:color="auto" w:fill="92BAEA"/>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309-324</w:t>
            </w:r>
          </w:p>
        </w:tc>
        <w:tc>
          <w:tcPr>
            <w:tcW w:w="720" w:type="dxa"/>
            <w:vAlign w:val="bottom"/>
            <w:tcBorders>
              <w:right w:val="single" w:sz="8" w:color="auto"/>
            </w:tcBorders>
            <w:vMerge w:val="restart"/>
            <w:shd w:val="clear" w:color="auto" w:fill="92BAEA"/>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242-254</w:t>
            </w:r>
          </w:p>
        </w:tc>
        <w:tc>
          <w:tcPr>
            <w:tcW w:w="580" w:type="dxa"/>
            <w:vAlign w:val="bottom"/>
            <w:tcBorders>
              <w:right w:val="single" w:sz="8" w:color="auto"/>
            </w:tcBorders>
            <w:shd w:val="clear" w:color="auto" w:fill="92BAEA"/>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80" w:type="dxa"/>
            <w:vAlign w:val="bottom"/>
            <w:tcBorders>
              <w:left w:val="single" w:sz="8" w:color="auto"/>
              <w:bottom w:val="single" w:sz="8" w:color="92BAEA"/>
              <w:right w:val="single" w:sz="8" w:color="auto"/>
            </w:tcBorders>
            <w:gridSpan w:val="2"/>
            <w:vMerge w:val="continue"/>
            <w:shd w:val="clear" w:color="auto" w:fill="92BAEA"/>
          </w:tcPr>
          <w:p>
            <w:pPr>
              <w:spacing w:after="0"/>
              <w:rPr>
                <w:sz w:val="11"/>
                <w:szCs w:val="11"/>
                <w:color w:val="auto"/>
              </w:rPr>
            </w:pPr>
          </w:p>
        </w:tc>
        <w:tc>
          <w:tcPr>
            <w:tcW w:w="680" w:type="dxa"/>
            <w:vAlign w:val="bottom"/>
            <w:tcBorders>
              <w:bottom w:val="single" w:sz="8" w:color="92BAEA"/>
              <w:right w:val="single" w:sz="8" w:color="92BAEA"/>
            </w:tcBorders>
            <w:shd w:val="clear" w:color="auto" w:fill="92BAEA"/>
          </w:tcPr>
          <w:p>
            <w:pPr>
              <w:spacing w:after="0"/>
              <w:rPr>
                <w:sz w:val="11"/>
                <w:szCs w:val="11"/>
                <w:color w:val="auto"/>
              </w:rPr>
            </w:pPr>
          </w:p>
        </w:tc>
        <w:tc>
          <w:tcPr>
            <w:tcW w:w="100" w:type="dxa"/>
            <w:vAlign w:val="bottom"/>
            <w:tcBorders>
              <w:bottom w:val="single" w:sz="8" w:color="92BAEA"/>
              <w:right w:val="single" w:sz="8" w:color="auto"/>
            </w:tcBorders>
            <w:shd w:val="clear" w:color="auto" w:fill="92BAEA"/>
          </w:tcPr>
          <w:p>
            <w:pPr>
              <w:spacing w:after="0"/>
              <w:rPr>
                <w:sz w:val="11"/>
                <w:szCs w:val="11"/>
                <w:color w:val="auto"/>
              </w:rPr>
            </w:pPr>
          </w:p>
        </w:tc>
        <w:tc>
          <w:tcPr>
            <w:tcW w:w="680" w:type="dxa"/>
            <w:vAlign w:val="bottom"/>
            <w:tcBorders>
              <w:bottom w:val="single" w:sz="8" w:color="92BAEA"/>
              <w:right w:val="single" w:sz="8" w:color="92BAEA"/>
            </w:tcBorders>
            <w:shd w:val="clear" w:color="auto" w:fill="92BAEA"/>
          </w:tcPr>
          <w:p>
            <w:pPr>
              <w:jc w:val="center"/>
              <w:ind w:left="51"/>
              <w:spacing w:after="0"/>
              <w:rPr>
                <w:sz w:val="20"/>
                <w:szCs w:val="20"/>
                <w:color w:val="auto"/>
              </w:rPr>
            </w:pPr>
            <w:r>
              <w:rPr>
                <w:rFonts w:ascii="Times New Roman" w:cs="Times New Roman" w:eastAsia="Times New Roman" w:hAnsi="Times New Roman"/>
                <w:sz w:val="10"/>
                <w:szCs w:val="10"/>
                <w:b w:val="1"/>
                <w:bCs w:val="1"/>
                <w:color w:val="auto"/>
                <w:w w:val="97"/>
              </w:rPr>
              <w:t>4,295</w:t>
            </w:r>
          </w:p>
        </w:tc>
        <w:tc>
          <w:tcPr>
            <w:tcW w:w="120" w:type="dxa"/>
            <w:vAlign w:val="bottom"/>
            <w:tcBorders>
              <w:bottom w:val="single" w:sz="8" w:color="92BAEA"/>
              <w:right w:val="single" w:sz="8" w:color="auto"/>
            </w:tcBorders>
            <w:shd w:val="clear" w:color="auto" w:fill="92BAEA"/>
          </w:tcPr>
          <w:p>
            <w:pPr>
              <w:spacing w:after="0"/>
              <w:rPr>
                <w:sz w:val="11"/>
                <w:szCs w:val="11"/>
                <w:color w:val="auto"/>
              </w:rPr>
            </w:pPr>
          </w:p>
        </w:tc>
        <w:tc>
          <w:tcPr>
            <w:tcW w:w="660" w:type="dxa"/>
            <w:vAlign w:val="bottom"/>
            <w:tcBorders>
              <w:bottom w:val="single" w:sz="8" w:color="92BAEA"/>
              <w:right w:val="single" w:sz="8" w:color="92BAEA"/>
            </w:tcBorders>
            <w:shd w:val="clear" w:color="auto" w:fill="92BAEA"/>
          </w:tcPr>
          <w:p>
            <w:pPr>
              <w:spacing w:after="0"/>
              <w:rPr>
                <w:sz w:val="11"/>
                <w:szCs w:val="11"/>
                <w:color w:val="auto"/>
              </w:rPr>
            </w:pPr>
          </w:p>
        </w:tc>
        <w:tc>
          <w:tcPr>
            <w:tcW w:w="120" w:type="dxa"/>
            <w:vAlign w:val="bottom"/>
            <w:tcBorders>
              <w:bottom w:val="single" w:sz="8" w:color="92BAEA"/>
              <w:right w:val="single" w:sz="8" w:color="auto"/>
            </w:tcBorders>
            <w:shd w:val="clear" w:color="auto" w:fill="92BAEA"/>
          </w:tcPr>
          <w:p>
            <w:pPr>
              <w:spacing w:after="0"/>
              <w:rPr>
                <w:sz w:val="11"/>
                <w:szCs w:val="11"/>
                <w:color w:val="auto"/>
              </w:rPr>
            </w:pPr>
          </w:p>
        </w:tc>
        <w:tc>
          <w:tcPr>
            <w:tcW w:w="780" w:type="dxa"/>
            <w:vAlign w:val="bottom"/>
            <w:tcBorders>
              <w:bottom w:val="single" w:sz="8" w:color="92BAEA"/>
              <w:right w:val="single" w:sz="8" w:color="auto"/>
            </w:tcBorders>
            <w:gridSpan w:val="3"/>
            <w:vMerge w:val="continue"/>
            <w:shd w:val="clear" w:color="auto" w:fill="92BAEA"/>
          </w:tcPr>
          <w:p>
            <w:pPr>
              <w:spacing w:after="0"/>
              <w:rPr>
                <w:sz w:val="11"/>
                <w:szCs w:val="11"/>
                <w:color w:val="auto"/>
              </w:rPr>
            </w:pPr>
          </w:p>
        </w:tc>
        <w:tc>
          <w:tcPr>
            <w:tcW w:w="600" w:type="dxa"/>
            <w:vAlign w:val="bottom"/>
            <w:tcBorders>
              <w:bottom w:val="single" w:sz="8" w:color="92BAEA"/>
              <w:right w:val="single" w:sz="8" w:color="92BAEA"/>
            </w:tcBorders>
            <w:shd w:val="clear" w:color="auto" w:fill="92BAEA"/>
          </w:tcPr>
          <w:p>
            <w:pPr>
              <w:spacing w:after="0"/>
              <w:rPr>
                <w:sz w:val="11"/>
                <w:szCs w:val="11"/>
                <w:color w:val="auto"/>
              </w:rPr>
            </w:pPr>
          </w:p>
        </w:tc>
        <w:tc>
          <w:tcPr>
            <w:tcW w:w="180" w:type="dxa"/>
            <w:vAlign w:val="bottom"/>
            <w:tcBorders>
              <w:bottom w:val="single" w:sz="8" w:color="92BAEA"/>
              <w:right w:val="single" w:sz="8" w:color="auto"/>
            </w:tcBorders>
            <w:shd w:val="clear" w:color="auto" w:fill="92BAEA"/>
          </w:tcPr>
          <w:p>
            <w:pPr>
              <w:spacing w:after="0"/>
              <w:rPr>
                <w:sz w:val="11"/>
                <w:szCs w:val="11"/>
                <w:color w:val="auto"/>
              </w:rPr>
            </w:pPr>
          </w:p>
        </w:tc>
        <w:tc>
          <w:tcPr>
            <w:tcW w:w="780" w:type="dxa"/>
            <w:vAlign w:val="bottom"/>
            <w:tcBorders>
              <w:bottom w:val="single" w:sz="8" w:color="92BAEA"/>
              <w:right w:val="single" w:sz="8" w:color="auto"/>
            </w:tcBorders>
            <w:shd w:val="clear" w:color="auto" w:fill="92BAEA"/>
          </w:tcPr>
          <w:p>
            <w:pPr>
              <w:spacing w:after="0"/>
              <w:rPr>
                <w:sz w:val="11"/>
                <w:szCs w:val="11"/>
                <w:color w:val="auto"/>
              </w:rPr>
            </w:pPr>
          </w:p>
        </w:tc>
        <w:tc>
          <w:tcPr>
            <w:tcW w:w="680" w:type="dxa"/>
            <w:vAlign w:val="bottom"/>
            <w:tcBorders>
              <w:bottom w:val="single" w:sz="8" w:color="92BAEA"/>
              <w:right w:val="single" w:sz="8" w:color="auto"/>
            </w:tcBorders>
            <w:gridSpan w:val="2"/>
            <w:vMerge w:val="continue"/>
            <w:shd w:val="clear" w:color="auto" w:fill="92BAEA"/>
          </w:tcPr>
          <w:p>
            <w:pPr>
              <w:spacing w:after="0"/>
              <w:rPr>
                <w:sz w:val="11"/>
                <w:szCs w:val="11"/>
                <w:color w:val="auto"/>
              </w:rPr>
            </w:pPr>
          </w:p>
        </w:tc>
        <w:tc>
          <w:tcPr>
            <w:tcW w:w="660" w:type="dxa"/>
            <w:vAlign w:val="bottom"/>
            <w:tcBorders>
              <w:bottom w:val="single" w:sz="8" w:color="92BAEA"/>
              <w:right w:val="single" w:sz="8" w:color="auto"/>
            </w:tcBorders>
            <w:gridSpan w:val="2"/>
            <w:vMerge w:val="continue"/>
            <w:shd w:val="clear" w:color="auto" w:fill="92BAEA"/>
          </w:tcPr>
          <w:p>
            <w:pPr>
              <w:spacing w:after="0"/>
              <w:rPr>
                <w:sz w:val="11"/>
                <w:szCs w:val="11"/>
                <w:color w:val="auto"/>
              </w:rPr>
            </w:pPr>
          </w:p>
        </w:tc>
        <w:tc>
          <w:tcPr>
            <w:tcW w:w="640" w:type="dxa"/>
            <w:vAlign w:val="bottom"/>
            <w:tcBorders>
              <w:bottom w:val="single" w:sz="8" w:color="92BAEA"/>
              <w:right w:val="single" w:sz="8" w:color="92BAEA"/>
            </w:tcBorders>
            <w:vMerge w:val="continue"/>
            <w:shd w:val="clear" w:color="auto" w:fill="92BAEA"/>
          </w:tcPr>
          <w:p>
            <w:pPr>
              <w:spacing w:after="0"/>
              <w:rPr>
                <w:sz w:val="11"/>
                <w:szCs w:val="11"/>
                <w:color w:val="auto"/>
              </w:rPr>
            </w:pPr>
          </w:p>
        </w:tc>
        <w:tc>
          <w:tcPr>
            <w:tcW w:w="100" w:type="dxa"/>
            <w:vAlign w:val="bottom"/>
            <w:tcBorders>
              <w:bottom w:val="single" w:sz="8" w:color="92BAEA"/>
              <w:right w:val="single" w:sz="8" w:color="auto"/>
            </w:tcBorders>
            <w:shd w:val="clear" w:color="auto" w:fill="92BAEA"/>
          </w:tcPr>
          <w:p>
            <w:pPr>
              <w:spacing w:after="0"/>
              <w:rPr>
                <w:sz w:val="11"/>
                <w:szCs w:val="11"/>
                <w:color w:val="auto"/>
              </w:rPr>
            </w:pPr>
          </w:p>
        </w:tc>
        <w:tc>
          <w:tcPr>
            <w:tcW w:w="560" w:type="dxa"/>
            <w:vAlign w:val="bottom"/>
            <w:tcBorders>
              <w:bottom w:val="single" w:sz="8" w:color="92BAEA"/>
              <w:right w:val="single" w:sz="8" w:color="92BAEA"/>
            </w:tcBorders>
            <w:shd w:val="clear" w:color="auto" w:fill="92BAEA"/>
          </w:tcPr>
          <w:p>
            <w:pPr>
              <w:spacing w:after="0"/>
              <w:rPr>
                <w:sz w:val="11"/>
                <w:szCs w:val="11"/>
                <w:color w:val="auto"/>
              </w:rPr>
            </w:pPr>
          </w:p>
        </w:tc>
        <w:tc>
          <w:tcPr>
            <w:tcW w:w="120" w:type="dxa"/>
            <w:vAlign w:val="bottom"/>
            <w:tcBorders>
              <w:bottom w:val="single" w:sz="8" w:color="92BAEA"/>
              <w:right w:val="single" w:sz="8" w:color="auto"/>
            </w:tcBorders>
            <w:shd w:val="clear" w:color="auto" w:fill="92BAEA"/>
          </w:tcPr>
          <w:p>
            <w:pPr>
              <w:spacing w:after="0"/>
              <w:rPr>
                <w:sz w:val="11"/>
                <w:szCs w:val="11"/>
                <w:color w:val="auto"/>
              </w:rPr>
            </w:pPr>
          </w:p>
        </w:tc>
        <w:tc>
          <w:tcPr>
            <w:tcW w:w="600" w:type="dxa"/>
            <w:vAlign w:val="bottom"/>
            <w:tcBorders>
              <w:bottom w:val="single" w:sz="8" w:color="92BAEA"/>
              <w:right w:val="single" w:sz="8" w:color="92BAEA"/>
            </w:tcBorders>
            <w:vMerge w:val="continue"/>
            <w:shd w:val="clear" w:color="auto" w:fill="92BAEA"/>
          </w:tcPr>
          <w:p>
            <w:pPr>
              <w:spacing w:after="0"/>
              <w:rPr>
                <w:sz w:val="11"/>
                <w:szCs w:val="11"/>
                <w:color w:val="auto"/>
              </w:rPr>
            </w:pPr>
          </w:p>
        </w:tc>
        <w:tc>
          <w:tcPr>
            <w:tcW w:w="120" w:type="dxa"/>
            <w:vAlign w:val="bottom"/>
            <w:tcBorders>
              <w:bottom w:val="single" w:sz="8" w:color="92BAEA"/>
              <w:right w:val="single" w:sz="8" w:color="auto"/>
            </w:tcBorders>
            <w:shd w:val="clear" w:color="auto" w:fill="92BAEA"/>
          </w:tcPr>
          <w:p>
            <w:pPr>
              <w:spacing w:after="0"/>
              <w:rPr>
                <w:sz w:val="11"/>
                <w:szCs w:val="11"/>
                <w:color w:val="auto"/>
              </w:rPr>
            </w:pPr>
          </w:p>
        </w:tc>
        <w:tc>
          <w:tcPr>
            <w:tcW w:w="660" w:type="dxa"/>
            <w:vAlign w:val="bottom"/>
            <w:tcBorders>
              <w:bottom w:val="single" w:sz="8" w:color="92BAEA"/>
              <w:right w:val="single" w:sz="8" w:color="auto"/>
            </w:tcBorders>
            <w:vMerge w:val="continue"/>
            <w:shd w:val="clear" w:color="auto" w:fill="92BAEA"/>
          </w:tcPr>
          <w:p>
            <w:pPr>
              <w:spacing w:after="0"/>
              <w:rPr>
                <w:sz w:val="11"/>
                <w:szCs w:val="11"/>
                <w:color w:val="auto"/>
              </w:rPr>
            </w:pPr>
          </w:p>
        </w:tc>
        <w:tc>
          <w:tcPr>
            <w:tcW w:w="720" w:type="dxa"/>
            <w:vAlign w:val="bottom"/>
            <w:tcBorders>
              <w:bottom w:val="single" w:sz="8" w:color="92BAEA"/>
              <w:right w:val="single" w:sz="8" w:color="auto"/>
            </w:tcBorders>
            <w:vMerge w:val="continue"/>
            <w:shd w:val="clear" w:color="auto" w:fill="92BAEA"/>
          </w:tcPr>
          <w:p>
            <w:pPr>
              <w:spacing w:after="0"/>
              <w:rPr>
                <w:sz w:val="11"/>
                <w:szCs w:val="11"/>
                <w:color w:val="auto"/>
              </w:rPr>
            </w:pPr>
          </w:p>
        </w:tc>
        <w:tc>
          <w:tcPr>
            <w:tcW w:w="580" w:type="dxa"/>
            <w:vAlign w:val="bottom"/>
            <w:tcBorders>
              <w:bottom w:val="single" w:sz="8" w:color="92BAEA"/>
              <w:right w:val="single" w:sz="8" w:color="auto"/>
            </w:tcBorders>
            <w:shd w:val="clear" w:color="auto" w:fill="92BAEA"/>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18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color w:val="auto"/>
                <w:w w:val="97"/>
              </w:rPr>
              <w:t>Unconsolidated Projects a</w:t>
            </w: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auto"/>
              <w:right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auto"/>
              <w:right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auto"/>
              <w:right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right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auto"/>
              <w:right w:val="single" w:sz="8" w:color="auto"/>
            </w:tcBorders>
          </w:tcPr>
          <w:p>
            <w:pPr>
              <w:spacing w:after="0"/>
              <w:rPr>
                <w:sz w:val="10"/>
                <w:szCs w:val="10"/>
                <w:color w:val="auto"/>
              </w:rPr>
            </w:pPr>
          </w:p>
        </w:tc>
        <w:tc>
          <w:tcPr>
            <w:tcW w:w="780" w:type="dxa"/>
            <w:vAlign w:val="bottom"/>
            <w:tcBorders>
              <w:top w:val="single" w:sz="8" w:color="auto"/>
              <w:right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Borders>
              <w:top w:val="single" w:sz="8" w:color="auto"/>
              <w:right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auto"/>
              <w:right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auto"/>
              <w:right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right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Borders>
              <w:top w:val="single" w:sz="8" w:color="auto"/>
              <w:right w:val="single" w:sz="8" w:color="auto"/>
            </w:tcBorders>
          </w:tcPr>
          <w:p>
            <w:pPr>
              <w:spacing w:after="0"/>
              <w:rPr>
                <w:sz w:val="10"/>
                <w:szCs w:val="10"/>
                <w:color w:val="auto"/>
              </w:rPr>
            </w:pPr>
          </w:p>
        </w:tc>
        <w:tc>
          <w:tcPr>
            <w:tcW w:w="660" w:type="dxa"/>
            <w:vAlign w:val="bottom"/>
            <w:tcBorders>
              <w:top w:val="single" w:sz="8" w:color="auto"/>
              <w:right w:val="single" w:sz="8" w:color="auto"/>
            </w:tcBorders>
          </w:tcPr>
          <w:p>
            <w:pPr>
              <w:spacing w:after="0"/>
              <w:rPr>
                <w:sz w:val="10"/>
                <w:szCs w:val="10"/>
                <w:color w:val="auto"/>
              </w:rPr>
            </w:pPr>
          </w:p>
        </w:tc>
        <w:tc>
          <w:tcPr>
            <w:tcW w:w="720" w:type="dxa"/>
            <w:vAlign w:val="bottom"/>
            <w:tcBorders>
              <w:top w:val="single" w:sz="8" w:color="auto"/>
              <w:right w:val="single" w:sz="8" w:color="auto"/>
            </w:tcBorders>
          </w:tcPr>
          <w:p>
            <w:pPr>
              <w:spacing w:after="0"/>
              <w:rPr>
                <w:sz w:val="10"/>
                <w:szCs w:val="10"/>
                <w:color w:val="auto"/>
              </w:rPr>
            </w:pPr>
          </w:p>
        </w:tc>
        <w:tc>
          <w:tcPr>
            <w:tcW w:w="58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color w:val="auto"/>
              </w:rPr>
              <w:t>t share</w:t>
            </w:r>
          </w:p>
        </w:tc>
        <w:tc>
          <w:tcPr>
            <w:tcW w:w="6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Israel</w:t>
            </w:r>
          </w:p>
        </w:tc>
        <w:tc>
          <w:tcPr>
            <w:tcW w:w="100" w:type="dxa"/>
            <w:vAlign w:val="bottom"/>
            <w:tcBorders>
              <w:right w:val="single" w:sz="8" w:color="auto"/>
            </w:tcBorders>
          </w:tcPr>
          <w:p>
            <w:pPr>
              <w:spacing w:after="0"/>
              <w:rPr>
                <w:sz w:val="11"/>
                <w:szCs w:val="11"/>
                <w:color w:val="auto"/>
              </w:rPr>
            </w:pPr>
          </w:p>
        </w:tc>
        <w:tc>
          <w:tcPr>
            <w:tcW w:w="680" w:type="dxa"/>
            <w:vAlign w:val="bottom"/>
          </w:tcPr>
          <w:p>
            <w:pPr>
              <w:jc w:val="center"/>
              <w:ind w:left="51"/>
              <w:spacing w:after="0"/>
              <w:rPr>
                <w:sz w:val="20"/>
                <w:szCs w:val="20"/>
                <w:color w:val="auto"/>
              </w:rPr>
            </w:pPr>
            <w:r>
              <w:rPr>
                <w:rFonts w:ascii="Times New Roman" w:cs="Times New Roman" w:eastAsia="Times New Roman" w:hAnsi="Times New Roman"/>
                <w:sz w:val="11"/>
                <w:szCs w:val="11"/>
                <w:color w:val="auto"/>
                <w:w w:val="91"/>
              </w:rPr>
              <w:t>4/79</w:t>
            </w:r>
          </w:p>
        </w:tc>
        <w:tc>
          <w:tcPr>
            <w:tcW w:w="1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color w:val="auto"/>
                <w:w w:val="95"/>
              </w:rPr>
              <w:t>Q4 2025- H2 2026</w:t>
            </w:r>
          </w:p>
        </w:tc>
        <w:tc>
          <w:tcPr>
            <w:tcW w:w="620" w:type="dxa"/>
            <w:vAlign w:val="bottom"/>
          </w:tcPr>
          <w:p>
            <w:pPr>
              <w:jc w:val="center"/>
              <w:ind w:left="87"/>
              <w:spacing w:after="0"/>
              <w:rPr>
                <w:sz w:val="20"/>
                <w:szCs w:val="20"/>
                <w:color w:val="auto"/>
              </w:rPr>
            </w:pPr>
            <w:r>
              <w:rPr>
                <w:rFonts w:ascii="Times New Roman" w:cs="Times New Roman" w:eastAsia="Times New Roman" w:hAnsi="Times New Roman"/>
                <w:sz w:val="11"/>
                <w:szCs w:val="11"/>
                <w:color w:val="auto"/>
                <w:w w:val="93"/>
              </w:rPr>
              <w:t>20-22</w:t>
            </w:r>
          </w:p>
        </w:tc>
        <w:tc>
          <w:tcPr>
            <w:tcW w:w="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0" w:type="dxa"/>
            <w:vAlign w:val="bottom"/>
          </w:tcPr>
          <w:p>
            <w:pPr>
              <w:jc w:val="right"/>
              <w:ind w:right="149"/>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right"/>
              <w:ind w:right="331"/>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right w:val="single" w:sz="8" w:color="auto"/>
            </w:tcBorders>
          </w:tcPr>
          <w:p>
            <w:pPr>
              <w:spacing w:after="0"/>
              <w:rPr>
                <w:sz w:val="11"/>
                <w:szCs w:val="11"/>
                <w:color w:val="auto"/>
              </w:rPr>
            </w:pPr>
          </w:p>
        </w:tc>
        <w:tc>
          <w:tcPr>
            <w:tcW w:w="580" w:type="dxa"/>
            <w:vAlign w:val="bottom"/>
          </w:tcPr>
          <w:p>
            <w:pPr>
              <w:jc w:val="center"/>
              <w:ind w:left="7"/>
              <w:spacing w:after="0"/>
              <w:rPr>
                <w:sz w:val="20"/>
                <w:szCs w:val="20"/>
                <w:color w:val="auto"/>
              </w:rPr>
            </w:pPr>
            <w:r>
              <w:rPr>
                <w:rFonts w:ascii="Times New Roman" w:cs="Times New Roman" w:eastAsia="Times New Roman" w:hAnsi="Times New Roman"/>
                <w:sz w:val="11"/>
                <w:szCs w:val="11"/>
                <w:color w:val="auto"/>
                <w:w w:val="93"/>
              </w:rPr>
              <w:t>20-22</w:t>
            </w:r>
          </w:p>
        </w:tc>
        <w:tc>
          <w:tcPr>
            <w:tcW w:w="80" w:type="dxa"/>
            <w:vAlign w:val="bottom"/>
            <w:tcBorders>
              <w:right w:val="single" w:sz="8" w:color="auto"/>
            </w:tcBorders>
          </w:tcPr>
          <w:p>
            <w:pPr>
              <w:spacing w:after="0"/>
              <w:rPr>
                <w:sz w:val="11"/>
                <w:szCs w:val="11"/>
                <w:color w:val="auto"/>
              </w:rPr>
            </w:pPr>
          </w:p>
        </w:tc>
        <w:tc>
          <w:tcPr>
            <w:tcW w:w="640" w:type="dxa"/>
            <w:vAlign w:val="bottom"/>
          </w:tcPr>
          <w:p>
            <w:pPr>
              <w:jc w:val="center"/>
              <w:ind w:left="28"/>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Borders>
              <w:right w:val="single" w:sz="8" w:color="auto"/>
            </w:tcBorders>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15%-25%</w:t>
            </w:r>
          </w:p>
        </w:tc>
        <w:tc>
          <w:tcPr>
            <w:tcW w:w="120" w:type="dxa"/>
            <w:vAlign w:val="bottom"/>
            <w:tcBorders>
              <w:right w:val="single" w:sz="8" w:color="auto"/>
            </w:tcBorders>
          </w:tcPr>
          <w:p>
            <w:pPr>
              <w:spacing w:after="0"/>
              <w:rPr>
                <w:sz w:val="11"/>
                <w:szCs w:val="11"/>
                <w:color w:val="auto"/>
              </w:rPr>
            </w:pPr>
          </w:p>
        </w:tc>
        <w:tc>
          <w:tcPr>
            <w:tcW w:w="6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rPr>
              <w:t>29</w:t>
            </w:r>
          </w:p>
        </w:tc>
        <w:tc>
          <w:tcPr>
            <w:tcW w:w="12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rPr>
              <w:t>3</w:t>
            </w:r>
          </w:p>
        </w:tc>
        <w:tc>
          <w:tcPr>
            <w:tcW w:w="720" w:type="dxa"/>
            <w:vAlign w:val="bottom"/>
            <w:tcBorders>
              <w:right w:val="single" w:sz="8" w:color="auto"/>
            </w:tcBorders>
          </w:tcPr>
          <w:p>
            <w:pPr>
              <w:jc w:val="center"/>
              <w:ind w:right="8"/>
              <w:spacing w:after="0"/>
              <w:rPr>
                <w:sz w:val="20"/>
                <w:szCs w:val="20"/>
                <w:color w:val="auto"/>
              </w:rPr>
            </w:pPr>
            <w:r>
              <w:rPr>
                <w:rFonts w:ascii="Times New Roman" w:cs="Times New Roman" w:eastAsia="Times New Roman" w:hAnsi="Times New Roman"/>
                <w:sz w:val="11"/>
                <w:szCs w:val="11"/>
                <w:color w:val="auto"/>
              </w:rPr>
              <w:t>3</w:t>
            </w:r>
          </w:p>
        </w:tc>
        <w:tc>
          <w:tcPr>
            <w:tcW w:w="580" w:type="dxa"/>
            <w:vAlign w:val="bottom"/>
            <w:tcBorders>
              <w:right w:val="single" w:sz="8" w:color="auto"/>
            </w:tcBorders>
            <w:vMerge w:val="restart"/>
          </w:tcPr>
          <w:p>
            <w:pPr>
              <w:jc w:val="center"/>
              <w:ind w:right="27"/>
              <w:spacing w:after="0"/>
              <w:rPr>
                <w:sz w:val="20"/>
                <w:szCs w:val="20"/>
                <w:color w:val="auto"/>
              </w:rPr>
            </w:pPr>
            <w:r>
              <w:rPr>
                <w:rFonts w:ascii="Times New Roman" w:cs="Times New Roman" w:eastAsia="Times New Roman" w:hAnsi="Times New Roman"/>
                <w:sz w:val="11"/>
                <w:szCs w:val="11"/>
                <w:color w:val="auto"/>
                <w:w w:val="89"/>
              </w:rPr>
              <w:t>64%</w:t>
            </w:r>
          </w:p>
        </w:tc>
        <w:tc>
          <w:tcPr>
            <w:tcW w:w="0" w:type="dxa"/>
            <w:vAlign w:val="bottom"/>
          </w:tcPr>
          <w:p>
            <w:pPr>
              <w:spacing w:after="0"/>
              <w:rPr>
                <w:sz w:val="1"/>
                <w:szCs w:val="1"/>
                <w:color w:val="auto"/>
              </w:rPr>
            </w:pPr>
          </w:p>
        </w:tc>
      </w:tr>
      <w:tr>
        <w:trPr>
          <w:trHeight w:val="68"/>
        </w:trPr>
        <w:tc>
          <w:tcPr>
            <w:tcW w:w="1100" w:type="dxa"/>
            <w:vAlign w:val="bottom"/>
            <w:tcBorders>
              <w:left w:val="single" w:sz="8" w:color="auto"/>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right w:val="single" w:sz="8" w:color="auto"/>
            </w:tcBorders>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100" w:type="dxa"/>
            <w:vAlign w:val="bottom"/>
            <w:tcBorders>
              <w:left w:val="single" w:sz="8" w:color="auto"/>
              <w:bottom w:val="single" w:sz="8" w:color="auto"/>
            </w:tcBorders>
            <w:vMerge w:val="continue"/>
          </w:tcPr>
          <w:p>
            <w:pPr>
              <w:spacing w:after="0"/>
              <w:rPr>
                <w:sz w:val="8"/>
                <w:szCs w:val="8"/>
                <w:color w:val="auto"/>
              </w:rPr>
            </w:pPr>
          </w:p>
        </w:tc>
        <w:tc>
          <w:tcPr>
            <w:tcW w:w="80" w:type="dxa"/>
            <w:vAlign w:val="bottom"/>
            <w:tcBorders>
              <w:bottom w:val="single" w:sz="8" w:color="auto"/>
              <w:right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Borders>
              <w:bottom w:val="single" w:sz="8" w:color="auto"/>
              <w:right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Borders>
              <w:bottom w:val="single" w:sz="8" w:color="auto"/>
              <w:right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180" w:type="dxa"/>
            <w:vAlign w:val="bottom"/>
            <w:tcBorders>
              <w:left w:val="single" w:sz="8" w:color="auto"/>
              <w:bottom w:val="single" w:sz="8" w:color="auto"/>
              <w:right w:val="single" w:sz="8" w:color="auto"/>
            </w:tcBorders>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680" w:type="dxa"/>
            <w:vAlign w:val="bottom"/>
            <w:tcBorders>
              <w:bottom w:val="single" w:sz="8" w:color="auto"/>
            </w:tcBorders>
          </w:tcPr>
          <w:p>
            <w:pPr>
              <w:jc w:val="center"/>
              <w:ind w:left="51"/>
              <w:spacing w:after="0" w:line="107" w:lineRule="exact"/>
              <w:rPr>
                <w:sz w:val="20"/>
                <w:szCs w:val="20"/>
                <w:color w:val="auto"/>
              </w:rPr>
            </w:pPr>
            <w:r>
              <w:rPr>
                <w:rFonts w:ascii="Times New Roman" w:cs="Times New Roman" w:eastAsia="Times New Roman" w:hAnsi="Times New Roman"/>
                <w:sz w:val="10"/>
                <w:szCs w:val="10"/>
                <w:b w:val="1"/>
                <w:bCs w:val="1"/>
                <w:color w:val="auto"/>
                <w:w w:val="96"/>
              </w:rPr>
              <w:t>1,662/4,374</w:t>
            </w:r>
          </w:p>
        </w:tc>
        <w:tc>
          <w:tcPr>
            <w:tcW w:w="120" w:type="dxa"/>
            <w:vAlign w:val="bottom"/>
            <w:tcBorders>
              <w:bottom w:val="single" w:sz="8" w:color="auto"/>
              <w:right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gridSpan w:val="2"/>
          </w:tcPr>
          <w:p>
            <w:pPr>
              <w:jc w:val="center"/>
              <w:ind w:left="67"/>
              <w:spacing w:after="0" w:line="122" w:lineRule="exact"/>
              <w:rPr>
                <w:sz w:val="20"/>
                <w:szCs w:val="20"/>
                <w:color w:val="auto"/>
              </w:rPr>
            </w:pPr>
            <w:r>
              <w:rPr>
                <w:rFonts w:ascii="Times New Roman" w:cs="Times New Roman" w:eastAsia="Times New Roman" w:hAnsi="Times New Roman"/>
                <w:sz w:val="11"/>
                <w:szCs w:val="11"/>
                <w:b w:val="1"/>
                <w:bCs w:val="1"/>
                <w:color w:val="auto"/>
                <w:w w:val="97"/>
              </w:rPr>
              <w:t>3,511-3,691</w:t>
            </w:r>
          </w:p>
        </w:tc>
        <w:tc>
          <w:tcPr>
            <w:tcW w:w="140" w:type="dxa"/>
            <w:vAlign w:val="bottom"/>
            <w:tcBorders>
              <w:bottom w:val="single" w:sz="8" w:color="auto"/>
              <w:right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8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680" w:type="dxa"/>
            <w:vAlign w:val="bottom"/>
            <w:tcBorders>
              <w:bottom w:val="single" w:sz="8" w:color="auto"/>
              <w:right w:val="single" w:sz="8" w:color="auto"/>
            </w:tcBorders>
            <w:gridSpan w:val="2"/>
          </w:tcPr>
          <w:p>
            <w:pPr>
              <w:jc w:val="right"/>
              <w:ind w:right="4"/>
              <w:spacing w:after="0" w:line="122" w:lineRule="exact"/>
              <w:rPr>
                <w:sz w:val="20"/>
                <w:szCs w:val="20"/>
                <w:color w:val="auto"/>
              </w:rPr>
            </w:pPr>
            <w:r>
              <w:rPr>
                <w:rFonts w:ascii="Times New Roman" w:cs="Times New Roman" w:eastAsia="Times New Roman" w:hAnsi="Times New Roman"/>
                <w:sz w:val="11"/>
                <w:szCs w:val="11"/>
                <w:b w:val="1"/>
                <w:bCs w:val="1"/>
                <w:color w:val="auto"/>
              </w:rPr>
              <w:t>1,618-1,701</w:t>
            </w:r>
          </w:p>
        </w:tc>
        <w:tc>
          <w:tcPr>
            <w:tcW w:w="660" w:type="dxa"/>
            <w:vAlign w:val="bottom"/>
            <w:tcBorders>
              <w:bottom w:val="single" w:sz="8" w:color="auto"/>
              <w:right w:val="single" w:sz="8" w:color="auto"/>
            </w:tcBorders>
            <w:gridSpan w:val="2"/>
          </w:tcPr>
          <w:p>
            <w:pPr>
              <w:jc w:val="center"/>
              <w:ind w:right="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1,893-1,990</w:t>
            </w:r>
          </w:p>
        </w:tc>
        <w:tc>
          <w:tcPr>
            <w:tcW w:w="640" w:type="dxa"/>
            <w:vAlign w:val="bottom"/>
            <w:tcBorders>
              <w:bottom w:val="single" w:sz="8" w:color="auto"/>
            </w:tcBorders>
          </w:tcPr>
          <w:p>
            <w:pPr>
              <w:jc w:val="center"/>
              <w:ind w:left="28"/>
              <w:spacing w:after="0" w:line="122" w:lineRule="exact"/>
              <w:rPr>
                <w:sz w:val="20"/>
                <w:szCs w:val="20"/>
                <w:color w:val="auto"/>
              </w:rPr>
            </w:pPr>
            <w:r>
              <w:rPr>
                <w:rFonts w:ascii="Times New Roman" w:cs="Times New Roman" w:eastAsia="Times New Roman" w:hAnsi="Times New Roman"/>
                <w:sz w:val="11"/>
                <w:szCs w:val="11"/>
                <w:b w:val="1"/>
                <w:bCs w:val="1"/>
                <w:color w:val="auto"/>
                <w:w w:val="96"/>
              </w:rPr>
              <w:t>1,435</w:t>
            </w:r>
          </w:p>
        </w:tc>
        <w:tc>
          <w:tcPr>
            <w:tcW w:w="10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600" w:type="dxa"/>
            <w:vAlign w:val="bottom"/>
            <w:tcBorders>
              <w:bottom w:val="single" w:sz="8" w:color="auto"/>
            </w:tcBorders>
          </w:tcPr>
          <w:p>
            <w:pPr>
              <w:jc w:val="center"/>
              <w:ind w:left="26"/>
              <w:spacing w:after="0" w:line="122" w:lineRule="exact"/>
              <w:rPr>
                <w:sz w:val="20"/>
                <w:szCs w:val="20"/>
                <w:color w:val="auto"/>
              </w:rPr>
            </w:pPr>
            <w:r>
              <w:rPr>
                <w:rFonts w:ascii="Times New Roman" w:cs="Times New Roman" w:eastAsia="Times New Roman" w:hAnsi="Times New Roman"/>
                <w:sz w:val="11"/>
                <w:szCs w:val="11"/>
                <w:b w:val="1"/>
                <w:bCs w:val="1"/>
                <w:color w:val="auto"/>
                <w:w w:val="96"/>
              </w:rPr>
              <w:t>484</w:t>
            </w:r>
          </w:p>
        </w:tc>
        <w:tc>
          <w:tcPr>
            <w:tcW w:w="120" w:type="dxa"/>
            <w:vAlign w:val="bottom"/>
            <w:tcBorders>
              <w:bottom w:val="single" w:sz="8" w:color="auto"/>
              <w:right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jc w:val="right"/>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312-327</w:t>
            </w:r>
          </w:p>
        </w:tc>
        <w:tc>
          <w:tcPr>
            <w:tcW w:w="720" w:type="dxa"/>
            <w:vAlign w:val="bottom"/>
            <w:tcBorders>
              <w:bottom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247-257</w:t>
            </w:r>
          </w:p>
        </w:tc>
        <w:tc>
          <w:tcPr>
            <w:tcW w:w="5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11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308"/>
          </w:cols>
          <w:pgMar w:left="292" w:top="125" w:right="299" w:bottom="1440" w:gutter="0" w:footer="0" w:header="0"/>
        </w:sectPr>
      </w:pPr>
    </w:p>
    <w:bookmarkStart w:id="28" w:name="page29"/>
    <w:bookmarkEnd w:id="28"/>
    <w:p>
      <w:pPr>
        <w:ind w:left="408" w:hanging="408"/>
        <w:spacing w:after="0"/>
        <w:tabs>
          <w:tab w:leader="none" w:pos="408" w:val="left"/>
        </w:tabs>
        <w:numPr>
          <w:ilvl w:val="0"/>
          <w:numId w:val="3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Pre-Construction Projects (due to commence construction within 12 months of the Approval Date)</w:t>
      </w:r>
    </w:p>
    <w:p>
      <w:pPr>
        <w:spacing w:after="0" w:line="154" w:lineRule="exact"/>
        <w:rPr>
          <w:sz w:val="20"/>
          <w:szCs w:val="20"/>
          <w:color w:val="auto"/>
        </w:rPr>
      </w:pPr>
    </w:p>
    <w:tbl>
      <w:tblPr>
        <w:tblLayout w:type="fixed"/>
        <w:tblInd w:w="18" w:type="dxa"/>
        <w:tblCellMar>
          <w:top w:w="0" w:type="dxa"/>
          <w:left w:w="0" w:type="dxa"/>
          <w:bottom w:w="0" w:type="dxa"/>
          <w:right w:w="0" w:type="dxa"/>
        </w:tblCellMar>
      </w:tblPr>
      <w:tr>
        <w:trPr>
          <w:trHeight w:val="162"/>
        </w:trPr>
        <w:tc>
          <w:tcPr>
            <w:tcW w:w="1240" w:type="dxa"/>
            <w:vAlign w:val="bottom"/>
            <w:tcBorders>
              <w:top w:val="single" w:sz="8" w:color="auto"/>
              <w:left w:val="single" w:sz="8" w:color="auto"/>
              <w:right w:val="single" w:sz="8" w:color="auto"/>
            </w:tcBorders>
            <w:shd w:val="clear" w:color="auto" w:fill="0070C0"/>
          </w:tcPr>
          <w:p>
            <w:pPr>
              <w:spacing w:after="0"/>
              <w:rPr>
                <w:sz w:val="14"/>
                <w:szCs w:val="14"/>
                <w:color w:val="auto"/>
              </w:rPr>
            </w:pPr>
          </w:p>
        </w:tc>
        <w:tc>
          <w:tcPr>
            <w:tcW w:w="680" w:type="dxa"/>
            <w:vAlign w:val="bottom"/>
            <w:tcBorders>
              <w:top w:val="single" w:sz="8" w:color="auto"/>
              <w:right w:val="single" w:sz="8" w:color="auto"/>
            </w:tcBorders>
            <w:shd w:val="clear" w:color="auto" w:fill="0070C0"/>
          </w:tcPr>
          <w:p>
            <w:pPr>
              <w:spacing w:after="0"/>
              <w:rPr>
                <w:sz w:val="14"/>
                <w:szCs w:val="14"/>
                <w:color w:val="auto"/>
              </w:rPr>
            </w:pPr>
          </w:p>
        </w:tc>
        <w:tc>
          <w:tcPr>
            <w:tcW w:w="740" w:type="dxa"/>
            <w:vAlign w:val="bottom"/>
            <w:tcBorders>
              <w:top w:val="single" w:sz="8" w:color="auto"/>
              <w:right w:val="single" w:sz="8" w:color="auto"/>
            </w:tcBorders>
            <w:shd w:val="clear" w:color="auto" w:fill="0070C0"/>
          </w:tcPr>
          <w:p>
            <w:pPr>
              <w:spacing w:after="0"/>
              <w:rPr>
                <w:sz w:val="14"/>
                <w:szCs w:val="14"/>
                <w:color w:val="auto"/>
              </w:rPr>
            </w:pPr>
          </w:p>
        </w:tc>
        <w:tc>
          <w:tcPr>
            <w:tcW w:w="500" w:type="dxa"/>
            <w:vAlign w:val="bottom"/>
            <w:tcBorders>
              <w:top w:val="single" w:sz="8" w:color="auto"/>
              <w:right w:val="single" w:sz="8" w:color="auto"/>
            </w:tcBorders>
            <w:shd w:val="clear" w:color="auto" w:fill="0070C0"/>
          </w:tcPr>
          <w:p>
            <w:pPr>
              <w:spacing w:after="0"/>
              <w:rPr>
                <w:sz w:val="14"/>
                <w:szCs w:val="14"/>
                <w:color w:val="auto"/>
              </w:rPr>
            </w:pPr>
          </w:p>
        </w:tc>
        <w:tc>
          <w:tcPr>
            <w:tcW w:w="660" w:type="dxa"/>
            <w:vAlign w:val="bottom"/>
            <w:tcBorders>
              <w:top w:val="single" w:sz="8" w:color="auto"/>
              <w:right w:val="single" w:sz="8" w:color="auto"/>
            </w:tcBorders>
            <w:shd w:val="clear" w:color="auto" w:fill="0070C0"/>
          </w:tcPr>
          <w:p>
            <w:pPr>
              <w:spacing w:after="0"/>
              <w:rPr>
                <w:sz w:val="14"/>
                <w:szCs w:val="14"/>
                <w:color w:val="auto"/>
              </w:rPr>
            </w:pPr>
          </w:p>
        </w:tc>
        <w:tc>
          <w:tcPr>
            <w:tcW w:w="1540" w:type="dxa"/>
            <w:vAlign w:val="bottom"/>
            <w:tcBorders>
              <w:top w:val="single" w:sz="8" w:color="auto"/>
              <w:right w:val="single" w:sz="8" w:color="auto"/>
            </w:tcBorders>
            <w:gridSpan w:val="2"/>
            <w:shd w:val="clear" w:color="auto" w:fill="0070C0"/>
          </w:tcPr>
          <w:p>
            <w:pPr>
              <w:ind w:left="320"/>
              <w:spacing w:after="0"/>
              <w:rPr>
                <w:sz w:val="20"/>
                <w:szCs w:val="20"/>
                <w:color w:val="auto"/>
              </w:rPr>
            </w:pPr>
            <w:r>
              <w:rPr>
                <w:rFonts w:ascii="Times New Roman" w:cs="Times New Roman" w:eastAsia="Times New Roman" w:hAnsi="Times New Roman"/>
                <w:sz w:val="12"/>
                <w:szCs w:val="12"/>
                <w:color w:val="FFFFFF"/>
              </w:rPr>
              <w:t>Tax Credit Benefit</w:t>
            </w:r>
          </w:p>
        </w:tc>
        <w:tc>
          <w:tcPr>
            <w:tcW w:w="800" w:type="dxa"/>
            <w:vAlign w:val="bottom"/>
            <w:tcBorders>
              <w:top w:val="single" w:sz="8" w:color="auto"/>
              <w:right w:val="single" w:sz="8" w:color="auto"/>
            </w:tcBorders>
            <w:shd w:val="clear" w:color="auto" w:fill="0070C0"/>
          </w:tcPr>
          <w:p>
            <w:pPr>
              <w:spacing w:after="0"/>
              <w:rPr>
                <w:sz w:val="14"/>
                <w:szCs w:val="14"/>
                <w:color w:val="auto"/>
              </w:rPr>
            </w:pPr>
          </w:p>
        </w:tc>
        <w:tc>
          <w:tcPr>
            <w:tcW w:w="560" w:type="dxa"/>
            <w:vAlign w:val="bottom"/>
            <w:tcBorders>
              <w:top w:val="single" w:sz="8" w:color="auto"/>
              <w:right w:val="single" w:sz="8" w:color="auto"/>
            </w:tcBorders>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8"/>
              </w:rPr>
              <w:t>Est. Total</w:t>
            </w:r>
          </w:p>
        </w:tc>
        <w:tc>
          <w:tcPr>
            <w:tcW w:w="720" w:type="dxa"/>
            <w:vAlign w:val="bottom"/>
            <w:tcBorders>
              <w:top w:val="single" w:sz="8" w:color="auto"/>
              <w:right w:val="single" w:sz="8" w:color="auto"/>
            </w:tcBorders>
            <w:shd w:val="clear" w:color="auto" w:fill="0070C0"/>
          </w:tcPr>
          <w:p>
            <w:pPr>
              <w:spacing w:after="0"/>
              <w:rPr>
                <w:sz w:val="14"/>
                <w:szCs w:val="14"/>
                <w:color w:val="auto"/>
              </w:rPr>
            </w:pPr>
          </w:p>
        </w:tc>
        <w:tc>
          <w:tcPr>
            <w:tcW w:w="660" w:type="dxa"/>
            <w:vAlign w:val="bottom"/>
            <w:tcBorders>
              <w:top w:val="single" w:sz="8" w:color="auto"/>
              <w:right w:val="single" w:sz="8" w:color="auto"/>
            </w:tcBorders>
            <w:shd w:val="clear" w:color="auto" w:fill="0070C0"/>
          </w:tcPr>
          <w:p>
            <w:pPr>
              <w:spacing w:after="0"/>
              <w:rPr>
                <w:sz w:val="14"/>
                <w:szCs w:val="14"/>
                <w:color w:val="auto"/>
              </w:rPr>
            </w:pPr>
          </w:p>
        </w:tc>
        <w:tc>
          <w:tcPr>
            <w:tcW w:w="720" w:type="dxa"/>
            <w:vAlign w:val="bottom"/>
            <w:tcBorders>
              <w:top w:val="single" w:sz="8" w:color="auto"/>
              <w:right w:val="single" w:sz="8" w:color="auto"/>
            </w:tcBorders>
            <w:shd w:val="clear" w:color="auto" w:fill="0070C0"/>
          </w:tcPr>
          <w:p>
            <w:pPr>
              <w:spacing w:after="0"/>
              <w:rPr>
                <w:sz w:val="14"/>
                <w:szCs w:val="14"/>
                <w:color w:val="auto"/>
              </w:rPr>
            </w:pPr>
          </w:p>
        </w:tc>
        <w:tc>
          <w:tcPr>
            <w:tcW w:w="740" w:type="dxa"/>
            <w:vAlign w:val="bottom"/>
            <w:tcBorders>
              <w:top w:val="single" w:sz="8" w:color="auto"/>
              <w:right w:val="single" w:sz="8" w:color="auto"/>
            </w:tcBorders>
            <w:shd w:val="clear" w:color="auto" w:fill="0070C0"/>
          </w:tcPr>
          <w:p>
            <w:pPr>
              <w:spacing w:after="0"/>
              <w:rPr>
                <w:sz w:val="14"/>
                <w:szCs w:val="14"/>
                <w:color w:val="auto"/>
              </w:rPr>
            </w:pPr>
          </w:p>
        </w:tc>
        <w:tc>
          <w:tcPr>
            <w:tcW w:w="1000" w:type="dxa"/>
            <w:vAlign w:val="bottom"/>
            <w:tcBorders>
              <w:top w:val="single" w:sz="8" w:color="auto"/>
              <w:right w:val="single" w:sz="8" w:color="auto"/>
            </w:tcBorders>
            <w:shd w:val="clear" w:color="auto" w:fill="0070C0"/>
          </w:tcPr>
          <w:p>
            <w:pPr>
              <w:spacing w:after="0"/>
              <w:rPr>
                <w:sz w:val="14"/>
                <w:szCs w:val="14"/>
                <w:color w:val="auto"/>
              </w:rPr>
            </w:pPr>
          </w:p>
        </w:tc>
        <w:tc>
          <w:tcPr>
            <w:tcW w:w="760" w:type="dxa"/>
            <w:vAlign w:val="bottom"/>
            <w:tcBorders>
              <w:top w:val="single" w:sz="8" w:color="auto"/>
              <w:right w:val="single" w:sz="8" w:color="auto"/>
            </w:tcBorders>
            <w:shd w:val="clear" w:color="auto" w:fill="0070C0"/>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240" w:type="dxa"/>
            <w:vAlign w:val="bottom"/>
            <w:tcBorders>
              <w:left w:val="single" w:sz="8" w:color="auto"/>
              <w:bottom w:val="single" w:sz="8" w:color="0070C0"/>
              <w:right w:val="single" w:sz="8" w:color="auto"/>
            </w:tcBorders>
            <w:shd w:val="clear" w:color="auto" w:fill="0070C0"/>
          </w:tcPr>
          <w:p>
            <w:pPr>
              <w:jc w:val="center"/>
              <w:spacing w:after="0" w:line="128" w:lineRule="exact"/>
              <w:rPr>
                <w:sz w:val="20"/>
                <w:szCs w:val="20"/>
                <w:color w:val="auto"/>
              </w:rPr>
            </w:pPr>
            <w:r>
              <w:rPr>
                <w:rFonts w:ascii="Times New Roman" w:cs="Times New Roman" w:eastAsia="Times New Roman" w:hAnsi="Times New Roman"/>
                <w:sz w:val="12"/>
                <w:szCs w:val="12"/>
                <w:color w:val="FFFFFF"/>
                <w:w w:val="99"/>
              </w:rPr>
              <w:t>($ millions)</w:t>
            </w:r>
          </w:p>
        </w:tc>
        <w:tc>
          <w:tcPr>
            <w:tcW w:w="680" w:type="dxa"/>
            <w:vAlign w:val="bottom"/>
            <w:tcBorders>
              <w:bottom w:val="single" w:sz="8" w:color="0070C0"/>
              <w:right w:val="single" w:sz="8" w:color="auto"/>
            </w:tcBorders>
            <w:shd w:val="clear" w:color="auto" w:fill="0070C0"/>
          </w:tcPr>
          <w:p>
            <w:pPr>
              <w:spacing w:after="0"/>
              <w:rPr>
                <w:sz w:val="11"/>
                <w:szCs w:val="11"/>
                <w:color w:val="auto"/>
              </w:rPr>
            </w:pPr>
          </w:p>
        </w:tc>
        <w:tc>
          <w:tcPr>
            <w:tcW w:w="740" w:type="dxa"/>
            <w:vAlign w:val="bottom"/>
            <w:tcBorders>
              <w:bottom w:val="single" w:sz="8" w:color="0070C0"/>
              <w:right w:val="single" w:sz="8" w:color="auto"/>
            </w:tcBorders>
            <w:shd w:val="clear" w:color="auto" w:fill="0070C0"/>
          </w:tcPr>
          <w:p>
            <w:pPr>
              <w:jc w:val="center"/>
              <w:spacing w:after="0" w:line="128" w:lineRule="exact"/>
              <w:rPr>
                <w:sz w:val="20"/>
                <w:szCs w:val="20"/>
                <w:color w:val="auto"/>
              </w:rPr>
            </w:pPr>
            <w:r>
              <w:rPr>
                <w:rFonts w:ascii="Times New Roman" w:cs="Times New Roman" w:eastAsia="Times New Roman" w:hAnsi="Times New Roman"/>
                <w:sz w:val="12"/>
                <w:szCs w:val="12"/>
                <w:color w:val="FFFFFF"/>
              </w:rPr>
              <w:t>Generation</w:t>
            </w:r>
          </w:p>
        </w:tc>
        <w:tc>
          <w:tcPr>
            <w:tcW w:w="500" w:type="dxa"/>
            <w:vAlign w:val="bottom"/>
            <w:tcBorders>
              <w:bottom w:val="single" w:sz="8" w:color="0070C0"/>
              <w:right w:val="single" w:sz="8" w:color="auto"/>
            </w:tcBorders>
            <w:shd w:val="clear" w:color="auto" w:fill="0070C0"/>
          </w:tcPr>
          <w:p>
            <w:pPr>
              <w:spacing w:after="0"/>
              <w:rPr>
                <w:sz w:val="11"/>
                <w:szCs w:val="11"/>
                <w:color w:val="auto"/>
              </w:rPr>
            </w:pPr>
          </w:p>
        </w:tc>
        <w:tc>
          <w:tcPr>
            <w:tcW w:w="660" w:type="dxa"/>
            <w:vAlign w:val="bottom"/>
            <w:tcBorders>
              <w:bottom w:val="single" w:sz="8" w:color="0070C0"/>
              <w:right w:val="single" w:sz="8" w:color="auto"/>
            </w:tcBorders>
            <w:shd w:val="clear" w:color="auto" w:fill="0070C0"/>
          </w:tcPr>
          <w:p>
            <w:pPr>
              <w:jc w:val="center"/>
              <w:spacing w:after="0" w:line="128" w:lineRule="exact"/>
              <w:rPr>
                <w:sz w:val="20"/>
                <w:szCs w:val="20"/>
                <w:color w:val="auto"/>
              </w:rPr>
            </w:pPr>
            <w:r>
              <w:rPr>
                <w:rFonts w:ascii="Times New Roman" w:cs="Times New Roman" w:eastAsia="Times New Roman" w:hAnsi="Times New Roman"/>
                <w:sz w:val="12"/>
                <w:szCs w:val="12"/>
                <w:color w:val="FFFFFF"/>
                <w:w w:val="98"/>
              </w:rPr>
              <w:t>Est. Total</w:t>
            </w:r>
          </w:p>
        </w:tc>
        <w:tc>
          <w:tcPr>
            <w:tcW w:w="720" w:type="dxa"/>
            <w:vAlign w:val="bottom"/>
            <w:tcBorders>
              <w:bottom w:val="single" w:sz="8" w:color="auto"/>
              <w:right w:val="single" w:sz="8" w:color="0070C0"/>
            </w:tcBorders>
            <w:shd w:val="clear" w:color="auto" w:fill="0070C0"/>
          </w:tcPr>
          <w:p>
            <w:pPr>
              <w:spacing w:after="0"/>
              <w:rPr>
                <w:sz w:val="11"/>
                <w:szCs w:val="11"/>
                <w:color w:val="auto"/>
              </w:rPr>
            </w:pPr>
          </w:p>
        </w:tc>
        <w:tc>
          <w:tcPr>
            <w:tcW w:w="820" w:type="dxa"/>
            <w:vAlign w:val="bottom"/>
            <w:tcBorders>
              <w:bottom w:val="single" w:sz="8" w:color="auto"/>
              <w:right w:val="single" w:sz="8" w:color="auto"/>
            </w:tcBorders>
            <w:shd w:val="clear" w:color="auto" w:fill="0070C0"/>
          </w:tcPr>
          <w:p>
            <w:pPr>
              <w:spacing w:after="0"/>
              <w:rPr>
                <w:sz w:val="11"/>
                <w:szCs w:val="11"/>
                <w:color w:val="auto"/>
              </w:rPr>
            </w:pPr>
          </w:p>
        </w:tc>
        <w:tc>
          <w:tcPr>
            <w:tcW w:w="800" w:type="dxa"/>
            <w:vAlign w:val="bottom"/>
            <w:tcBorders>
              <w:bottom w:val="single" w:sz="8" w:color="auto"/>
              <w:right w:val="single" w:sz="8" w:color="auto"/>
            </w:tcBorders>
            <w:shd w:val="clear" w:color="auto" w:fill="0070C0"/>
          </w:tcPr>
          <w:p>
            <w:pPr>
              <w:spacing w:after="0"/>
              <w:rPr>
                <w:sz w:val="11"/>
                <w:szCs w:val="11"/>
                <w:color w:val="auto"/>
              </w:rPr>
            </w:pPr>
          </w:p>
        </w:tc>
        <w:tc>
          <w:tcPr>
            <w:tcW w:w="560" w:type="dxa"/>
            <w:vAlign w:val="bottom"/>
            <w:tcBorders>
              <w:bottom w:val="single" w:sz="8" w:color="0070C0"/>
              <w:right w:val="single" w:sz="8" w:color="auto"/>
            </w:tcBorders>
            <w:shd w:val="clear" w:color="auto" w:fill="0070C0"/>
          </w:tcPr>
          <w:p>
            <w:pPr>
              <w:jc w:val="center"/>
              <w:spacing w:after="0" w:line="128" w:lineRule="exact"/>
              <w:rPr>
                <w:sz w:val="20"/>
                <w:szCs w:val="20"/>
                <w:color w:val="auto"/>
              </w:rPr>
            </w:pPr>
            <w:r>
              <w:rPr>
                <w:rFonts w:ascii="Times New Roman" w:cs="Times New Roman" w:eastAsia="Times New Roman" w:hAnsi="Times New Roman"/>
                <w:sz w:val="12"/>
                <w:szCs w:val="12"/>
                <w:color w:val="FFFFFF"/>
                <w:w w:val="99"/>
              </w:rPr>
              <w:t>Project</w:t>
            </w:r>
          </w:p>
        </w:tc>
        <w:tc>
          <w:tcPr>
            <w:tcW w:w="720" w:type="dxa"/>
            <w:vAlign w:val="bottom"/>
            <w:tcBorders>
              <w:bottom w:val="single" w:sz="8" w:color="0070C0"/>
              <w:right w:val="single" w:sz="8" w:color="auto"/>
            </w:tcBorders>
            <w:shd w:val="clear" w:color="auto" w:fill="0070C0"/>
          </w:tcPr>
          <w:p>
            <w:pPr>
              <w:jc w:val="center"/>
              <w:spacing w:after="0" w:line="128" w:lineRule="exact"/>
              <w:rPr>
                <w:sz w:val="20"/>
                <w:szCs w:val="20"/>
                <w:color w:val="auto"/>
              </w:rPr>
            </w:pPr>
            <w:r>
              <w:rPr>
                <w:rFonts w:ascii="Times New Roman" w:cs="Times New Roman" w:eastAsia="Times New Roman" w:hAnsi="Times New Roman"/>
                <w:sz w:val="12"/>
                <w:szCs w:val="12"/>
                <w:color w:val="FFFFFF"/>
                <w:w w:val="97"/>
              </w:rPr>
              <w:t>Capital</w:t>
            </w:r>
          </w:p>
        </w:tc>
        <w:tc>
          <w:tcPr>
            <w:tcW w:w="660" w:type="dxa"/>
            <w:vAlign w:val="bottom"/>
            <w:tcBorders>
              <w:bottom w:val="single" w:sz="8" w:color="0070C0"/>
              <w:right w:val="single" w:sz="8" w:color="auto"/>
            </w:tcBorders>
            <w:shd w:val="clear" w:color="auto" w:fill="0070C0"/>
          </w:tcPr>
          <w:p>
            <w:pPr>
              <w:jc w:val="center"/>
              <w:spacing w:after="0" w:line="128" w:lineRule="exact"/>
              <w:rPr>
                <w:sz w:val="20"/>
                <w:szCs w:val="20"/>
                <w:color w:val="auto"/>
              </w:rPr>
            </w:pPr>
            <w:r>
              <w:rPr>
                <w:rFonts w:ascii="Times New Roman" w:cs="Times New Roman" w:eastAsia="Times New Roman" w:hAnsi="Times New Roman"/>
                <w:sz w:val="12"/>
                <w:szCs w:val="12"/>
                <w:color w:val="FFFFFF"/>
              </w:rPr>
              <w:t>Est. Equity</w:t>
            </w:r>
          </w:p>
        </w:tc>
        <w:tc>
          <w:tcPr>
            <w:tcW w:w="720" w:type="dxa"/>
            <w:vAlign w:val="bottom"/>
            <w:tcBorders>
              <w:bottom w:val="single" w:sz="8" w:color="0070C0"/>
              <w:right w:val="single" w:sz="8" w:color="auto"/>
            </w:tcBorders>
            <w:shd w:val="clear" w:color="auto" w:fill="0070C0"/>
          </w:tcPr>
          <w:p>
            <w:pPr>
              <w:jc w:val="center"/>
              <w:spacing w:after="0" w:line="128" w:lineRule="exact"/>
              <w:rPr>
                <w:sz w:val="20"/>
                <w:szCs w:val="20"/>
                <w:color w:val="auto"/>
              </w:rPr>
            </w:pPr>
            <w:r>
              <w:rPr>
                <w:rFonts w:ascii="Times New Roman" w:cs="Times New Roman" w:eastAsia="Times New Roman" w:hAnsi="Times New Roman"/>
                <w:sz w:val="12"/>
                <w:szCs w:val="12"/>
                <w:color w:val="FFFFFF"/>
                <w:w w:val="99"/>
              </w:rPr>
              <w:t>Equity</w:t>
            </w:r>
          </w:p>
        </w:tc>
        <w:tc>
          <w:tcPr>
            <w:tcW w:w="740" w:type="dxa"/>
            <w:vAlign w:val="bottom"/>
            <w:tcBorders>
              <w:bottom w:val="single" w:sz="8" w:color="0070C0"/>
              <w:right w:val="single" w:sz="8" w:color="auto"/>
            </w:tcBorders>
            <w:shd w:val="clear" w:color="auto" w:fill="0070C0"/>
          </w:tcPr>
          <w:p>
            <w:pPr>
              <w:spacing w:after="0"/>
              <w:rPr>
                <w:sz w:val="11"/>
                <w:szCs w:val="11"/>
                <w:color w:val="auto"/>
              </w:rPr>
            </w:pPr>
          </w:p>
        </w:tc>
        <w:tc>
          <w:tcPr>
            <w:tcW w:w="1000" w:type="dxa"/>
            <w:vAlign w:val="bottom"/>
            <w:tcBorders>
              <w:bottom w:val="single" w:sz="8" w:color="0070C0"/>
              <w:right w:val="single" w:sz="8" w:color="auto"/>
            </w:tcBorders>
            <w:shd w:val="clear" w:color="auto" w:fill="0070C0"/>
          </w:tcPr>
          <w:p>
            <w:pPr>
              <w:spacing w:after="0"/>
              <w:rPr>
                <w:sz w:val="11"/>
                <w:szCs w:val="11"/>
                <w:color w:val="auto"/>
              </w:rPr>
            </w:pPr>
          </w:p>
        </w:tc>
        <w:tc>
          <w:tcPr>
            <w:tcW w:w="760" w:type="dxa"/>
            <w:vAlign w:val="bottom"/>
            <w:tcBorders>
              <w:bottom w:val="single" w:sz="8" w:color="0070C0"/>
              <w:right w:val="single" w:sz="8" w:color="auto"/>
            </w:tcBorders>
            <w:shd w:val="clear" w:color="auto" w:fill="0070C0"/>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240" w:type="dxa"/>
            <w:vAlign w:val="bottom"/>
            <w:tcBorders>
              <w:top w:val="single" w:sz="8" w:color="0070C0"/>
              <w:left w:val="single" w:sz="8" w:color="auto"/>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b w:val="1"/>
                <w:bCs w:val="1"/>
                <w:color w:val="FFFFFF"/>
                <w:w w:val="99"/>
              </w:rPr>
              <w:t>Consolidated Projects</w:t>
            </w:r>
          </w:p>
        </w:tc>
        <w:tc>
          <w:tcPr>
            <w:tcW w:w="680" w:type="dxa"/>
            <w:vAlign w:val="bottom"/>
            <w:tcBorders>
              <w:top w:val="single" w:sz="8" w:color="0070C0"/>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6"/>
              </w:rPr>
              <w:t>Country</w:t>
            </w:r>
          </w:p>
        </w:tc>
        <w:tc>
          <w:tcPr>
            <w:tcW w:w="740" w:type="dxa"/>
            <w:vAlign w:val="bottom"/>
            <w:tcBorders>
              <w:top w:val="single" w:sz="8" w:color="0070C0"/>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rPr>
              <w:t>and energy</w:t>
            </w:r>
          </w:p>
        </w:tc>
        <w:tc>
          <w:tcPr>
            <w:tcW w:w="500" w:type="dxa"/>
            <w:vAlign w:val="bottom"/>
            <w:tcBorders>
              <w:top w:val="single" w:sz="8" w:color="0070C0"/>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7"/>
              </w:rPr>
              <w:t>Est.</w:t>
            </w:r>
          </w:p>
        </w:tc>
        <w:tc>
          <w:tcPr>
            <w:tcW w:w="660" w:type="dxa"/>
            <w:vAlign w:val="bottom"/>
            <w:tcBorders>
              <w:top w:val="single" w:sz="8" w:color="0070C0"/>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rPr>
              <w:t>Project Cost</w:t>
            </w:r>
          </w:p>
        </w:tc>
        <w:tc>
          <w:tcPr>
            <w:tcW w:w="720" w:type="dxa"/>
            <w:vAlign w:val="bottom"/>
            <w:tcBorders>
              <w:top w:val="single" w:sz="8" w:color="0070C0"/>
              <w:right w:val="single" w:sz="8" w:color="auto"/>
            </w:tcBorders>
            <w:shd w:val="clear" w:color="auto" w:fill="0070C0"/>
          </w:tcPr>
          <w:p>
            <w:pPr>
              <w:spacing w:after="0"/>
              <w:rPr>
                <w:sz w:val="8"/>
                <w:szCs w:val="8"/>
                <w:color w:val="auto"/>
              </w:rPr>
            </w:pPr>
          </w:p>
        </w:tc>
        <w:tc>
          <w:tcPr>
            <w:tcW w:w="820" w:type="dxa"/>
            <w:vAlign w:val="bottom"/>
            <w:tcBorders>
              <w:top w:val="single" w:sz="8" w:color="0070C0"/>
              <w:right w:val="single" w:sz="8" w:color="auto"/>
            </w:tcBorders>
            <w:shd w:val="clear" w:color="auto" w:fill="0070C0"/>
          </w:tcPr>
          <w:p>
            <w:pPr>
              <w:spacing w:after="0"/>
              <w:rPr>
                <w:sz w:val="8"/>
                <w:szCs w:val="8"/>
                <w:color w:val="auto"/>
              </w:rPr>
            </w:pPr>
          </w:p>
        </w:tc>
        <w:tc>
          <w:tcPr>
            <w:tcW w:w="800" w:type="dxa"/>
            <w:vAlign w:val="bottom"/>
            <w:tcBorders>
              <w:top w:val="single" w:sz="8" w:color="0070C0"/>
              <w:right w:val="single" w:sz="8" w:color="auto"/>
            </w:tcBorders>
            <w:shd w:val="clear" w:color="auto" w:fill="0070C0"/>
          </w:tcPr>
          <w:p>
            <w:pPr>
              <w:jc w:val="center"/>
              <w:spacing w:after="0" w:line="94" w:lineRule="exact"/>
              <w:rPr>
                <w:sz w:val="20"/>
                <w:szCs w:val="20"/>
                <w:color w:val="auto"/>
              </w:rPr>
            </w:pPr>
            <w:r>
              <w:rPr>
                <w:rFonts w:ascii="Times New Roman" w:cs="Times New Roman" w:eastAsia="Times New Roman" w:hAnsi="Times New Roman"/>
                <w:sz w:val="10"/>
                <w:szCs w:val="10"/>
                <w:color w:val="FFFFFF"/>
              </w:rPr>
              <w:t>Discounted</w:t>
            </w:r>
          </w:p>
        </w:tc>
        <w:tc>
          <w:tcPr>
            <w:tcW w:w="560" w:type="dxa"/>
            <w:vAlign w:val="bottom"/>
            <w:tcBorders>
              <w:top w:val="single" w:sz="8" w:color="0070C0"/>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rPr>
              <w:t>Cost net of</w:t>
            </w:r>
          </w:p>
        </w:tc>
        <w:tc>
          <w:tcPr>
            <w:tcW w:w="720" w:type="dxa"/>
            <w:vAlign w:val="bottom"/>
            <w:tcBorders>
              <w:top w:val="single" w:sz="8" w:color="0070C0"/>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8"/>
              </w:rPr>
              <w:t>Invested as of</w:t>
            </w:r>
          </w:p>
        </w:tc>
        <w:tc>
          <w:tcPr>
            <w:tcW w:w="660" w:type="dxa"/>
            <w:vAlign w:val="bottom"/>
            <w:tcBorders>
              <w:top w:val="single" w:sz="8" w:color="0070C0"/>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9"/>
              </w:rPr>
              <w:t>Required</w:t>
            </w:r>
          </w:p>
        </w:tc>
        <w:tc>
          <w:tcPr>
            <w:tcW w:w="720" w:type="dxa"/>
            <w:vAlign w:val="bottom"/>
            <w:tcBorders>
              <w:top w:val="single" w:sz="8" w:color="0070C0"/>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rPr>
              <w:t>Invested as of</w:t>
            </w:r>
          </w:p>
        </w:tc>
        <w:tc>
          <w:tcPr>
            <w:tcW w:w="740" w:type="dxa"/>
            <w:vAlign w:val="bottom"/>
            <w:tcBorders>
              <w:top w:val="single" w:sz="8" w:color="0070C0"/>
              <w:right w:val="single" w:sz="8" w:color="auto"/>
            </w:tcBorders>
            <w:vMerge w:val="restart"/>
            <w:shd w:val="clear" w:color="auto" w:fill="0070C0"/>
          </w:tcPr>
          <w:p>
            <w:pPr>
              <w:ind w:left="20"/>
              <w:spacing w:after="0"/>
              <w:rPr>
                <w:sz w:val="20"/>
                <w:szCs w:val="20"/>
                <w:color w:val="auto"/>
              </w:rPr>
            </w:pPr>
            <w:r>
              <w:rPr>
                <w:rFonts w:ascii="Times New Roman" w:cs="Times New Roman" w:eastAsia="Times New Roman" w:hAnsi="Times New Roman"/>
                <w:sz w:val="12"/>
                <w:szCs w:val="12"/>
                <w:color w:val="FFFFFF"/>
              </w:rPr>
              <w:t>Est. First Full</w:t>
            </w:r>
          </w:p>
        </w:tc>
        <w:tc>
          <w:tcPr>
            <w:tcW w:w="1000" w:type="dxa"/>
            <w:vAlign w:val="bottom"/>
            <w:tcBorders>
              <w:top w:val="single" w:sz="8" w:color="0070C0"/>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7"/>
              </w:rPr>
              <w:t>Est. First Full Year</w:t>
            </w:r>
          </w:p>
        </w:tc>
        <w:tc>
          <w:tcPr>
            <w:tcW w:w="760" w:type="dxa"/>
            <w:vAlign w:val="bottom"/>
            <w:tcBorders>
              <w:top w:val="single" w:sz="8" w:color="0070C0"/>
              <w:right w:val="single" w:sz="8" w:color="auto"/>
            </w:tcBorders>
            <w:vMerge w:val="restart"/>
            <w:shd w:val="clear" w:color="auto" w:fill="0070C0"/>
          </w:tcPr>
          <w:p>
            <w:pPr>
              <w:spacing w:after="0"/>
              <w:rPr>
                <w:sz w:val="20"/>
                <w:szCs w:val="20"/>
                <w:color w:val="auto"/>
              </w:rPr>
            </w:pPr>
            <w:r>
              <w:rPr>
                <w:rFonts w:ascii="Times New Roman" w:cs="Times New Roman" w:eastAsia="Times New Roman" w:hAnsi="Times New Roman"/>
                <w:sz w:val="12"/>
                <w:szCs w:val="12"/>
                <w:color w:val="FFFFFF"/>
              </w:rPr>
              <w:t>Ownership %*</w:t>
            </w:r>
          </w:p>
        </w:tc>
        <w:tc>
          <w:tcPr>
            <w:tcW w:w="0" w:type="dxa"/>
            <w:vAlign w:val="bottom"/>
          </w:tcPr>
          <w:p>
            <w:pPr>
              <w:spacing w:after="0"/>
              <w:rPr>
                <w:sz w:val="1"/>
                <w:szCs w:val="1"/>
                <w:color w:val="auto"/>
              </w:rPr>
            </w:pPr>
          </w:p>
        </w:tc>
      </w:tr>
      <w:tr>
        <w:trPr>
          <w:trHeight w:val="54"/>
        </w:trPr>
        <w:tc>
          <w:tcPr>
            <w:tcW w:w="1240" w:type="dxa"/>
            <w:vAlign w:val="bottom"/>
            <w:tcBorders>
              <w:left w:val="single" w:sz="8" w:color="auto"/>
              <w:right w:val="single" w:sz="8" w:color="auto"/>
            </w:tcBorders>
            <w:vMerge w:val="continue"/>
            <w:shd w:val="clear" w:color="auto" w:fill="0070C0"/>
          </w:tcPr>
          <w:p>
            <w:pPr>
              <w:spacing w:after="0"/>
              <w:rPr>
                <w:sz w:val="4"/>
                <w:szCs w:val="4"/>
                <w:color w:val="auto"/>
              </w:rPr>
            </w:pPr>
          </w:p>
        </w:tc>
        <w:tc>
          <w:tcPr>
            <w:tcW w:w="680" w:type="dxa"/>
            <w:vAlign w:val="bottom"/>
            <w:tcBorders>
              <w:right w:val="single" w:sz="8" w:color="auto"/>
            </w:tcBorders>
            <w:vMerge w:val="continue"/>
            <w:shd w:val="clear" w:color="auto" w:fill="0070C0"/>
          </w:tcPr>
          <w:p>
            <w:pPr>
              <w:spacing w:after="0"/>
              <w:rPr>
                <w:sz w:val="4"/>
                <w:szCs w:val="4"/>
                <w:color w:val="auto"/>
              </w:rPr>
            </w:pPr>
          </w:p>
        </w:tc>
        <w:tc>
          <w:tcPr>
            <w:tcW w:w="740" w:type="dxa"/>
            <w:vAlign w:val="bottom"/>
            <w:tcBorders>
              <w:right w:val="single" w:sz="8" w:color="auto"/>
            </w:tcBorders>
            <w:vMerge w:val="continue"/>
            <w:shd w:val="clear" w:color="auto" w:fill="0070C0"/>
          </w:tcPr>
          <w:p>
            <w:pPr>
              <w:spacing w:after="0"/>
              <w:rPr>
                <w:sz w:val="4"/>
                <w:szCs w:val="4"/>
                <w:color w:val="auto"/>
              </w:rPr>
            </w:pPr>
          </w:p>
        </w:tc>
        <w:tc>
          <w:tcPr>
            <w:tcW w:w="500" w:type="dxa"/>
            <w:vAlign w:val="bottom"/>
            <w:tcBorders>
              <w:right w:val="single" w:sz="8" w:color="auto"/>
            </w:tcBorders>
            <w:vMerge w:val="continue"/>
            <w:shd w:val="clear" w:color="auto" w:fill="0070C0"/>
          </w:tcPr>
          <w:p>
            <w:pPr>
              <w:spacing w:after="0"/>
              <w:rPr>
                <w:sz w:val="4"/>
                <w:szCs w:val="4"/>
                <w:color w:val="auto"/>
              </w:rPr>
            </w:pPr>
          </w:p>
        </w:tc>
        <w:tc>
          <w:tcPr>
            <w:tcW w:w="660" w:type="dxa"/>
            <w:vAlign w:val="bottom"/>
            <w:tcBorders>
              <w:right w:val="single" w:sz="8" w:color="auto"/>
            </w:tcBorders>
            <w:vMerge w:val="continue"/>
            <w:shd w:val="clear" w:color="auto" w:fill="0070C0"/>
          </w:tcPr>
          <w:p>
            <w:pPr>
              <w:spacing w:after="0"/>
              <w:rPr>
                <w:sz w:val="4"/>
                <w:szCs w:val="4"/>
                <w:color w:val="auto"/>
              </w:rPr>
            </w:pPr>
          </w:p>
        </w:tc>
        <w:tc>
          <w:tcPr>
            <w:tcW w:w="72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9"/>
              </w:rPr>
              <w:t>Qualifying</w:t>
            </w:r>
          </w:p>
        </w:tc>
        <w:tc>
          <w:tcPr>
            <w:tcW w:w="82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8"/>
              </w:rPr>
              <w:t>Adders*****</w:t>
            </w:r>
          </w:p>
        </w:tc>
        <w:tc>
          <w:tcPr>
            <w:tcW w:w="80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7"/>
              </w:rPr>
              <w:t>Value of Tax</w:t>
            </w:r>
          </w:p>
        </w:tc>
        <w:tc>
          <w:tcPr>
            <w:tcW w:w="560" w:type="dxa"/>
            <w:vAlign w:val="bottom"/>
            <w:tcBorders>
              <w:right w:val="single" w:sz="8" w:color="auto"/>
            </w:tcBorders>
            <w:vMerge w:val="continue"/>
            <w:shd w:val="clear" w:color="auto" w:fill="0070C0"/>
          </w:tcPr>
          <w:p>
            <w:pPr>
              <w:spacing w:after="0"/>
              <w:rPr>
                <w:sz w:val="4"/>
                <w:szCs w:val="4"/>
                <w:color w:val="auto"/>
              </w:rPr>
            </w:pPr>
          </w:p>
        </w:tc>
        <w:tc>
          <w:tcPr>
            <w:tcW w:w="720" w:type="dxa"/>
            <w:vAlign w:val="bottom"/>
            <w:tcBorders>
              <w:right w:val="single" w:sz="8" w:color="auto"/>
            </w:tcBorders>
            <w:vMerge w:val="continue"/>
            <w:shd w:val="clear" w:color="auto" w:fill="0070C0"/>
          </w:tcPr>
          <w:p>
            <w:pPr>
              <w:spacing w:after="0"/>
              <w:rPr>
                <w:sz w:val="4"/>
                <w:szCs w:val="4"/>
                <w:color w:val="auto"/>
              </w:rPr>
            </w:pPr>
          </w:p>
        </w:tc>
        <w:tc>
          <w:tcPr>
            <w:tcW w:w="660" w:type="dxa"/>
            <w:vAlign w:val="bottom"/>
            <w:tcBorders>
              <w:right w:val="single" w:sz="8" w:color="auto"/>
            </w:tcBorders>
            <w:vMerge w:val="continue"/>
            <w:shd w:val="clear" w:color="auto" w:fill="0070C0"/>
          </w:tcPr>
          <w:p>
            <w:pPr>
              <w:spacing w:after="0"/>
              <w:rPr>
                <w:sz w:val="4"/>
                <w:szCs w:val="4"/>
                <w:color w:val="auto"/>
              </w:rPr>
            </w:pPr>
          </w:p>
        </w:tc>
        <w:tc>
          <w:tcPr>
            <w:tcW w:w="720" w:type="dxa"/>
            <w:vAlign w:val="bottom"/>
            <w:tcBorders>
              <w:right w:val="single" w:sz="8" w:color="auto"/>
            </w:tcBorders>
            <w:vMerge w:val="continue"/>
            <w:shd w:val="clear" w:color="auto" w:fill="0070C0"/>
          </w:tcPr>
          <w:p>
            <w:pPr>
              <w:spacing w:after="0"/>
              <w:rPr>
                <w:sz w:val="4"/>
                <w:szCs w:val="4"/>
                <w:color w:val="auto"/>
              </w:rPr>
            </w:pPr>
          </w:p>
        </w:tc>
        <w:tc>
          <w:tcPr>
            <w:tcW w:w="740" w:type="dxa"/>
            <w:vAlign w:val="bottom"/>
            <w:tcBorders>
              <w:right w:val="single" w:sz="8" w:color="auto"/>
            </w:tcBorders>
            <w:vMerge w:val="continue"/>
            <w:shd w:val="clear" w:color="auto" w:fill="0070C0"/>
          </w:tcPr>
          <w:p>
            <w:pPr>
              <w:spacing w:after="0"/>
              <w:rPr>
                <w:sz w:val="4"/>
                <w:szCs w:val="4"/>
                <w:color w:val="auto"/>
              </w:rPr>
            </w:pPr>
          </w:p>
        </w:tc>
        <w:tc>
          <w:tcPr>
            <w:tcW w:w="1000" w:type="dxa"/>
            <w:vAlign w:val="bottom"/>
            <w:tcBorders>
              <w:right w:val="single" w:sz="8" w:color="auto"/>
            </w:tcBorders>
            <w:vMerge w:val="continue"/>
            <w:shd w:val="clear" w:color="auto" w:fill="0070C0"/>
          </w:tcPr>
          <w:p>
            <w:pPr>
              <w:spacing w:after="0"/>
              <w:rPr>
                <w:sz w:val="4"/>
                <w:szCs w:val="4"/>
                <w:color w:val="auto"/>
              </w:rPr>
            </w:pPr>
          </w:p>
        </w:tc>
        <w:tc>
          <w:tcPr>
            <w:tcW w:w="760" w:type="dxa"/>
            <w:vAlign w:val="bottom"/>
            <w:tcBorders>
              <w:right w:val="single" w:sz="8" w:color="auto"/>
            </w:tcBorders>
            <w:vMerge w:val="continue"/>
            <w:shd w:val="clear" w:color="auto" w:fill="0070C0"/>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1240" w:type="dxa"/>
            <w:vAlign w:val="bottom"/>
            <w:tcBorders>
              <w:left w:val="single" w:sz="8" w:color="auto"/>
              <w:right w:val="single" w:sz="8" w:color="auto"/>
            </w:tcBorders>
            <w:shd w:val="clear" w:color="auto" w:fill="0070C0"/>
          </w:tcPr>
          <w:p>
            <w:pPr>
              <w:spacing w:after="0"/>
              <w:rPr>
                <w:sz w:val="10"/>
                <w:szCs w:val="10"/>
                <w:color w:val="auto"/>
              </w:rPr>
            </w:pPr>
          </w:p>
        </w:tc>
        <w:tc>
          <w:tcPr>
            <w:tcW w:w="680" w:type="dxa"/>
            <w:vAlign w:val="bottom"/>
            <w:tcBorders>
              <w:right w:val="single" w:sz="8" w:color="auto"/>
            </w:tcBorders>
            <w:shd w:val="clear" w:color="auto" w:fill="0070C0"/>
          </w:tcPr>
          <w:p>
            <w:pPr>
              <w:spacing w:after="0"/>
              <w:rPr>
                <w:sz w:val="10"/>
                <w:szCs w:val="10"/>
                <w:color w:val="auto"/>
              </w:rPr>
            </w:pPr>
          </w:p>
        </w:tc>
        <w:tc>
          <w:tcPr>
            <w:tcW w:w="740" w:type="dxa"/>
            <w:vAlign w:val="bottom"/>
            <w:tcBorders>
              <w:right w:val="single" w:sz="8" w:color="auto"/>
            </w:tcBorders>
            <w:shd w:val="clear" w:color="auto" w:fill="0070C0"/>
          </w:tcPr>
          <w:p>
            <w:pPr>
              <w:jc w:val="center"/>
              <w:spacing w:after="0" w:line="119" w:lineRule="exact"/>
              <w:rPr>
                <w:sz w:val="20"/>
                <w:szCs w:val="20"/>
                <w:color w:val="auto"/>
              </w:rPr>
            </w:pPr>
            <w:r>
              <w:rPr>
                <w:rFonts w:ascii="Times New Roman" w:cs="Times New Roman" w:eastAsia="Times New Roman" w:hAnsi="Times New Roman"/>
                <w:sz w:val="12"/>
                <w:szCs w:val="12"/>
                <w:color w:val="FFFFFF"/>
                <w:w w:val="97"/>
              </w:rPr>
              <w:t>storage</w:t>
            </w:r>
          </w:p>
        </w:tc>
        <w:tc>
          <w:tcPr>
            <w:tcW w:w="500" w:type="dxa"/>
            <w:vAlign w:val="bottom"/>
            <w:tcBorders>
              <w:right w:val="single" w:sz="8" w:color="auto"/>
            </w:tcBorders>
            <w:shd w:val="clear" w:color="auto" w:fill="0070C0"/>
          </w:tcPr>
          <w:p>
            <w:pPr>
              <w:jc w:val="center"/>
              <w:spacing w:after="0" w:line="119" w:lineRule="exact"/>
              <w:rPr>
                <w:sz w:val="20"/>
                <w:szCs w:val="20"/>
                <w:color w:val="auto"/>
              </w:rPr>
            </w:pPr>
            <w:r>
              <w:rPr>
                <w:rFonts w:ascii="Times New Roman" w:cs="Times New Roman" w:eastAsia="Times New Roman" w:hAnsi="Times New Roman"/>
                <w:sz w:val="12"/>
                <w:szCs w:val="12"/>
                <w:color w:val="FFFFFF"/>
              </w:rPr>
              <w:t>COD</w:t>
            </w:r>
          </w:p>
        </w:tc>
        <w:tc>
          <w:tcPr>
            <w:tcW w:w="660" w:type="dxa"/>
            <w:vAlign w:val="bottom"/>
            <w:tcBorders>
              <w:right w:val="single" w:sz="8" w:color="auto"/>
            </w:tcBorders>
            <w:shd w:val="clear" w:color="auto" w:fill="0070C0"/>
          </w:tcPr>
          <w:p>
            <w:pPr>
              <w:spacing w:after="0"/>
              <w:rPr>
                <w:sz w:val="10"/>
                <w:szCs w:val="10"/>
                <w:color w:val="auto"/>
              </w:rPr>
            </w:pPr>
          </w:p>
        </w:tc>
        <w:tc>
          <w:tcPr>
            <w:tcW w:w="720" w:type="dxa"/>
            <w:vAlign w:val="bottom"/>
            <w:tcBorders>
              <w:right w:val="single" w:sz="8" w:color="auto"/>
            </w:tcBorders>
            <w:vMerge w:val="continue"/>
            <w:shd w:val="clear" w:color="auto" w:fill="0070C0"/>
          </w:tcPr>
          <w:p>
            <w:pPr>
              <w:spacing w:after="0"/>
              <w:rPr>
                <w:sz w:val="10"/>
                <w:szCs w:val="10"/>
                <w:color w:val="auto"/>
              </w:rPr>
            </w:pPr>
          </w:p>
        </w:tc>
        <w:tc>
          <w:tcPr>
            <w:tcW w:w="820" w:type="dxa"/>
            <w:vAlign w:val="bottom"/>
            <w:tcBorders>
              <w:right w:val="single" w:sz="8" w:color="auto"/>
            </w:tcBorders>
            <w:vMerge w:val="continue"/>
            <w:shd w:val="clear" w:color="auto" w:fill="0070C0"/>
          </w:tcPr>
          <w:p>
            <w:pPr>
              <w:spacing w:after="0"/>
              <w:rPr>
                <w:sz w:val="10"/>
                <w:szCs w:val="10"/>
                <w:color w:val="auto"/>
              </w:rPr>
            </w:pPr>
          </w:p>
        </w:tc>
        <w:tc>
          <w:tcPr>
            <w:tcW w:w="800" w:type="dxa"/>
            <w:vAlign w:val="bottom"/>
            <w:tcBorders>
              <w:right w:val="single" w:sz="8" w:color="auto"/>
            </w:tcBorders>
            <w:vMerge w:val="continue"/>
            <w:shd w:val="clear" w:color="auto" w:fill="0070C0"/>
          </w:tcPr>
          <w:p>
            <w:pPr>
              <w:spacing w:after="0"/>
              <w:rPr>
                <w:sz w:val="10"/>
                <w:szCs w:val="10"/>
                <w:color w:val="auto"/>
              </w:rPr>
            </w:pPr>
          </w:p>
        </w:tc>
        <w:tc>
          <w:tcPr>
            <w:tcW w:w="560" w:type="dxa"/>
            <w:vAlign w:val="bottom"/>
            <w:tcBorders>
              <w:right w:val="single" w:sz="8" w:color="auto"/>
            </w:tcBorders>
            <w:shd w:val="clear" w:color="auto" w:fill="0070C0"/>
          </w:tcPr>
          <w:p>
            <w:pPr>
              <w:jc w:val="center"/>
              <w:spacing w:after="0" w:line="119" w:lineRule="exact"/>
              <w:rPr>
                <w:sz w:val="20"/>
                <w:szCs w:val="20"/>
                <w:color w:val="auto"/>
              </w:rPr>
            </w:pPr>
            <w:r>
              <w:rPr>
                <w:rFonts w:ascii="Times New Roman" w:cs="Times New Roman" w:eastAsia="Times New Roman" w:hAnsi="Times New Roman"/>
                <w:sz w:val="12"/>
                <w:szCs w:val="12"/>
                <w:color w:val="FFFFFF"/>
                <w:w w:val="97"/>
              </w:rPr>
              <w:t>tax benefit</w:t>
            </w:r>
          </w:p>
        </w:tc>
        <w:tc>
          <w:tcPr>
            <w:tcW w:w="720" w:type="dxa"/>
            <w:vAlign w:val="bottom"/>
            <w:tcBorders>
              <w:right w:val="single" w:sz="8" w:color="auto"/>
            </w:tcBorders>
            <w:shd w:val="clear" w:color="auto" w:fill="0070C0"/>
          </w:tcPr>
          <w:p>
            <w:pPr>
              <w:jc w:val="center"/>
              <w:spacing w:after="0" w:line="119" w:lineRule="exact"/>
              <w:rPr>
                <w:sz w:val="20"/>
                <w:szCs w:val="20"/>
                <w:color w:val="auto"/>
              </w:rPr>
            </w:pPr>
            <w:r>
              <w:rPr>
                <w:rFonts w:ascii="Times New Roman" w:cs="Times New Roman" w:eastAsia="Times New Roman" w:hAnsi="Times New Roman"/>
                <w:sz w:val="12"/>
                <w:szCs w:val="12"/>
                <w:color w:val="FFFFFF"/>
              </w:rPr>
              <w:t>September 30,</w:t>
            </w:r>
          </w:p>
        </w:tc>
        <w:tc>
          <w:tcPr>
            <w:tcW w:w="660" w:type="dxa"/>
            <w:vAlign w:val="bottom"/>
            <w:tcBorders>
              <w:right w:val="single" w:sz="8" w:color="auto"/>
            </w:tcBorders>
            <w:shd w:val="clear" w:color="auto" w:fill="0070C0"/>
          </w:tcPr>
          <w:p>
            <w:pPr>
              <w:jc w:val="center"/>
              <w:spacing w:after="0" w:line="119" w:lineRule="exact"/>
              <w:rPr>
                <w:sz w:val="20"/>
                <w:szCs w:val="20"/>
                <w:color w:val="auto"/>
              </w:rPr>
            </w:pPr>
            <w:r>
              <w:rPr>
                <w:rFonts w:ascii="Times New Roman" w:cs="Times New Roman" w:eastAsia="Times New Roman" w:hAnsi="Times New Roman"/>
                <w:sz w:val="12"/>
                <w:szCs w:val="12"/>
                <w:color w:val="FFFFFF"/>
                <w:w w:val="99"/>
              </w:rPr>
              <w:t>(%)</w:t>
            </w:r>
          </w:p>
        </w:tc>
        <w:tc>
          <w:tcPr>
            <w:tcW w:w="720" w:type="dxa"/>
            <w:vAlign w:val="bottom"/>
            <w:tcBorders>
              <w:right w:val="single" w:sz="8" w:color="auto"/>
            </w:tcBorders>
            <w:shd w:val="clear" w:color="auto" w:fill="0070C0"/>
          </w:tcPr>
          <w:p>
            <w:pPr>
              <w:jc w:val="center"/>
              <w:spacing w:after="0" w:line="119" w:lineRule="exact"/>
              <w:rPr>
                <w:sz w:val="20"/>
                <w:szCs w:val="20"/>
                <w:color w:val="auto"/>
              </w:rPr>
            </w:pPr>
            <w:r>
              <w:rPr>
                <w:rFonts w:ascii="Times New Roman" w:cs="Times New Roman" w:eastAsia="Times New Roman" w:hAnsi="Times New Roman"/>
                <w:sz w:val="12"/>
                <w:szCs w:val="12"/>
                <w:color w:val="FFFFFF"/>
                <w:w w:val="98"/>
              </w:rPr>
              <w:t>September 30,</w:t>
            </w:r>
          </w:p>
        </w:tc>
        <w:tc>
          <w:tcPr>
            <w:tcW w:w="740" w:type="dxa"/>
            <w:vAlign w:val="bottom"/>
            <w:tcBorders>
              <w:right w:val="single" w:sz="8" w:color="auto"/>
            </w:tcBorders>
            <w:shd w:val="clear" w:color="auto" w:fill="0070C0"/>
          </w:tcPr>
          <w:p>
            <w:pPr>
              <w:ind w:left="20"/>
              <w:spacing w:after="0" w:line="119" w:lineRule="exact"/>
              <w:rPr>
                <w:sz w:val="20"/>
                <w:szCs w:val="20"/>
                <w:color w:val="auto"/>
              </w:rPr>
            </w:pPr>
            <w:r>
              <w:rPr>
                <w:rFonts w:ascii="Times New Roman" w:cs="Times New Roman" w:eastAsia="Times New Roman" w:hAnsi="Times New Roman"/>
                <w:sz w:val="12"/>
                <w:szCs w:val="12"/>
                <w:color w:val="FFFFFF"/>
                <w:w w:val="99"/>
              </w:rPr>
              <w:t>Year Revenue</w:t>
            </w:r>
          </w:p>
        </w:tc>
        <w:tc>
          <w:tcPr>
            <w:tcW w:w="1000" w:type="dxa"/>
            <w:vAlign w:val="bottom"/>
            <w:tcBorders>
              <w:right w:val="single" w:sz="8" w:color="auto"/>
            </w:tcBorders>
            <w:shd w:val="clear" w:color="auto" w:fill="0070C0"/>
          </w:tcPr>
          <w:p>
            <w:pPr>
              <w:jc w:val="center"/>
              <w:ind w:right="20"/>
              <w:spacing w:after="0" w:line="119" w:lineRule="exact"/>
              <w:rPr>
                <w:sz w:val="20"/>
                <w:szCs w:val="20"/>
                <w:color w:val="auto"/>
              </w:rPr>
            </w:pPr>
            <w:r>
              <w:rPr>
                <w:rFonts w:ascii="Times New Roman" w:cs="Times New Roman" w:eastAsia="Times New Roman" w:hAnsi="Times New Roman"/>
                <w:sz w:val="12"/>
                <w:szCs w:val="12"/>
                <w:color w:val="FFFFFF"/>
                <w:w w:val="99"/>
              </w:rPr>
              <w:t>EBITDA****</w:t>
            </w:r>
          </w:p>
        </w:tc>
        <w:tc>
          <w:tcPr>
            <w:tcW w:w="760" w:type="dxa"/>
            <w:vAlign w:val="bottom"/>
            <w:tcBorders>
              <w:right w:val="single" w:sz="8" w:color="auto"/>
            </w:tcBorders>
            <w:shd w:val="clear" w:color="auto" w:fill="0070C0"/>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240" w:type="dxa"/>
            <w:vAlign w:val="bottom"/>
            <w:tcBorders>
              <w:left w:val="single" w:sz="8" w:color="auto"/>
              <w:right w:val="single" w:sz="8" w:color="auto"/>
            </w:tcBorders>
            <w:shd w:val="clear" w:color="auto" w:fill="0070C0"/>
          </w:tcPr>
          <w:p>
            <w:pPr>
              <w:spacing w:after="0"/>
              <w:rPr>
                <w:sz w:val="13"/>
                <w:szCs w:val="13"/>
                <w:color w:val="auto"/>
              </w:rPr>
            </w:pPr>
          </w:p>
        </w:tc>
        <w:tc>
          <w:tcPr>
            <w:tcW w:w="680" w:type="dxa"/>
            <w:vAlign w:val="bottom"/>
            <w:tcBorders>
              <w:right w:val="single" w:sz="8" w:color="auto"/>
            </w:tcBorders>
            <w:shd w:val="clear" w:color="auto" w:fill="0070C0"/>
          </w:tcPr>
          <w:p>
            <w:pPr>
              <w:spacing w:after="0"/>
              <w:rPr>
                <w:sz w:val="13"/>
                <w:szCs w:val="13"/>
                <w:color w:val="auto"/>
              </w:rPr>
            </w:pPr>
          </w:p>
        </w:tc>
        <w:tc>
          <w:tcPr>
            <w:tcW w:w="74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8"/>
              </w:rPr>
              <w:t>Capacity</w:t>
            </w:r>
          </w:p>
        </w:tc>
        <w:tc>
          <w:tcPr>
            <w:tcW w:w="500" w:type="dxa"/>
            <w:vAlign w:val="bottom"/>
            <w:tcBorders>
              <w:right w:val="single" w:sz="8" w:color="auto"/>
            </w:tcBorders>
            <w:shd w:val="clear" w:color="auto" w:fill="0070C0"/>
          </w:tcPr>
          <w:p>
            <w:pPr>
              <w:spacing w:after="0"/>
              <w:rPr>
                <w:sz w:val="13"/>
                <w:szCs w:val="13"/>
                <w:color w:val="auto"/>
              </w:rPr>
            </w:pPr>
          </w:p>
        </w:tc>
        <w:tc>
          <w:tcPr>
            <w:tcW w:w="660" w:type="dxa"/>
            <w:vAlign w:val="bottom"/>
            <w:tcBorders>
              <w:right w:val="single" w:sz="8" w:color="auto"/>
            </w:tcBorders>
            <w:shd w:val="clear" w:color="auto" w:fill="0070C0"/>
          </w:tcPr>
          <w:p>
            <w:pPr>
              <w:spacing w:after="0"/>
              <w:rPr>
                <w:sz w:val="13"/>
                <w:szCs w:val="13"/>
                <w:color w:val="auto"/>
              </w:rPr>
            </w:pPr>
          </w:p>
        </w:tc>
        <w:tc>
          <w:tcPr>
            <w:tcW w:w="720" w:type="dxa"/>
            <w:vAlign w:val="bottom"/>
            <w:tcBorders>
              <w:right w:val="single" w:sz="8" w:color="auto"/>
            </w:tcBorders>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9"/>
              </w:rPr>
              <w:t>Category</w:t>
            </w:r>
          </w:p>
        </w:tc>
        <w:tc>
          <w:tcPr>
            <w:tcW w:w="820" w:type="dxa"/>
            <w:vAlign w:val="bottom"/>
            <w:tcBorders>
              <w:right w:val="single" w:sz="8" w:color="auto"/>
            </w:tcBorders>
            <w:shd w:val="clear" w:color="auto" w:fill="0070C0"/>
          </w:tcPr>
          <w:p>
            <w:pPr>
              <w:spacing w:after="0"/>
              <w:rPr>
                <w:sz w:val="13"/>
                <w:szCs w:val="13"/>
                <w:color w:val="auto"/>
              </w:rPr>
            </w:pPr>
          </w:p>
        </w:tc>
        <w:tc>
          <w:tcPr>
            <w:tcW w:w="800" w:type="dxa"/>
            <w:vAlign w:val="bottom"/>
            <w:tcBorders>
              <w:right w:val="single" w:sz="8" w:color="auto"/>
            </w:tcBorders>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rPr>
              <w:t>Benefit***</w:t>
            </w:r>
          </w:p>
        </w:tc>
        <w:tc>
          <w:tcPr>
            <w:tcW w:w="560" w:type="dxa"/>
            <w:vAlign w:val="bottom"/>
            <w:tcBorders>
              <w:right w:val="single" w:sz="8" w:color="auto"/>
            </w:tcBorders>
            <w:shd w:val="clear" w:color="auto" w:fill="0070C0"/>
          </w:tcPr>
          <w:p>
            <w:pPr>
              <w:spacing w:after="0"/>
              <w:rPr>
                <w:sz w:val="13"/>
                <w:szCs w:val="13"/>
                <w:color w:val="auto"/>
              </w:rPr>
            </w:pPr>
          </w:p>
        </w:tc>
        <w:tc>
          <w:tcPr>
            <w:tcW w:w="72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9"/>
              </w:rPr>
              <w:t>2025</w:t>
            </w:r>
          </w:p>
        </w:tc>
        <w:tc>
          <w:tcPr>
            <w:tcW w:w="660" w:type="dxa"/>
            <w:vAlign w:val="bottom"/>
            <w:tcBorders>
              <w:right w:val="single" w:sz="8" w:color="auto"/>
            </w:tcBorders>
            <w:shd w:val="clear" w:color="auto" w:fill="0070C0"/>
          </w:tcPr>
          <w:p>
            <w:pPr>
              <w:spacing w:after="0"/>
              <w:rPr>
                <w:sz w:val="13"/>
                <w:szCs w:val="13"/>
                <w:color w:val="auto"/>
              </w:rPr>
            </w:pPr>
          </w:p>
        </w:tc>
        <w:tc>
          <w:tcPr>
            <w:tcW w:w="72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9"/>
              </w:rPr>
              <w:t>2025</w:t>
            </w:r>
          </w:p>
        </w:tc>
        <w:tc>
          <w:tcPr>
            <w:tcW w:w="74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9"/>
              </w:rPr>
              <w:t>*********</w:t>
            </w:r>
          </w:p>
        </w:tc>
        <w:tc>
          <w:tcPr>
            <w:tcW w:w="1000" w:type="dxa"/>
            <w:vAlign w:val="bottom"/>
            <w:tcBorders>
              <w:right w:val="single" w:sz="8" w:color="auto"/>
            </w:tcBorders>
            <w:shd w:val="clear" w:color="auto" w:fill="0070C0"/>
          </w:tcPr>
          <w:p>
            <w:pPr>
              <w:spacing w:after="0"/>
              <w:rPr>
                <w:sz w:val="13"/>
                <w:szCs w:val="13"/>
                <w:color w:val="auto"/>
              </w:rPr>
            </w:pPr>
          </w:p>
        </w:tc>
        <w:tc>
          <w:tcPr>
            <w:tcW w:w="760" w:type="dxa"/>
            <w:vAlign w:val="bottom"/>
            <w:tcBorders>
              <w:right w:val="single" w:sz="8" w:color="auto"/>
            </w:tcBorders>
            <w:shd w:val="clear" w:color="auto" w:fill="0070C0"/>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tcBorders>
              <w:left w:val="single" w:sz="8" w:color="auto"/>
              <w:right w:val="single" w:sz="8" w:color="auto"/>
            </w:tcBorders>
            <w:shd w:val="clear" w:color="auto" w:fill="0070C0"/>
          </w:tcPr>
          <w:p>
            <w:pPr>
              <w:spacing w:after="0"/>
              <w:rPr>
                <w:sz w:val="2"/>
                <w:szCs w:val="2"/>
                <w:color w:val="auto"/>
              </w:rPr>
            </w:pPr>
          </w:p>
        </w:tc>
        <w:tc>
          <w:tcPr>
            <w:tcW w:w="680" w:type="dxa"/>
            <w:vAlign w:val="bottom"/>
            <w:tcBorders>
              <w:right w:val="single" w:sz="8" w:color="auto"/>
            </w:tcBorders>
            <w:shd w:val="clear" w:color="auto" w:fill="0070C0"/>
          </w:tcPr>
          <w:p>
            <w:pPr>
              <w:spacing w:after="0"/>
              <w:rPr>
                <w:sz w:val="2"/>
                <w:szCs w:val="2"/>
                <w:color w:val="auto"/>
              </w:rPr>
            </w:pPr>
          </w:p>
        </w:tc>
        <w:tc>
          <w:tcPr>
            <w:tcW w:w="740" w:type="dxa"/>
            <w:vAlign w:val="bottom"/>
            <w:tcBorders>
              <w:right w:val="single" w:sz="8" w:color="auto"/>
            </w:tcBorders>
            <w:vMerge w:val="continue"/>
            <w:shd w:val="clear" w:color="auto" w:fill="0070C0"/>
          </w:tcPr>
          <w:p>
            <w:pPr>
              <w:spacing w:after="0"/>
              <w:rPr>
                <w:sz w:val="2"/>
                <w:szCs w:val="2"/>
                <w:color w:val="auto"/>
              </w:rPr>
            </w:pPr>
          </w:p>
        </w:tc>
        <w:tc>
          <w:tcPr>
            <w:tcW w:w="500" w:type="dxa"/>
            <w:vAlign w:val="bottom"/>
            <w:tcBorders>
              <w:right w:val="single" w:sz="8" w:color="auto"/>
            </w:tcBorders>
            <w:shd w:val="clear" w:color="auto" w:fill="0070C0"/>
          </w:tcPr>
          <w:p>
            <w:pPr>
              <w:spacing w:after="0"/>
              <w:rPr>
                <w:sz w:val="2"/>
                <w:szCs w:val="2"/>
                <w:color w:val="auto"/>
              </w:rPr>
            </w:pPr>
          </w:p>
        </w:tc>
        <w:tc>
          <w:tcPr>
            <w:tcW w:w="660" w:type="dxa"/>
            <w:vAlign w:val="bottom"/>
            <w:tcBorders>
              <w:right w:val="single" w:sz="8" w:color="auto"/>
            </w:tcBorders>
            <w:shd w:val="clear" w:color="auto" w:fill="0070C0"/>
          </w:tcPr>
          <w:p>
            <w:pPr>
              <w:spacing w:after="0"/>
              <w:rPr>
                <w:sz w:val="2"/>
                <w:szCs w:val="2"/>
                <w:color w:val="auto"/>
              </w:rPr>
            </w:pPr>
          </w:p>
        </w:tc>
        <w:tc>
          <w:tcPr>
            <w:tcW w:w="720" w:type="dxa"/>
            <w:vAlign w:val="bottom"/>
            <w:tcBorders>
              <w:right w:val="single" w:sz="8" w:color="auto"/>
            </w:tcBorders>
            <w:shd w:val="clear" w:color="auto" w:fill="0070C0"/>
          </w:tcPr>
          <w:p>
            <w:pPr>
              <w:spacing w:after="0"/>
              <w:rPr>
                <w:sz w:val="2"/>
                <w:szCs w:val="2"/>
                <w:color w:val="auto"/>
              </w:rPr>
            </w:pPr>
          </w:p>
        </w:tc>
        <w:tc>
          <w:tcPr>
            <w:tcW w:w="820" w:type="dxa"/>
            <w:vAlign w:val="bottom"/>
            <w:tcBorders>
              <w:right w:val="single" w:sz="8" w:color="auto"/>
            </w:tcBorders>
            <w:shd w:val="clear" w:color="auto" w:fill="0070C0"/>
          </w:tcPr>
          <w:p>
            <w:pPr>
              <w:spacing w:after="0"/>
              <w:rPr>
                <w:sz w:val="2"/>
                <w:szCs w:val="2"/>
                <w:color w:val="auto"/>
              </w:rPr>
            </w:pPr>
          </w:p>
        </w:tc>
        <w:tc>
          <w:tcPr>
            <w:tcW w:w="800" w:type="dxa"/>
            <w:vAlign w:val="bottom"/>
            <w:tcBorders>
              <w:right w:val="single" w:sz="8" w:color="auto"/>
            </w:tcBorders>
            <w:shd w:val="clear" w:color="auto" w:fill="0070C0"/>
          </w:tcPr>
          <w:p>
            <w:pPr>
              <w:spacing w:after="0"/>
              <w:rPr>
                <w:sz w:val="2"/>
                <w:szCs w:val="2"/>
                <w:color w:val="auto"/>
              </w:rPr>
            </w:pPr>
          </w:p>
        </w:tc>
        <w:tc>
          <w:tcPr>
            <w:tcW w:w="560" w:type="dxa"/>
            <w:vAlign w:val="bottom"/>
            <w:tcBorders>
              <w:right w:val="single" w:sz="8" w:color="auto"/>
            </w:tcBorders>
            <w:shd w:val="clear" w:color="auto" w:fill="0070C0"/>
          </w:tcPr>
          <w:p>
            <w:pPr>
              <w:spacing w:after="0"/>
              <w:rPr>
                <w:sz w:val="2"/>
                <w:szCs w:val="2"/>
                <w:color w:val="auto"/>
              </w:rPr>
            </w:pPr>
          </w:p>
        </w:tc>
        <w:tc>
          <w:tcPr>
            <w:tcW w:w="720" w:type="dxa"/>
            <w:vAlign w:val="bottom"/>
            <w:tcBorders>
              <w:right w:val="single" w:sz="8" w:color="auto"/>
            </w:tcBorders>
            <w:vMerge w:val="continue"/>
            <w:shd w:val="clear" w:color="auto" w:fill="0070C0"/>
          </w:tcPr>
          <w:p>
            <w:pPr>
              <w:spacing w:after="0"/>
              <w:rPr>
                <w:sz w:val="2"/>
                <w:szCs w:val="2"/>
                <w:color w:val="auto"/>
              </w:rPr>
            </w:pPr>
          </w:p>
        </w:tc>
        <w:tc>
          <w:tcPr>
            <w:tcW w:w="660" w:type="dxa"/>
            <w:vAlign w:val="bottom"/>
            <w:tcBorders>
              <w:right w:val="single" w:sz="8" w:color="auto"/>
            </w:tcBorders>
            <w:shd w:val="clear" w:color="auto" w:fill="0070C0"/>
          </w:tcPr>
          <w:p>
            <w:pPr>
              <w:spacing w:after="0"/>
              <w:rPr>
                <w:sz w:val="2"/>
                <w:szCs w:val="2"/>
                <w:color w:val="auto"/>
              </w:rPr>
            </w:pPr>
          </w:p>
        </w:tc>
        <w:tc>
          <w:tcPr>
            <w:tcW w:w="720" w:type="dxa"/>
            <w:vAlign w:val="bottom"/>
            <w:tcBorders>
              <w:right w:val="single" w:sz="8" w:color="auto"/>
            </w:tcBorders>
            <w:vMerge w:val="continue"/>
            <w:shd w:val="clear" w:color="auto" w:fill="0070C0"/>
          </w:tcPr>
          <w:p>
            <w:pPr>
              <w:spacing w:after="0"/>
              <w:rPr>
                <w:sz w:val="2"/>
                <w:szCs w:val="2"/>
                <w:color w:val="auto"/>
              </w:rPr>
            </w:pPr>
          </w:p>
        </w:tc>
        <w:tc>
          <w:tcPr>
            <w:tcW w:w="740" w:type="dxa"/>
            <w:vAlign w:val="bottom"/>
            <w:tcBorders>
              <w:right w:val="single" w:sz="8" w:color="auto"/>
            </w:tcBorders>
            <w:vMerge w:val="continue"/>
            <w:shd w:val="clear" w:color="auto" w:fill="0070C0"/>
          </w:tcPr>
          <w:p>
            <w:pPr>
              <w:spacing w:after="0"/>
              <w:rPr>
                <w:sz w:val="2"/>
                <w:szCs w:val="2"/>
                <w:color w:val="auto"/>
              </w:rPr>
            </w:pPr>
          </w:p>
        </w:tc>
        <w:tc>
          <w:tcPr>
            <w:tcW w:w="1000" w:type="dxa"/>
            <w:vAlign w:val="bottom"/>
            <w:tcBorders>
              <w:right w:val="single" w:sz="8" w:color="auto"/>
            </w:tcBorders>
            <w:shd w:val="clear" w:color="auto" w:fill="0070C0"/>
          </w:tcPr>
          <w:p>
            <w:pPr>
              <w:spacing w:after="0"/>
              <w:rPr>
                <w:sz w:val="2"/>
                <w:szCs w:val="2"/>
                <w:color w:val="auto"/>
              </w:rPr>
            </w:pPr>
          </w:p>
        </w:tc>
        <w:tc>
          <w:tcPr>
            <w:tcW w:w="760" w:type="dxa"/>
            <w:vAlign w:val="bottom"/>
            <w:tcBorders>
              <w:right w:val="single" w:sz="8" w:color="auto"/>
            </w:tcBorders>
            <w:shd w:val="clear" w:color="auto" w:fill="0070C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1240" w:type="dxa"/>
            <w:vAlign w:val="bottom"/>
            <w:tcBorders>
              <w:left w:val="single" w:sz="8" w:color="auto"/>
              <w:bottom w:val="single" w:sz="8" w:color="auto"/>
              <w:right w:val="single" w:sz="8" w:color="auto"/>
            </w:tcBorders>
            <w:shd w:val="clear" w:color="auto" w:fill="0070C0"/>
          </w:tcPr>
          <w:p>
            <w:pPr>
              <w:spacing w:after="0"/>
              <w:rPr>
                <w:sz w:val="13"/>
                <w:szCs w:val="13"/>
                <w:color w:val="auto"/>
              </w:rPr>
            </w:pPr>
          </w:p>
        </w:tc>
        <w:tc>
          <w:tcPr>
            <w:tcW w:w="680" w:type="dxa"/>
            <w:vAlign w:val="bottom"/>
            <w:tcBorders>
              <w:bottom w:val="single" w:sz="8" w:color="auto"/>
              <w:right w:val="single" w:sz="8" w:color="auto"/>
            </w:tcBorders>
            <w:shd w:val="clear" w:color="auto" w:fill="0070C0"/>
          </w:tcPr>
          <w:p>
            <w:pPr>
              <w:spacing w:after="0"/>
              <w:rPr>
                <w:sz w:val="13"/>
                <w:szCs w:val="13"/>
                <w:color w:val="auto"/>
              </w:rPr>
            </w:pPr>
          </w:p>
        </w:tc>
        <w:tc>
          <w:tcPr>
            <w:tcW w:w="740" w:type="dxa"/>
            <w:vAlign w:val="bottom"/>
            <w:tcBorders>
              <w:bottom w:val="single" w:sz="8" w:color="auto"/>
              <w:right w:val="single" w:sz="8" w:color="auto"/>
            </w:tcBorders>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rPr>
              <w:t>(MW/MWh)</w:t>
            </w:r>
          </w:p>
        </w:tc>
        <w:tc>
          <w:tcPr>
            <w:tcW w:w="500" w:type="dxa"/>
            <w:vAlign w:val="bottom"/>
            <w:tcBorders>
              <w:bottom w:val="single" w:sz="8" w:color="auto"/>
              <w:right w:val="single" w:sz="8" w:color="auto"/>
            </w:tcBorders>
            <w:shd w:val="clear" w:color="auto" w:fill="0070C0"/>
          </w:tcPr>
          <w:p>
            <w:pPr>
              <w:spacing w:after="0"/>
              <w:rPr>
                <w:sz w:val="13"/>
                <w:szCs w:val="13"/>
                <w:color w:val="auto"/>
              </w:rPr>
            </w:pPr>
          </w:p>
        </w:tc>
        <w:tc>
          <w:tcPr>
            <w:tcW w:w="660" w:type="dxa"/>
            <w:vAlign w:val="bottom"/>
            <w:tcBorders>
              <w:bottom w:val="single" w:sz="8" w:color="auto"/>
              <w:right w:val="single" w:sz="8" w:color="auto"/>
            </w:tcBorders>
            <w:shd w:val="clear" w:color="auto" w:fill="0070C0"/>
          </w:tcPr>
          <w:p>
            <w:pPr>
              <w:spacing w:after="0"/>
              <w:rPr>
                <w:sz w:val="13"/>
                <w:szCs w:val="13"/>
                <w:color w:val="auto"/>
              </w:rPr>
            </w:pPr>
          </w:p>
        </w:tc>
        <w:tc>
          <w:tcPr>
            <w:tcW w:w="720" w:type="dxa"/>
            <w:vAlign w:val="bottom"/>
            <w:tcBorders>
              <w:bottom w:val="single" w:sz="8" w:color="auto"/>
              <w:right w:val="single" w:sz="8" w:color="auto"/>
            </w:tcBorders>
            <w:shd w:val="clear" w:color="auto" w:fill="0070C0"/>
          </w:tcPr>
          <w:p>
            <w:pPr>
              <w:spacing w:after="0"/>
              <w:rPr>
                <w:sz w:val="13"/>
                <w:szCs w:val="13"/>
                <w:color w:val="auto"/>
              </w:rPr>
            </w:pPr>
          </w:p>
        </w:tc>
        <w:tc>
          <w:tcPr>
            <w:tcW w:w="820" w:type="dxa"/>
            <w:vAlign w:val="bottom"/>
            <w:tcBorders>
              <w:bottom w:val="single" w:sz="8" w:color="auto"/>
              <w:right w:val="single" w:sz="8" w:color="auto"/>
            </w:tcBorders>
            <w:shd w:val="clear" w:color="auto" w:fill="0070C0"/>
          </w:tcPr>
          <w:p>
            <w:pPr>
              <w:spacing w:after="0"/>
              <w:rPr>
                <w:sz w:val="13"/>
                <w:szCs w:val="13"/>
                <w:color w:val="auto"/>
              </w:rPr>
            </w:pPr>
          </w:p>
        </w:tc>
        <w:tc>
          <w:tcPr>
            <w:tcW w:w="800" w:type="dxa"/>
            <w:vAlign w:val="bottom"/>
            <w:tcBorders>
              <w:bottom w:val="single" w:sz="8" w:color="auto"/>
              <w:right w:val="single" w:sz="8" w:color="auto"/>
            </w:tcBorders>
            <w:shd w:val="clear" w:color="auto" w:fill="0070C0"/>
          </w:tcPr>
          <w:p>
            <w:pPr>
              <w:spacing w:after="0"/>
              <w:rPr>
                <w:sz w:val="13"/>
                <w:szCs w:val="13"/>
                <w:color w:val="auto"/>
              </w:rPr>
            </w:pPr>
          </w:p>
        </w:tc>
        <w:tc>
          <w:tcPr>
            <w:tcW w:w="560" w:type="dxa"/>
            <w:vAlign w:val="bottom"/>
            <w:tcBorders>
              <w:bottom w:val="single" w:sz="8" w:color="auto"/>
              <w:right w:val="single" w:sz="8" w:color="auto"/>
            </w:tcBorders>
            <w:shd w:val="clear" w:color="auto" w:fill="0070C0"/>
          </w:tcPr>
          <w:p>
            <w:pPr>
              <w:spacing w:after="0"/>
              <w:rPr>
                <w:sz w:val="13"/>
                <w:szCs w:val="13"/>
                <w:color w:val="auto"/>
              </w:rPr>
            </w:pPr>
          </w:p>
        </w:tc>
        <w:tc>
          <w:tcPr>
            <w:tcW w:w="720" w:type="dxa"/>
            <w:vAlign w:val="bottom"/>
            <w:tcBorders>
              <w:bottom w:val="single" w:sz="8" w:color="auto"/>
              <w:right w:val="single" w:sz="8" w:color="auto"/>
            </w:tcBorders>
            <w:shd w:val="clear" w:color="auto" w:fill="0070C0"/>
          </w:tcPr>
          <w:p>
            <w:pPr>
              <w:spacing w:after="0"/>
              <w:rPr>
                <w:sz w:val="13"/>
                <w:szCs w:val="13"/>
                <w:color w:val="auto"/>
              </w:rPr>
            </w:pPr>
          </w:p>
        </w:tc>
        <w:tc>
          <w:tcPr>
            <w:tcW w:w="660" w:type="dxa"/>
            <w:vAlign w:val="bottom"/>
            <w:tcBorders>
              <w:bottom w:val="single" w:sz="8" w:color="auto"/>
              <w:right w:val="single" w:sz="8" w:color="auto"/>
            </w:tcBorders>
            <w:shd w:val="clear" w:color="auto" w:fill="0070C0"/>
          </w:tcPr>
          <w:p>
            <w:pPr>
              <w:spacing w:after="0"/>
              <w:rPr>
                <w:sz w:val="13"/>
                <w:szCs w:val="13"/>
                <w:color w:val="auto"/>
              </w:rPr>
            </w:pPr>
          </w:p>
        </w:tc>
        <w:tc>
          <w:tcPr>
            <w:tcW w:w="720" w:type="dxa"/>
            <w:vAlign w:val="bottom"/>
            <w:tcBorders>
              <w:bottom w:val="single" w:sz="8" w:color="auto"/>
              <w:right w:val="single" w:sz="8" w:color="auto"/>
            </w:tcBorders>
            <w:shd w:val="clear" w:color="auto" w:fill="0070C0"/>
          </w:tcPr>
          <w:p>
            <w:pPr>
              <w:spacing w:after="0"/>
              <w:rPr>
                <w:sz w:val="13"/>
                <w:szCs w:val="13"/>
                <w:color w:val="auto"/>
              </w:rPr>
            </w:pPr>
          </w:p>
        </w:tc>
        <w:tc>
          <w:tcPr>
            <w:tcW w:w="740" w:type="dxa"/>
            <w:vAlign w:val="bottom"/>
            <w:tcBorders>
              <w:bottom w:val="single" w:sz="8" w:color="auto"/>
              <w:right w:val="single" w:sz="8" w:color="auto"/>
            </w:tcBorders>
            <w:shd w:val="clear" w:color="auto" w:fill="0070C0"/>
          </w:tcPr>
          <w:p>
            <w:pPr>
              <w:spacing w:after="0"/>
              <w:rPr>
                <w:sz w:val="13"/>
                <w:szCs w:val="13"/>
                <w:color w:val="auto"/>
              </w:rPr>
            </w:pPr>
          </w:p>
        </w:tc>
        <w:tc>
          <w:tcPr>
            <w:tcW w:w="1000" w:type="dxa"/>
            <w:vAlign w:val="bottom"/>
            <w:tcBorders>
              <w:bottom w:val="single" w:sz="8" w:color="auto"/>
              <w:right w:val="single" w:sz="8" w:color="auto"/>
            </w:tcBorders>
            <w:shd w:val="clear" w:color="auto" w:fill="0070C0"/>
          </w:tcPr>
          <w:p>
            <w:pPr>
              <w:spacing w:after="0"/>
              <w:rPr>
                <w:sz w:val="13"/>
                <w:szCs w:val="13"/>
                <w:color w:val="auto"/>
              </w:rPr>
            </w:pPr>
          </w:p>
        </w:tc>
        <w:tc>
          <w:tcPr>
            <w:tcW w:w="760" w:type="dxa"/>
            <w:vAlign w:val="bottom"/>
            <w:tcBorders>
              <w:bottom w:val="single" w:sz="8" w:color="auto"/>
              <w:right w:val="single" w:sz="8" w:color="auto"/>
            </w:tcBorders>
            <w:shd w:val="clear" w:color="auto" w:fill="0070C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CoBar 1</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United States</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258/824</w:t>
            </w:r>
          </w:p>
        </w:tc>
        <w:tc>
          <w:tcPr>
            <w:tcW w:w="500" w:type="dxa"/>
            <w:vAlign w:val="bottom"/>
            <w:tcBorders>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590-620</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2"/>
              </w:rPr>
              <w:t>ITC</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EC (10%)</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271-285</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319-335</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89</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13%-16%</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89</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126-132</w:t>
            </w:r>
          </w:p>
        </w:tc>
        <w:tc>
          <w:tcPr>
            <w:tcW w:w="1000" w:type="dxa"/>
            <w:vAlign w:val="bottom"/>
            <w:tcBorders>
              <w:right w:val="single" w:sz="8" w:color="auto"/>
            </w:tcBorders>
            <w:vMerge w:val="restart"/>
          </w:tcPr>
          <w:p>
            <w:pPr>
              <w:jc w:val="center"/>
              <w:ind w:right="20"/>
              <w:spacing w:after="0"/>
              <w:rPr>
                <w:sz w:val="20"/>
                <w:szCs w:val="20"/>
                <w:color w:val="auto"/>
              </w:rPr>
            </w:pPr>
            <w:r>
              <w:rPr>
                <w:rFonts w:ascii="Times New Roman" w:cs="Times New Roman" w:eastAsia="Times New Roman" w:hAnsi="Times New Roman"/>
                <w:sz w:val="12"/>
                <w:szCs w:val="12"/>
                <w:color w:val="auto"/>
                <w:w w:val="99"/>
              </w:rPr>
              <w:t>101-106</w:t>
            </w:r>
          </w:p>
        </w:tc>
        <w:tc>
          <w:tcPr>
            <w:tcW w:w="760" w:type="dxa"/>
            <w:vAlign w:val="bottom"/>
            <w:tcBorders>
              <w:right w:val="single" w:sz="8" w:color="auto"/>
            </w:tcBorders>
            <w:vMerge w:val="restart"/>
          </w:tcPr>
          <w:p>
            <w:pPr>
              <w:jc w:val="center"/>
              <w:ind w:right="20"/>
              <w:spacing w:after="0"/>
              <w:rPr>
                <w:sz w:val="20"/>
                <w:szCs w:val="20"/>
                <w:color w:val="auto"/>
              </w:rPr>
            </w:pPr>
            <w:r>
              <w:rPr>
                <w:rFonts w:ascii="Times New Roman" w:cs="Times New Roman" w:eastAsia="Times New Roman" w:hAnsi="Times New Roman"/>
                <w:sz w:val="12"/>
                <w:szCs w:val="12"/>
                <w:color w:val="auto"/>
                <w:w w:val="99"/>
              </w:rPr>
              <w:t>100%</w:t>
            </w:r>
          </w:p>
        </w:tc>
        <w:tc>
          <w:tcPr>
            <w:tcW w:w="0" w:type="dxa"/>
            <w:vAlign w:val="bottom"/>
          </w:tcPr>
          <w:p>
            <w:pPr>
              <w:spacing w:after="0"/>
              <w:rPr>
                <w:sz w:val="1"/>
                <w:szCs w:val="1"/>
                <w:color w:val="auto"/>
              </w:rPr>
            </w:pPr>
          </w:p>
        </w:tc>
      </w:tr>
      <w:tr>
        <w:trPr>
          <w:trHeight w:val="52"/>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CoBar 2+3</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United States</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4"/>
              </w:rPr>
              <w:t>952/0</w:t>
            </w:r>
          </w:p>
        </w:tc>
        <w:tc>
          <w:tcPr>
            <w:tcW w:w="500" w:type="dxa"/>
            <w:vAlign w:val="bottom"/>
            <w:tcBorders>
              <w:right w:val="single" w:sz="8" w:color="auto"/>
            </w:tcBorders>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auto"/>
              </w:rPr>
              <w:t>H2 2027</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1,125-1,183</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PTC</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EC (10%)</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551-579</w:t>
            </w: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574-604</w:t>
            </w:r>
          </w:p>
        </w:tc>
        <w:tc>
          <w:tcPr>
            <w:tcW w:w="720" w:type="dxa"/>
            <w:vAlign w:val="bottom"/>
            <w:tcBorders>
              <w:right w:val="single" w:sz="8" w:color="auto"/>
            </w:tcBorders>
            <w:vMerge w:val="continue"/>
          </w:tcPr>
          <w:p>
            <w:pPr>
              <w:spacing w:after="0"/>
              <w:rPr>
                <w:sz w:val="4"/>
                <w:szCs w:val="4"/>
                <w:color w:val="auto"/>
              </w:rPr>
            </w:pPr>
          </w:p>
        </w:tc>
        <w:tc>
          <w:tcPr>
            <w:tcW w:w="66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1000" w:type="dxa"/>
            <w:vAlign w:val="bottom"/>
            <w:tcBorders>
              <w:right w:val="single" w:sz="8" w:color="auto"/>
            </w:tcBorders>
            <w:vMerge w:val="continue"/>
          </w:tcPr>
          <w:p>
            <w:pPr>
              <w:spacing w:after="0"/>
              <w:rPr>
                <w:sz w:val="4"/>
                <w:szCs w:val="4"/>
                <w:color w:val="auto"/>
              </w:rPr>
            </w:pPr>
          </w:p>
        </w:tc>
        <w:tc>
          <w:tcPr>
            <w:tcW w:w="7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124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680" w:type="dxa"/>
            <w:vAlign w:val="bottom"/>
            <w:tcBorders>
              <w:bottom w:val="single" w:sz="8" w:color="auto"/>
              <w:right w:val="single" w:sz="8" w:color="auto"/>
            </w:tcBorders>
            <w:vMerge w:val="continue"/>
          </w:tcPr>
          <w:p>
            <w:pPr>
              <w:spacing w:after="0"/>
              <w:rPr>
                <w:sz w:val="8"/>
                <w:szCs w:val="8"/>
                <w:color w:val="auto"/>
              </w:rPr>
            </w:pPr>
          </w:p>
        </w:tc>
        <w:tc>
          <w:tcPr>
            <w:tcW w:w="740" w:type="dxa"/>
            <w:vAlign w:val="bottom"/>
            <w:tcBorders>
              <w:bottom w:val="single" w:sz="8" w:color="auto"/>
              <w:right w:val="single" w:sz="8" w:color="auto"/>
            </w:tcBorders>
            <w:vMerge w:val="continue"/>
          </w:tcPr>
          <w:p>
            <w:pPr>
              <w:spacing w:after="0"/>
              <w:rPr>
                <w:sz w:val="8"/>
                <w:szCs w:val="8"/>
                <w:color w:val="auto"/>
              </w:rPr>
            </w:pPr>
          </w:p>
        </w:tc>
        <w:tc>
          <w:tcPr>
            <w:tcW w:w="500" w:type="dxa"/>
            <w:vAlign w:val="bottom"/>
            <w:tcBorders>
              <w:bottom w:val="single" w:sz="8" w:color="auto"/>
              <w:right w:val="single" w:sz="8" w:color="auto"/>
            </w:tcBorders>
            <w:vMerge w:val="continue"/>
          </w:tcPr>
          <w:p>
            <w:pPr>
              <w:spacing w:after="0"/>
              <w:rPr>
                <w:sz w:val="8"/>
                <w:szCs w:val="8"/>
                <w:color w:val="auto"/>
              </w:rPr>
            </w:pPr>
          </w:p>
        </w:tc>
        <w:tc>
          <w:tcPr>
            <w:tcW w:w="660" w:type="dxa"/>
            <w:vAlign w:val="bottom"/>
            <w:tcBorders>
              <w:bottom w:val="single" w:sz="8" w:color="auto"/>
              <w:right w:val="single" w:sz="8" w:color="auto"/>
            </w:tcBorders>
            <w:vMerge w:val="continue"/>
          </w:tcPr>
          <w:p>
            <w:pPr>
              <w:spacing w:after="0"/>
              <w:rPr>
                <w:sz w:val="8"/>
                <w:szCs w:val="8"/>
                <w:color w:val="auto"/>
              </w:rPr>
            </w:pPr>
          </w:p>
        </w:tc>
        <w:tc>
          <w:tcPr>
            <w:tcW w:w="720" w:type="dxa"/>
            <w:vAlign w:val="bottom"/>
            <w:tcBorders>
              <w:bottom w:val="single" w:sz="8" w:color="auto"/>
              <w:right w:val="single" w:sz="8" w:color="auto"/>
            </w:tcBorders>
            <w:vMerge w:val="continue"/>
          </w:tcPr>
          <w:p>
            <w:pPr>
              <w:spacing w:after="0"/>
              <w:rPr>
                <w:sz w:val="8"/>
                <w:szCs w:val="8"/>
                <w:color w:val="auto"/>
              </w:rPr>
            </w:pPr>
          </w:p>
        </w:tc>
        <w:tc>
          <w:tcPr>
            <w:tcW w:w="820" w:type="dxa"/>
            <w:vAlign w:val="bottom"/>
            <w:tcBorders>
              <w:bottom w:val="single" w:sz="8" w:color="auto"/>
              <w:right w:val="single" w:sz="8" w:color="auto"/>
            </w:tcBorders>
            <w:vMerge w:val="continue"/>
          </w:tcPr>
          <w:p>
            <w:pPr>
              <w:spacing w:after="0"/>
              <w:rPr>
                <w:sz w:val="8"/>
                <w:szCs w:val="8"/>
                <w:color w:val="auto"/>
              </w:rPr>
            </w:pPr>
          </w:p>
        </w:tc>
        <w:tc>
          <w:tcPr>
            <w:tcW w:w="800" w:type="dxa"/>
            <w:vAlign w:val="bottom"/>
            <w:tcBorders>
              <w:bottom w:val="single" w:sz="8" w:color="auto"/>
              <w:right w:val="single" w:sz="8" w:color="auto"/>
            </w:tcBorders>
            <w:vMerge w:val="continue"/>
          </w:tcPr>
          <w:p>
            <w:pPr>
              <w:spacing w:after="0"/>
              <w:rPr>
                <w:sz w:val="8"/>
                <w:szCs w:val="8"/>
                <w:color w:val="auto"/>
              </w:rPr>
            </w:pPr>
          </w:p>
        </w:tc>
        <w:tc>
          <w:tcPr>
            <w:tcW w:w="560" w:type="dxa"/>
            <w:vAlign w:val="bottom"/>
            <w:tcBorders>
              <w:bottom w:val="single" w:sz="8" w:color="auto"/>
              <w:right w:val="single" w:sz="8" w:color="auto"/>
            </w:tcBorders>
            <w:vMerge w:val="continue"/>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Nardo</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Italy</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97/1,254</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H1 2028</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230-242</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230-242</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40%-60%</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31-33</w:t>
            </w:r>
          </w:p>
        </w:tc>
        <w:tc>
          <w:tcPr>
            <w:tcW w:w="1000" w:type="dxa"/>
            <w:vAlign w:val="bottom"/>
            <w:tcBorders>
              <w:bottom w:val="single" w:sz="8" w:color="auto"/>
              <w:right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color w:val="auto"/>
                <w:w w:val="99"/>
              </w:rPr>
              <w:t>26-28</w:t>
            </w:r>
          </w:p>
        </w:tc>
        <w:tc>
          <w:tcPr>
            <w:tcW w:w="760" w:type="dxa"/>
            <w:vAlign w:val="bottom"/>
            <w:tcBorders>
              <w:bottom w:val="single" w:sz="8" w:color="auto"/>
              <w:right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color w:val="auto"/>
                <w:w w:val="99"/>
              </w:rPr>
              <w:t>100%</w:t>
            </w:r>
          </w:p>
        </w:tc>
        <w:tc>
          <w:tcPr>
            <w:tcW w:w="0" w:type="dxa"/>
            <w:vAlign w:val="bottom"/>
          </w:tcPr>
          <w:p>
            <w:pPr>
              <w:spacing w:after="0"/>
              <w:rPr>
                <w:sz w:val="1"/>
                <w:szCs w:val="1"/>
                <w:color w:val="auto"/>
              </w:rPr>
            </w:pPr>
          </w:p>
        </w:tc>
      </w:tr>
      <w:tr>
        <w:trPr>
          <w:trHeight w:val="170"/>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Bertikow</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Germany</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4"/>
              </w:rPr>
              <w:t>0/860</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H2 2027</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166-175</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166-175</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30%-35%</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47-49</w:t>
            </w:r>
          </w:p>
        </w:tc>
        <w:tc>
          <w:tcPr>
            <w:tcW w:w="1000" w:type="dxa"/>
            <w:vAlign w:val="bottom"/>
            <w:tcBorders>
              <w:bottom w:val="single" w:sz="8" w:color="auto"/>
              <w:right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color w:val="auto"/>
                <w:w w:val="99"/>
              </w:rPr>
              <w:t>39-41</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0" w:type="dxa"/>
            <w:vAlign w:val="bottom"/>
          </w:tcPr>
          <w:p>
            <w:pPr>
              <w:spacing w:after="0"/>
              <w:rPr>
                <w:sz w:val="1"/>
                <w:szCs w:val="1"/>
                <w:color w:val="auto"/>
              </w:rPr>
            </w:pPr>
          </w:p>
        </w:tc>
      </w:tr>
      <w:tr>
        <w:trPr>
          <w:trHeight w:val="131"/>
        </w:trPr>
        <w:tc>
          <w:tcPr>
            <w:tcW w:w="1240" w:type="dxa"/>
            <w:vAlign w:val="bottom"/>
            <w:tcBorders>
              <w:left w:val="single" w:sz="8" w:color="auto"/>
              <w:bottom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w w:val="99"/>
              </w:rPr>
              <w:t>Israel HV storage******</w:t>
            </w:r>
          </w:p>
        </w:tc>
        <w:tc>
          <w:tcPr>
            <w:tcW w:w="680" w:type="dxa"/>
            <w:vAlign w:val="bottom"/>
            <w:tcBorders>
              <w:bottom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w w:val="97"/>
              </w:rPr>
              <w:t>Israel</w:t>
            </w:r>
          </w:p>
        </w:tc>
        <w:tc>
          <w:tcPr>
            <w:tcW w:w="740" w:type="dxa"/>
            <w:vAlign w:val="bottom"/>
            <w:tcBorders>
              <w:bottom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w w:val="98"/>
              </w:rPr>
              <w:t>0/1,290</w:t>
            </w:r>
          </w:p>
        </w:tc>
        <w:tc>
          <w:tcPr>
            <w:tcW w:w="500" w:type="dxa"/>
            <w:vAlign w:val="bottom"/>
            <w:tcBorders>
              <w:bottom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w w:val="99"/>
              </w:rPr>
              <w:t>2028</w:t>
            </w:r>
          </w:p>
        </w:tc>
        <w:tc>
          <w:tcPr>
            <w:tcW w:w="660" w:type="dxa"/>
            <w:vAlign w:val="bottom"/>
            <w:tcBorders>
              <w:bottom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w w:val="99"/>
              </w:rPr>
              <w:t>229-241</w:t>
            </w:r>
          </w:p>
        </w:tc>
        <w:tc>
          <w:tcPr>
            <w:tcW w:w="720" w:type="dxa"/>
            <w:vAlign w:val="bottom"/>
            <w:tcBorders>
              <w:bottom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w w:val="98"/>
              </w:rPr>
              <w:t>-</w:t>
            </w:r>
          </w:p>
        </w:tc>
        <w:tc>
          <w:tcPr>
            <w:tcW w:w="820" w:type="dxa"/>
            <w:vAlign w:val="bottom"/>
            <w:tcBorders>
              <w:bottom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w w:val="98"/>
              </w:rPr>
              <w:t>-</w:t>
            </w:r>
          </w:p>
        </w:tc>
        <w:tc>
          <w:tcPr>
            <w:tcW w:w="800" w:type="dxa"/>
            <w:vAlign w:val="bottom"/>
            <w:tcBorders>
              <w:bottom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w w:val="98"/>
              </w:rPr>
              <w:t>-</w:t>
            </w:r>
          </w:p>
        </w:tc>
        <w:tc>
          <w:tcPr>
            <w:tcW w:w="560" w:type="dxa"/>
            <w:vAlign w:val="bottom"/>
            <w:tcBorders>
              <w:bottom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w w:val="99"/>
              </w:rPr>
              <w:t>229-241</w:t>
            </w:r>
          </w:p>
        </w:tc>
        <w:tc>
          <w:tcPr>
            <w:tcW w:w="720" w:type="dxa"/>
            <w:vAlign w:val="bottom"/>
            <w:tcBorders>
              <w:bottom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w w:val="99"/>
              </w:rPr>
              <w:t>4</w:t>
            </w:r>
          </w:p>
        </w:tc>
        <w:tc>
          <w:tcPr>
            <w:tcW w:w="660" w:type="dxa"/>
            <w:vAlign w:val="bottom"/>
            <w:tcBorders>
              <w:bottom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w w:val="99"/>
              </w:rPr>
              <w:t>20%</w:t>
            </w:r>
          </w:p>
        </w:tc>
        <w:tc>
          <w:tcPr>
            <w:tcW w:w="720" w:type="dxa"/>
            <w:vAlign w:val="bottom"/>
            <w:tcBorders>
              <w:bottom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w w:val="99"/>
              </w:rPr>
              <w:t>4</w:t>
            </w:r>
          </w:p>
        </w:tc>
        <w:tc>
          <w:tcPr>
            <w:tcW w:w="740" w:type="dxa"/>
            <w:vAlign w:val="bottom"/>
            <w:tcBorders>
              <w:bottom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w w:val="99"/>
              </w:rPr>
              <w:t>9-10</w:t>
            </w:r>
          </w:p>
        </w:tc>
        <w:tc>
          <w:tcPr>
            <w:tcW w:w="1000" w:type="dxa"/>
            <w:vAlign w:val="bottom"/>
            <w:tcBorders>
              <w:bottom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w w:val="99"/>
              </w:rPr>
              <w:t>3</w:t>
            </w:r>
          </w:p>
        </w:tc>
        <w:tc>
          <w:tcPr>
            <w:tcW w:w="760" w:type="dxa"/>
            <w:vAlign w:val="bottom"/>
            <w:tcBorders>
              <w:bottom w:val="single" w:sz="8" w:color="auto"/>
              <w:right w:val="single" w:sz="8" w:color="auto"/>
            </w:tcBorders>
          </w:tcPr>
          <w:p>
            <w:pPr>
              <w:jc w:val="center"/>
              <w:ind w:right="20"/>
              <w:spacing w:after="0" w:line="131" w:lineRule="exact"/>
              <w:rPr>
                <w:sz w:val="20"/>
                <w:szCs w:val="20"/>
                <w:color w:val="auto"/>
              </w:rPr>
            </w:pPr>
            <w:r>
              <w:rPr>
                <w:rFonts w:ascii="Times New Roman" w:cs="Times New Roman" w:eastAsia="Times New Roman" w:hAnsi="Times New Roman"/>
                <w:sz w:val="12"/>
                <w:szCs w:val="12"/>
                <w:color w:val="auto"/>
                <w:w w:val="99"/>
              </w:rPr>
              <w:t>100%</w:t>
            </w:r>
          </w:p>
        </w:tc>
        <w:tc>
          <w:tcPr>
            <w:tcW w:w="0" w:type="dxa"/>
            <w:vAlign w:val="bottom"/>
          </w:tcPr>
          <w:p>
            <w:pPr>
              <w:spacing w:after="0"/>
              <w:rPr>
                <w:sz w:val="1"/>
                <w:szCs w:val="1"/>
                <w:color w:val="auto"/>
              </w:rPr>
            </w:pPr>
          </w:p>
        </w:tc>
      </w:tr>
      <w:tr>
        <w:trPr>
          <w:trHeight w:val="269"/>
        </w:trPr>
        <w:tc>
          <w:tcPr>
            <w:tcW w:w="12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308"/>
          </w:cols>
          <w:pgMar w:left="292" w:top="125" w:right="299" w:bottom="1440" w:gutter="0" w:footer="0" w:header="0"/>
        </w:sectPr>
      </w:pPr>
    </w:p>
    <w:bookmarkStart w:id="29" w:name="page30"/>
    <w:bookmarkEnd w:id="29"/>
    <w:p>
      <w:pPr>
        <w:spacing w:after="0" w:line="1" w:lineRule="exact"/>
        <w:rPr>
          <w:sz w:val="20"/>
          <w:szCs w:val="20"/>
          <w:color w:val="auto"/>
        </w:rPr>
      </w:pPr>
    </w:p>
    <w:tbl>
      <w:tblPr>
        <w:tblLayout w:type="fixed"/>
        <w:tblInd w:w="18" w:type="dxa"/>
        <w:tblCellMar>
          <w:top w:w="0" w:type="dxa"/>
          <w:left w:w="0" w:type="dxa"/>
          <w:bottom w:w="0" w:type="dxa"/>
          <w:right w:w="0" w:type="dxa"/>
        </w:tblCellMar>
      </w:tblPr>
      <w:tr>
        <w:trPr>
          <w:trHeight w:val="351"/>
        </w:trPr>
        <w:tc>
          <w:tcPr>
            <w:tcW w:w="2020" w:type="dxa"/>
            <w:vAlign w:val="bottom"/>
            <w:tcBorders>
              <w:top w:val="single" w:sz="8" w:color="auto"/>
              <w:left w:val="single" w:sz="8" w:color="auto"/>
              <w:right w:val="single" w:sz="8" w:color="auto"/>
            </w:tcBorders>
            <w:shd w:val="clear" w:color="auto" w:fill="0070C0"/>
          </w:tcPr>
          <w:p>
            <w:pPr>
              <w:spacing w:after="0"/>
              <w:rPr>
                <w:sz w:val="24"/>
                <w:szCs w:val="24"/>
                <w:color w:val="auto"/>
              </w:rPr>
            </w:pPr>
          </w:p>
        </w:tc>
        <w:tc>
          <w:tcPr>
            <w:tcW w:w="1520" w:type="dxa"/>
            <w:vAlign w:val="bottom"/>
            <w:tcBorders>
              <w:top w:val="single" w:sz="8" w:color="auto"/>
              <w:right w:val="single" w:sz="8" w:color="auto"/>
            </w:tcBorders>
            <w:gridSpan w:val="4"/>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9"/>
              </w:rPr>
              <w:t>MW Deployment</w:t>
            </w:r>
          </w:p>
        </w:tc>
        <w:tc>
          <w:tcPr>
            <w:tcW w:w="620" w:type="dxa"/>
            <w:vAlign w:val="bottom"/>
            <w:tcBorders>
              <w:top w:val="single" w:sz="8" w:color="auto"/>
              <w:right w:val="single" w:sz="8" w:color="auto"/>
            </w:tcBorders>
            <w:shd w:val="clear" w:color="auto" w:fill="0070C0"/>
          </w:tcPr>
          <w:p>
            <w:pPr>
              <w:spacing w:after="0"/>
              <w:rPr>
                <w:sz w:val="24"/>
                <w:szCs w:val="24"/>
                <w:color w:val="auto"/>
              </w:rPr>
            </w:pPr>
          </w:p>
        </w:tc>
        <w:tc>
          <w:tcPr>
            <w:tcW w:w="580" w:type="dxa"/>
            <w:vAlign w:val="bottom"/>
            <w:tcBorders>
              <w:top w:val="single" w:sz="8" w:color="auto"/>
              <w:right w:val="single" w:sz="8" w:color="0070C0"/>
            </w:tcBorders>
            <w:shd w:val="clear" w:color="auto" w:fill="0070C0"/>
          </w:tcPr>
          <w:p>
            <w:pPr>
              <w:spacing w:after="0"/>
              <w:rPr>
                <w:sz w:val="24"/>
                <w:szCs w:val="24"/>
                <w:color w:val="auto"/>
              </w:rPr>
            </w:pPr>
          </w:p>
        </w:tc>
        <w:tc>
          <w:tcPr>
            <w:tcW w:w="1280" w:type="dxa"/>
            <w:vAlign w:val="bottom"/>
            <w:tcBorders>
              <w:top w:val="single" w:sz="8" w:color="auto"/>
              <w:right w:val="single" w:sz="8" w:color="auto"/>
            </w:tcBorders>
            <w:shd w:val="clear" w:color="auto" w:fill="0070C0"/>
          </w:tcPr>
          <w:p>
            <w:pPr>
              <w:spacing w:after="0"/>
              <w:rPr>
                <w:sz w:val="24"/>
                <w:szCs w:val="24"/>
                <w:color w:val="auto"/>
              </w:rPr>
            </w:pPr>
          </w:p>
        </w:tc>
        <w:tc>
          <w:tcPr>
            <w:tcW w:w="680" w:type="dxa"/>
            <w:vAlign w:val="bottom"/>
            <w:tcBorders>
              <w:top w:val="single" w:sz="8" w:color="auto"/>
              <w:right w:val="single" w:sz="8" w:color="auto"/>
            </w:tcBorders>
            <w:shd w:val="clear" w:color="auto" w:fill="0070C0"/>
          </w:tcPr>
          <w:p>
            <w:pPr>
              <w:spacing w:after="0"/>
              <w:rPr>
                <w:sz w:val="24"/>
                <w:szCs w:val="24"/>
                <w:color w:val="auto"/>
              </w:rPr>
            </w:pPr>
          </w:p>
        </w:tc>
        <w:tc>
          <w:tcPr>
            <w:tcW w:w="620" w:type="dxa"/>
            <w:vAlign w:val="bottom"/>
            <w:tcBorders>
              <w:top w:val="single" w:sz="8" w:color="auto"/>
              <w:right w:val="single" w:sz="8" w:color="auto"/>
            </w:tcBorders>
            <w:vMerge w:val="restart"/>
            <w:shd w:val="clear" w:color="auto" w:fill="0070C0"/>
          </w:tcPr>
          <w:p>
            <w:pPr>
              <w:ind w:left="60"/>
              <w:spacing w:after="0"/>
              <w:rPr>
                <w:sz w:val="20"/>
                <w:szCs w:val="20"/>
                <w:color w:val="auto"/>
              </w:rPr>
            </w:pPr>
            <w:r>
              <w:rPr>
                <w:rFonts w:ascii="Times New Roman" w:cs="Times New Roman" w:eastAsia="Times New Roman" w:hAnsi="Times New Roman"/>
                <w:sz w:val="12"/>
                <w:szCs w:val="12"/>
                <w:color w:val="FFFFFF"/>
              </w:rPr>
              <w:t>Est. Total</w:t>
            </w:r>
          </w:p>
        </w:tc>
        <w:tc>
          <w:tcPr>
            <w:tcW w:w="620" w:type="dxa"/>
            <w:vAlign w:val="bottom"/>
            <w:tcBorders>
              <w:top w:val="single" w:sz="8" w:color="auto"/>
              <w:right w:val="single" w:sz="8" w:color="auto"/>
            </w:tcBorders>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7"/>
              </w:rPr>
              <w:t>Capital</w:t>
            </w:r>
          </w:p>
        </w:tc>
        <w:tc>
          <w:tcPr>
            <w:tcW w:w="600" w:type="dxa"/>
            <w:vAlign w:val="bottom"/>
            <w:tcBorders>
              <w:top w:val="single" w:sz="8" w:color="auto"/>
              <w:right w:val="single" w:sz="8" w:color="auto"/>
            </w:tcBorders>
            <w:shd w:val="clear" w:color="auto" w:fill="0070C0"/>
          </w:tcPr>
          <w:p>
            <w:pPr>
              <w:spacing w:after="0"/>
              <w:rPr>
                <w:sz w:val="24"/>
                <w:szCs w:val="24"/>
                <w:color w:val="auto"/>
              </w:rPr>
            </w:pPr>
          </w:p>
        </w:tc>
        <w:tc>
          <w:tcPr>
            <w:tcW w:w="620" w:type="dxa"/>
            <w:vAlign w:val="bottom"/>
            <w:tcBorders>
              <w:top w:val="single" w:sz="8" w:color="auto"/>
              <w:right w:val="single" w:sz="8" w:color="auto"/>
            </w:tcBorders>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9"/>
              </w:rPr>
              <w:t>Equity</w:t>
            </w:r>
          </w:p>
        </w:tc>
        <w:tc>
          <w:tcPr>
            <w:tcW w:w="680" w:type="dxa"/>
            <w:vAlign w:val="bottom"/>
            <w:tcBorders>
              <w:top w:val="single" w:sz="8" w:color="auto"/>
              <w:right w:val="single" w:sz="8" w:color="auto"/>
            </w:tcBorders>
            <w:shd w:val="clear" w:color="auto" w:fill="0070C0"/>
          </w:tcPr>
          <w:p>
            <w:pPr>
              <w:spacing w:after="0"/>
              <w:rPr>
                <w:sz w:val="24"/>
                <w:szCs w:val="24"/>
                <w:color w:val="auto"/>
              </w:rPr>
            </w:pPr>
          </w:p>
        </w:tc>
        <w:tc>
          <w:tcPr>
            <w:tcW w:w="860" w:type="dxa"/>
            <w:vAlign w:val="bottom"/>
            <w:tcBorders>
              <w:top w:val="single" w:sz="8" w:color="auto"/>
              <w:right w:val="single" w:sz="8" w:color="auto"/>
            </w:tcBorders>
            <w:shd w:val="clear" w:color="auto" w:fill="0070C0"/>
          </w:tcPr>
          <w:p>
            <w:pPr>
              <w:spacing w:after="0"/>
              <w:rPr>
                <w:sz w:val="24"/>
                <w:szCs w:val="24"/>
                <w:color w:val="auto"/>
              </w:rPr>
            </w:pPr>
          </w:p>
        </w:tc>
        <w:tc>
          <w:tcPr>
            <w:tcW w:w="620" w:type="dxa"/>
            <w:vAlign w:val="bottom"/>
            <w:tcBorders>
              <w:top w:val="single" w:sz="8" w:color="auto"/>
              <w:right w:val="single" w:sz="8" w:color="auto"/>
            </w:tcBorders>
            <w:shd w:val="clear" w:color="auto" w:fill="0070C0"/>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20" w:type="dxa"/>
            <w:vAlign w:val="bottom"/>
            <w:tcBorders>
              <w:left w:val="single" w:sz="8" w:color="auto"/>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9"/>
              </w:rPr>
              <w:t>($ millions)</w:t>
            </w:r>
          </w:p>
        </w:tc>
        <w:tc>
          <w:tcPr>
            <w:tcW w:w="500" w:type="dxa"/>
            <w:vAlign w:val="bottom"/>
            <w:tcBorders>
              <w:right w:val="single" w:sz="8" w:color="0070C0"/>
            </w:tcBorders>
            <w:shd w:val="clear" w:color="auto" w:fill="0070C0"/>
          </w:tcPr>
          <w:p>
            <w:pPr>
              <w:spacing w:after="0"/>
              <w:rPr>
                <w:sz w:val="9"/>
                <w:szCs w:val="9"/>
                <w:color w:val="auto"/>
              </w:rPr>
            </w:pPr>
          </w:p>
        </w:tc>
        <w:tc>
          <w:tcPr>
            <w:tcW w:w="540" w:type="dxa"/>
            <w:vAlign w:val="bottom"/>
            <w:gridSpan w:val="2"/>
            <w:shd w:val="clear" w:color="auto" w:fill="0070C0"/>
          </w:tcPr>
          <w:p>
            <w:pPr>
              <w:jc w:val="center"/>
              <w:ind w:right="20"/>
              <w:spacing w:after="0" w:line="108" w:lineRule="exact"/>
              <w:rPr>
                <w:sz w:val="20"/>
                <w:szCs w:val="20"/>
                <w:color w:val="auto"/>
              </w:rPr>
            </w:pPr>
            <w:r>
              <w:rPr>
                <w:rFonts w:ascii="Times New Roman" w:cs="Times New Roman" w:eastAsia="Times New Roman" w:hAnsi="Times New Roman"/>
                <w:sz w:val="12"/>
                <w:szCs w:val="12"/>
                <w:b w:val="1"/>
                <w:bCs w:val="1"/>
                <w:color w:val="FFFFFF"/>
                <w:w w:val="91"/>
              </w:rPr>
              <w:t>MW/MWh</w:t>
            </w:r>
          </w:p>
        </w:tc>
        <w:tc>
          <w:tcPr>
            <w:tcW w:w="480" w:type="dxa"/>
            <w:vAlign w:val="bottom"/>
            <w:tcBorders>
              <w:right w:val="single" w:sz="8" w:color="auto"/>
            </w:tcBorders>
            <w:shd w:val="clear" w:color="auto" w:fill="0070C0"/>
          </w:tcPr>
          <w:p>
            <w:pPr>
              <w:spacing w:after="0"/>
              <w:rPr>
                <w:sz w:val="9"/>
                <w:szCs w:val="9"/>
                <w:color w:val="auto"/>
              </w:rPr>
            </w:pPr>
          </w:p>
        </w:tc>
        <w:tc>
          <w:tcPr>
            <w:tcW w:w="620" w:type="dxa"/>
            <w:vAlign w:val="bottom"/>
            <w:tcBorders>
              <w:right w:val="single" w:sz="8" w:color="auto"/>
            </w:tcBorders>
            <w:shd w:val="clear" w:color="auto" w:fill="0070C0"/>
          </w:tcPr>
          <w:p>
            <w:pPr>
              <w:spacing w:after="0"/>
              <w:rPr>
                <w:sz w:val="9"/>
                <w:szCs w:val="9"/>
                <w:color w:val="auto"/>
              </w:rPr>
            </w:pPr>
          </w:p>
        </w:tc>
        <w:tc>
          <w:tcPr>
            <w:tcW w:w="1860" w:type="dxa"/>
            <w:vAlign w:val="bottom"/>
            <w:tcBorders>
              <w:right w:val="single" w:sz="8" w:color="auto"/>
            </w:tcBorders>
            <w:gridSpan w:val="2"/>
            <w:vMerge w:val="restart"/>
            <w:shd w:val="clear" w:color="auto" w:fill="0070C0"/>
          </w:tcPr>
          <w:p>
            <w:pPr>
              <w:ind w:left="460"/>
              <w:spacing w:after="0"/>
              <w:rPr>
                <w:sz w:val="20"/>
                <w:szCs w:val="20"/>
                <w:color w:val="auto"/>
              </w:rPr>
            </w:pPr>
            <w:r>
              <w:rPr>
                <w:rFonts w:ascii="Times New Roman" w:cs="Times New Roman" w:eastAsia="Times New Roman" w:hAnsi="Times New Roman"/>
                <w:sz w:val="12"/>
                <w:szCs w:val="12"/>
                <w:color w:val="FFFFFF"/>
              </w:rPr>
              <w:t>Tax Credit Benefit</w:t>
            </w:r>
          </w:p>
        </w:tc>
        <w:tc>
          <w:tcPr>
            <w:tcW w:w="68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8"/>
              </w:rPr>
              <w:t>Discounted</w:t>
            </w:r>
          </w:p>
        </w:tc>
        <w:tc>
          <w:tcPr>
            <w:tcW w:w="620" w:type="dxa"/>
            <w:vAlign w:val="bottom"/>
            <w:tcBorders>
              <w:right w:val="single" w:sz="8" w:color="auto"/>
            </w:tcBorders>
            <w:vMerge w:val="continue"/>
            <w:shd w:val="clear" w:color="auto" w:fill="0070C0"/>
          </w:tcPr>
          <w:p>
            <w:pPr>
              <w:spacing w:after="0"/>
              <w:rPr>
                <w:sz w:val="9"/>
                <w:szCs w:val="9"/>
                <w:color w:val="auto"/>
              </w:rPr>
            </w:pPr>
          </w:p>
        </w:tc>
        <w:tc>
          <w:tcPr>
            <w:tcW w:w="62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rPr>
              <w:t>Invested as</w:t>
            </w:r>
          </w:p>
        </w:tc>
        <w:tc>
          <w:tcPr>
            <w:tcW w:w="60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rPr>
              <w:t>Est. Equity</w:t>
            </w:r>
          </w:p>
        </w:tc>
        <w:tc>
          <w:tcPr>
            <w:tcW w:w="62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6"/>
              </w:rPr>
              <w:t>Invested as</w:t>
            </w:r>
          </w:p>
        </w:tc>
        <w:tc>
          <w:tcPr>
            <w:tcW w:w="680" w:type="dxa"/>
            <w:vAlign w:val="bottom"/>
            <w:tcBorders>
              <w:right w:val="single" w:sz="8" w:color="auto"/>
            </w:tcBorders>
            <w:vMerge w:val="restart"/>
            <w:shd w:val="clear" w:color="auto" w:fill="0070C0"/>
          </w:tcPr>
          <w:p>
            <w:pPr>
              <w:jc w:val="right"/>
              <w:ind w:right="82"/>
              <w:spacing w:after="0"/>
              <w:rPr>
                <w:sz w:val="20"/>
                <w:szCs w:val="20"/>
                <w:color w:val="auto"/>
              </w:rPr>
            </w:pPr>
            <w:r>
              <w:rPr>
                <w:rFonts w:ascii="Times New Roman" w:cs="Times New Roman" w:eastAsia="Times New Roman" w:hAnsi="Times New Roman"/>
                <w:sz w:val="12"/>
                <w:szCs w:val="12"/>
                <w:color w:val="FFFFFF"/>
              </w:rPr>
              <w:t>Est. First</w:t>
            </w:r>
          </w:p>
        </w:tc>
        <w:tc>
          <w:tcPr>
            <w:tcW w:w="860" w:type="dxa"/>
            <w:vAlign w:val="bottom"/>
            <w:tcBorders>
              <w:right w:val="single" w:sz="8" w:color="auto"/>
            </w:tcBorders>
            <w:vMerge w:val="restart"/>
            <w:shd w:val="clear" w:color="auto" w:fill="0070C0"/>
          </w:tcPr>
          <w:p>
            <w:pPr>
              <w:jc w:val="center"/>
              <w:ind w:right="20"/>
              <w:spacing w:after="0"/>
              <w:rPr>
                <w:sz w:val="20"/>
                <w:szCs w:val="20"/>
                <w:color w:val="auto"/>
              </w:rPr>
            </w:pPr>
            <w:r>
              <w:rPr>
                <w:rFonts w:ascii="Times New Roman" w:cs="Times New Roman" w:eastAsia="Times New Roman" w:hAnsi="Times New Roman"/>
                <w:sz w:val="12"/>
                <w:szCs w:val="12"/>
                <w:color w:val="FFFFFF"/>
              </w:rPr>
              <w:t>Est. First Full</w:t>
            </w:r>
          </w:p>
        </w:tc>
        <w:tc>
          <w:tcPr>
            <w:tcW w:w="620" w:type="dxa"/>
            <w:vAlign w:val="bottom"/>
            <w:tcBorders>
              <w:right w:val="single" w:sz="8" w:color="auto"/>
            </w:tcBorders>
            <w:vMerge w:val="restart"/>
            <w:shd w:val="clear" w:color="auto" w:fill="0070C0"/>
          </w:tcPr>
          <w:p>
            <w:pPr>
              <w:spacing w:after="0"/>
              <w:rPr>
                <w:sz w:val="20"/>
                <w:szCs w:val="20"/>
                <w:color w:val="auto"/>
              </w:rPr>
            </w:pPr>
            <w:r>
              <w:rPr>
                <w:rFonts w:ascii="Times New Roman" w:cs="Times New Roman" w:eastAsia="Times New Roman" w:hAnsi="Times New Roman"/>
                <w:sz w:val="12"/>
                <w:szCs w:val="12"/>
                <w:color w:val="FFFFFF"/>
              </w:rPr>
              <w:t>Ownership</w:t>
            </w:r>
          </w:p>
        </w:tc>
        <w:tc>
          <w:tcPr>
            <w:tcW w:w="0" w:type="dxa"/>
            <w:vAlign w:val="bottom"/>
          </w:tcPr>
          <w:p>
            <w:pPr>
              <w:spacing w:after="0"/>
              <w:rPr>
                <w:sz w:val="1"/>
                <w:szCs w:val="1"/>
                <w:color w:val="auto"/>
              </w:rPr>
            </w:pPr>
          </w:p>
        </w:tc>
      </w:tr>
      <w:tr>
        <w:trPr>
          <w:trHeight w:val="117"/>
        </w:trPr>
        <w:tc>
          <w:tcPr>
            <w:tcW w:w="2020" w:type="dxa"/>
            <w:vAlign w:val="bottom"/>
            <w:tcBorders>
              <w:left w:val="single" w:sz="8" w:color="auto"/>
              <w:right w:val="single" w:sz="8" w:color="auto"/>
            </w:tcBorders>
            <w:vMerge w:val="continue"/>
            <w:shd w:val="clear" w:color="auto" w:fill="0070C0"/>
          </w:tcPr>
          <w:p>
            <w:pPr>
              <w:spacing w:after="0"/>
              <w:rPr>
                <w:sz w:val="10"/>
                <w:szCs w:val="10"/>
                <w:color w:val="auto"/>
              </w:rPr>
            </w:pPr>
          </w:p>
        </w:tc>
        <w:tc>
          <w:tcPr>
            <w:tcW w:w="500" w:type="dxa"/>
            <w:vAlign w:val="bottom"/>
            <w:tcBorders>
              <w:right w:val="single" w:sz="8" w:color="0070C0"/>
            </w:tcBorders>
            <w:shd w:val="clear" w:color="auto" w:fill="0070C0"/>
          </w:tcPr>
          <w:p>
            <w:pPr>
              <w:spacing w:after="0"/>
              <w:rPr>
                <w:sz w:val="10"/>
                <w:szCs w:val="10"/>
                <w:color w:val="auto"/>
              </w:rPr>
            </w:pPr>
          </w:p>
        </w:tc>
        <w:tc>
          <w:tcPr>
            <w:tcW w:w="500" w:type="dxa"/>
            <w:vAlign w:val="bottom"/>
            <w:tcBorders>
              <w:right w:val="single" w:sz="8" w:color="0070C0"/>
            </w:tcBorders>
            <w:shd w:val="clear" w:color="auto" w:fill="0070C0"/>
          </w:tcPr>
          <w:p>
            <w:pPr>
              <w:spacing w:after="0"/>
              <w:rPr>
                <w:sz w:val="10"/>
                <w:szCs w:val="10"/>
                <w:color w:val="auto"/>
              </w:rPr>
            </w:pPr>
          </w:p>
        </w:tc>
        <w:tc>
          <w:tcPr>
            <w:tcW w:w="40" w:type="dxa"/>
            <w:vAlign w:val="bottom"/>
            <w:shd w:val="clear" w:color="auto" w:fill="0070C0"/>
          </w:tcPr>
          <w:p>
            <w:pPr>
              <w:spacing w:after="0"/>
              <w:rPr>
                <w:sz w:val="10"/>
                <w:szCs w:val="10"/>
                <w:color w:val="auto"/>
              </w:rPr>
            </w:pPr>
          </w:p>
        </w:tc>
        <w:tc>
          <w:tcPr>
            <w:tcW w:w="480" w:type="dxa"/>
            <w:vAlign w:val="bottom"/>
            <w:tcBorders>
              <w:right w:val="single" w:sz="8" w:color="auto"/>
            </w:tcBorders>
            <w:shd w:val="clear" w:color="auto" w:fill="0070C0"/>
          </w:tcPr>
          <w:p>
            <w:pPr>
              <w:spacing w:after="0"/>
              <w:rPr>
                <w:sz w:val="10"/>
                <w:szCs w:val="10"/>
                <w:color w:val="auto"/>
              </w:rPr>
            </w:pPr>
          </w:p>
        </w:tc>
        <w:tc>
          <w:tcPr>
            <w:tcW w:w="620" w:type="dxa"/>
            <w:vAlign w:val="bottom"/>
            <w:tcBorders>
              <w:right w:val="single" w:sz="8" w:color="auto"/>
            </w:tcBorders>
            <w:vMerge w:val="restart"/>
            <w:shd w:val="clear" w:color="auto" w:fill="0070C0"/>
          </w:tcPr>
          <w:p>
            <w:pPr>
              <w:jc w:val="center"/>
              <w:ind w:right="22"/>
              <w:spacing w:after="0"/>
              <w:rPr>
                <w:sz w:val="20"/>
                <w:szCs w:val="20"/>
                <w:color w:val="auto"/>
              </w:rPr>
            </w:pPr>
            <w:r>
              <w:rPr>
                <w:rFonts w:ascii="Times New Roman" w:cs="Times New Roman" w:eastAsia="Times New Roman" w:hAnsi="Times New Roman"/>
                <w:sz w:val="12"/>
                <w:szCs w:val="12"/>
                <w:color w:val="FFFFFF"/>
                <w:w w:val="98"/>
              </w:rPr>
              <w:t>Est. Total</w:t>
            </w:r>
          </w:p>
        </w:tc>
        <w:tc>
          <w:tcPr>
            <w:tcW w:w="1860" w:type="dxa"/>
            <w:vAlign w:val="bottom"/>
            <w:tcBorders>
              <w:right w:val="single" w:sz="8" w:color="auto"/>
            </w:tcBorders>
            <w:gridSpan w:val="2"/>
            <w:vMerge w:val="continue"/>
            <w:shd w:val="clear" w:color="auto" w:fill="0070C0"/>
          </w:tcPr>
          <w:p>
            <w:pPr>
              <w:spacing w:after="0"/>
              <w:rPr>
                <w:sz w:val="10"/>
                <w:szCs w:val="10"/>
                <w:color w:val="auto"/>
              </w:rPr>
            </w:pPr>
          </w:p>
        </w:tc>
        <w:tc>
          <w:tcPr>
            <w:tcW w:w="680" w:type="dxa"/>
            <w:vAlign w:val="bottom"/>
            <w:tcBorders>
              <w:right w:val="single" w:sz="8" w:color="auto"/>
            </w:tcBorders>
            <w:vMerge w:val="continue"/>
            <w:shd w:val="clear" w:color="auto" w:fill="0070C0"/>
          </w:tcPr>
          <w:p>
            <w:pPr>
              <w:spacing w:after="0"/>
              <w:rPr>
                <w:sz w:val="10"/>
                <w:szCs w:val="10"/>
                <w:color w:val="auto"/>
              </w:rPr>
            </w:pPr>
          </w:p>
        </w:tc>
        <w:tc>
          <w:tcPr>
            <w:tcW w:w="620" w:type="dxa"/>
            <w:vAlign w:val="bottom"/>
            <w:tcBorders>
              <w:right w:val="single" w:sz="8" w:color="auto"/>
            </w:tcBorders>
            <w:shd w:val="clear" w:color="auto" w:fill="0070C0"/>
          </w:tcPr>
          <w:p>
            <w:pPr>
              <w:jc w:val="center"/>
              <w:spacing w:after="0" w:line="117" w:lineRule="exact"/>
              <w:rPr>
                <w:sz w:val="20"/>
                <w:szCs w:val="20"/>
                <w:color w:val="auto"/>
              </w:rPr>
            </w:pPr>
            <w:r>
              <w:rPr>
                <w:rFonts w:ascii="Times New Roman" w:cs="Times New Roman" w:eastAsia="Times New Roman" w:hAnsi="Times New Roman"/>
                <w:sz w:val="12"/>
                <w:szCs w:val="12"/>
                <w:color w:val="FFFFFF"/>
                <w:w w:val="98"/>
              </w:rPr>
              <w:t>Project Cost</w:t>
            </w:r>
          </w:p>
        </w:tc>
        <w:tc>
          <w:tcPr>
            <w:tcW w:w="620" w:type="dxa"/>
            <w:vAlign w:val="bottom"/>
            <w:tcBorders>
              <w:right w:val="single" w:sz="8" w:color="auto"/>
            </w:tcBorders>
            <w:vMerge w:val="continue"/>
            <w:shd w:val="clear" w:color="auto" w:fill="0070C0"/>
          </w:tcPr>
          <w:p>
            <w:pPr>
              <w:spacing w:after="0"/>
              <w:rPr>
                <w:sz w:val="10"/>
                <w:szCs w:val="10"/>
                <w:color w:val="auto"/>
              </w:rPr>
            </w:pPr>
          </w:p>
        </w:tc>
        <w:tc>
          <w:tcPr>
            <w:tcW w:w="600" w:type="dxa"/>
            <w:vAlign w:val="bottom"/>
            <w:tcBorders>
              <w:right w:val="single" w:sz="8" w:color="auto"/>
            </w:tcBorders>
            <w:vMerge w:val="continue"/>
            <w:shd w:val="clear" w:color="auto" w:fill="0070C0"/>
          </w:tcPr>
          <w:p>
            <w:pPr>
              <w:spacing w:after="0"/>
              <w:rPr>
                <w:sz w:val="10"/>
                <w:szCs w:val="10"/>
                <w:color w:val="auto"/>
              </w:rPr>
            </w:pPr>
          </w:p>
        </w:tc>
        <w:tc>
          <w:tcPr>
            <w:tcW w:w="620" w:type="dxa"/>
            <w:vAlign w:val="bottom"/>
            <w:tcBorders>
              <w:right w:val="single" w:sz="8" w:color="auto"/>
            </w:tcBorders>
            <w:vMerge w:val="continue"/>
            <w:shd w:val="clear" w:color="auto" w:fill="0070C0"/>
          </w:tcPr>
          <w:p>
            <w:pPr>
              <w:spacing w:after="0"/>
              <w:rPr>
                <w:sz w:val="10"/>
                <w:szCs w:val="10"/>
                <w:color w:val="auto"/>
              </w:rPr>
            </w:pPr>
          </w:p>
        </w:tc>
        <w:tc>
          <w:tcPr>
            <w:tcW w:w="680" w:type="dxa"/>
            <w:vAlign w:val="bottom"/>
            <w:tcBorders>
              <w:right w:val="single" w:sz="8" w:color="auto"/>
            </w:tcBorders>
            <w:vMerge w:val="continue"/>
            <w:shd w:val="clear" w:color="auto" w:fill="0070C0"/>
          </w:tcPr>
          <w:p>
            <w:pPr>
              <w:spacing w:after="0"/>
              <w:rPr>
                <w:sz w:val="10"/>
                <w:szCs w:val="10"/>
                <w:color w:val="auto"/>
              </w:rPr>
            </w:pPr>
          </w:p>
        </w:tc>
        <w:tc>
          <w:tcPr>
            <w:tcW w:w="860" w:type="dxa"/>
            <w:vAlign w:val="bottom"/>
            <w:tcBorders>
              <w:right w:val="single" w:sz="8" w:color="auto"/>
            </w:tcBorders>
            <w:vMerge w:val="continue"/>
            <w:shd w:val="clear" w:color="auto" w:fill="0070C0"/>
          </w:tcPr>
          <w:p>
            <w:pPr>
              <w:spacing w:after="0"/>
              <w:rPr>
                <w:sz w:val="10"/>
                <w:szCs w:val="10"/>
                <w:color w:val="auto"/>
              </w:rPr>
            </w:pPr>
          </w:p>
        </w:tc>
        <w:tc>
          <w:tcPr>
            <w:tcW w:w="620" w:type="dxa"/>
            <w:vAlign w:val="bottom"/>
            <w:tcBorders>
              <w:right w:val="single" w:sz="8" w:color="auto"/>
            </w:tcBorders>
            <w:vMerge w:val="continue"/>
            <w:shd w:val="clear" w:color="auto" w:fill="0070C0"/>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20" w:type="dxa"/>
            <w:vAlign w:val="bottom"/>
            <w:tcBorders>
              <w:left w:val="single" w:sz="8" w:color="auto"/>
              <w:bottom w:val="single" w:sz="8" w:color="0070C0"/>
              <w:right w:val="single" w:sz="8" w:color="auto"/>
            </w:tcBorders>
            <w:shd w:val="clear" w:color="auto" w:fill="0070C0"/>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FFFFFF"/>
                <w:w w:val="99"/>
              </w:rPr>
              <w:t>Additional Pre-Construction Projects</w:t>
            </w:r>
          </w:p>
        </w:tc>
        <w:tc>
          <w:tcPr>
            <w:tcW w:w="500" w:type="dxa"/>
            <w:vAlign w:val="bottom"/>
            <w:tcBorders>
              <w:bottom w:val="single" w:sz="8" w:color="auto"/>
              <w:right w:val="single" w:sz="8" w:color="0070C0"/>
            </w:tcBorders>
            <w:shd w:val="clear" w:color="auto" w:fill="0070C0"/>
          </w:tcPr>
          <w:p>
            <w:pPr>
              <w:spacing w:after="0"/>
              <w:rPr>
                <w:sz w:val="14"/>
                <w:szCs w:val="14"/>
                <w:color w:val="auto"/>
              </w:rPr>
            </w:pPr>
          </w:p>
        </w:tc>
        <w:tc>
          <w:tcPr>
            <w:tcW w:w="500" w:type="dxa"/>
            <w:vAlign w:val="bottom"/>
            <w:tcBorders>
              <w:bottom w:val="single" w:sz="8" w:color="auto"/>
              <w:right w:val="single" w:sz="8" w:color="0070C0"/>
            </w:tcBorders>
            <w:shd w:val="clear" w:color="auto" w:fill="0070C0"/>
          </w:tcPr>
          <w:p>
            <w:pPr>
              <w:spacing w:after="0"/>
              <w:rPr>
                <w:sz w:val="14"/>
                <w:szCs w:val="14"/>
                <w:color w:val="auto"/>
              </w:rPr>
            </w:pPr>
          </w:p>
        </w:tc>
        <w:tc>
          <w:tcPr>
            <w:tcW w:w="40" w:type="dxa"/>
            <w:vAlign w:val="bottom"/>
            <w:tcBorders>
              <w:bottom w:val="single" w:sz="8" w:color="auto"/>
            </w:tcBorders>
            <w:shd w:val="clear" w:color="auto" w:fill="0070C0"/>
          </w:tcPr>
          <w:p>
            <w:pPr>
              <w:spacing w:after="0"/>
              <w:rPr>
                <w:sz w:val="14"/>
                <w:szCs w:val="14"/>
                <w:color w:val="auto"/>
              </w:rPr>
            </w:pPr>
          </w:p>
        </w:tc>
        <w:tc>
          <w:tcPr>
            <w:tcW w:w="480" w:type="dxa"/>
            <w:vAlign w:val="bottom"/>
            <w:tcBorders>
              <w:bottom w:val="single" w:sz="8" w:color="auto"/>
              <w:right w:val="single" w:sz="8" w:color="auto"/>
            </w:tcBorders>
            <w:shd w:val="clear" w:color="auto" w:fill="0070C0"/>
          </w:tcPr>
          <w:p>
            <w:pPr>
              <w:spacing w:after="0"/>
              <w:rPr>
                <w:sz w:val="14"/>
                <w:szCs w:val="14"/>
                <w:color w:val="auto"/>
              </w:rPr>
            </w:pPr>
          </w:p>
        </w:tc>
        <w:tc>
          <w:tcPr>
            <w:tcW w:w="620" w:type="dxa"/>
            <w:vAlign w:val="bottom"/>
            <w:tcBorders>
              <w:bottom w:val="single" w:sz="8" w:color="0070C0"/>
              <w:right w:val="single" w:sz="8" w:color="auto"/>
            </w:tcBorders>
            <w:vMerge w:val="continue"/>
            <w:shd w:val="clear" w:color="auto" w:fill="0070C0"/>
          </w:tcPr>
          <w:p>
            <w:pPr>
              <w:spacing w:after="0"/>
              <w:rPr>
                <w:sz w:val="14"/>
                <w:szCs w:val="14"/>
                <w:color w:val="auto"/>
              </w:rPr>
            </w:pPr>
          </w:p>
        </w:tc>
        <w:tc>
          <w:tcPr>
            <w:tcW w:w="580" w:type="dxa"/>
            <w:vAlign w:val="bottom"/>
            <w:tcBorders>
              <w:bottom w:val="single" w:sz="8" w:color="auto"/>
              <w:right w:val="single" w:sz="8" w:color="0070C0"/>
            </w:tcBorders>
            <w:shd w:val="clear" w:color="auto" w:fill="0070C0"/>
          </w:tcPr>
          <w:p>
            <w:pPr>
              <w:spacing w:after="0"/>
              <w:rPr>
                <w:sz w:val="14"/>
                <w:szCs w:val="14"/>
                <w:color w:val="auto"/>
              </w:rPr>
            </w:pPr>
          </w:p>
        </w:tc>
        <w:tc>
          <w:tcPr>
            <w:tcW w:w="1280" w:type="dxa"/>
            <w:vAlign w:val="bottom"/>
            <w:tcBorders>
              <w:bottom w:val="single" w:sz="8" w:color="auto"/>
              <w:right w:val="single" w:sz="8" w:color="auto"/>
            </w:tcBorders>
            <w:shd w:val="clear" w:color="auto" w:fill="0070C0"/>
          </w:tcPr>
          <w:p>
            <w:pPr>
              <w:spacing w:after="0"/>
              <w:rPr>
                <w:sz w:val="14"/>
                <w:szCs w:val="14"/>
                <w:color w:val="auto"/>
              </w:rPr>
            </w:pPr>
          </w:p>
        </w:tc>
        <w:tc>
          <w:tcPr>
            <w:tcW w:w="680" w:type="dxa"/>
            <w:vAlign w:val="bottom"/>
            <w:tcBorders>
              <w:bottom w:val="single" w:sz="8" w:color="0070C0"/>
              <w:right w:val="single" w:sz="8" w:color="auto"/>
            </w:tcBorders>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7"/>
              </w:rPr>
              <w:t>Value of Tax</w:t>
            </w:r>
          </w:p>
        </w:tc>
        <w:tc>
          <w:tcPr>
            <w:tcW w:w="620" w:type="dxa"/>
            <w:vAlign w:val="bottom"/>
            <w:tcBorders>
              <w:bottom w:val="single" w:sz="8" w:color="0070C0"/>
              <w:right w:val="single" w:sz="8" w:color="auto"/>
            </w:tcBorders>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rPr>
              <w:t>net of tax</w:t>
            </w:r>
          </w:p>
        </w:tc>
        <w:tc>
          <w:tcPr>
            <w:tcW w:w="620" w:type="dxa"/>
            <w:vAlign w:val="bottom"/>
            <w:tcBorders>
              <w:bottom w:val="single" w:sz="8" w:color="0070C0"/>
              <w:right w:val="single" w:sz="8" w:color="auto"/>
            </w:tcBorders>
            <w:shd w:val="clear" w:color="auto" w:fill="0070C0"/>
          </w:tcPr>
          <w:p>
            <w:pPr>
              <w:jc w:val="center"/>
              <w:spacing w:after="0" w:line="106" w:lineRule="exact"/>
              <w:rPr>
                <w:sz w:val="20"/>
                <w:szCs w:val="20"/>
                <w:color w:val="auto"/>
              </w:rPr>
            </w:pPr>
            <w:r>
              <w:rPr>
                <w:rFonts w:ascii="Times New Roman" w:cs="Times New Roman" w:eastAsia="Times New Roman" w:hAnsi="Times New Roman"/>
                <w:sz w:val="12"/>
                <w:szCs w:val="12"/>
                <w:color w:val="FFFFFF"/>
                <w:w w:val="99"/>
              </w:rPr>
              <w:t>of</w:t>
            </w:r>
          </w:p>
        </w:tc>
        <w:tc>
          <w:tcPr>
            <w:tcW w:w="600" w:type="dxa"/>
            <w:vAlign w:val="bottom"/>
            <w:tcBorders>
              <w:bottom w:val="single" w:sz="8" w:color="0070C0"/>
              <w:right w:val="single" w:sz="8" w:color="auto"/>
            </w:tcBorders>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9"/>
              </w:rPr>
              <w:t>Required</w:t>
            </w:r>
          </w:p>
        </w:tc>
        <w:tc>
          <w:tcPr>
            <w:tcW w:w="620" w:type="dxa"/>
            <w:vAlign w:val="bottom"/>
            <w:tcBorders>
              <w:bottom w:val="single" w:sz="8" w:color="0070C0"/>
              <w:right w:val="single" w:sz="8" w:color="auto"/>
            </w:tcBorders>
            <w:shd w:val="clear" w:color="auto" w:fill="0070C0"/>
          </w:tcPr>
          <w:p>
            <w:pPr>
              <w:jc w:val="center"/>
              <w:spacing w:after="0" w:line="106" w:lineRule="exact"/>
              <w:rPr>
                <w:sz w:val="20"/>
                <w:szCs w:val="20"/>
                <w:color w:val="auto"/>
              </w:rPr>
            </w:pPr>
            <w:r>
              <w:rPr>
                <w:rFonts w:ascii="Times New Roman" w:cs="Times New Roman" w:eastAsia="Times New Roman" w:hAnsi="Times New Roman"/>
                <w:sz w:val="12"/>
                <w:szCs w:val="12"/>
                <w:color w:val="FFFFFF"/>
                <w:w w:val="99"/>
              </w:rPr>
              <w:t>of</w:t>
            </w:r>
          </w:p>
        </w:tc>
        <w:tc>
          <w:tcPr>
            <w:tcW w:w="680" w:type="dxa"/>
            <w:vAlign w:val="bottom"/>
            <w:tcBorders>
              <w:bottom w:val="single" w:sz="8" w:color="0070C0"/>
              <w:right w:val="single" w:sz="8" w:color="auto"/>
            </w:tcBorders>
            <w:shd w:val="clear" w:color="auto" w:fill="0070C0"/>
          </w:tcPr>
          <w:p>
            <w:pPr>
              <w:jc w:val="right"/>
              <w:ind w:right="82"/>
              <w:spacing w:after="0" w:line="106" w:lineRule="exact"/>
              <w:rPr>
                <w:sz w:val="20"/>
                <w:szCs w:val="20"/>
                <w:color w:val="auto"/>
              </w:rPr>
            </w:pPr>
            <w:r>
              <w:rPr>
                <w:rFonts w:ascii="Times New Roman" w:cs="Times New Roman" w:eastAsia="Times New Roman" w:hAnsi="Times New Roman"/>
                <w:sz w:val="12"/>
                <w:szCs w:val="12"/>
                <w:color w:val="FFFFFF"/>
              </w:rPr>
              <w:t>Full Year</w:t>
            </w:r>
          </w:p>
        </w:tc>
        <w:tc>
          <w:tcPr>
            <w:tcW w:w="860" w:type="dxa"/>
            <w:vAlign w:val="bottom"/>
            <w:tcBorders>
              <w:bottom w:val="single" w:sz="8" w:color="0070C0"/>
              <w:right w:val="single" w:sz="8" w:color="auto"/>
            </w:tcBorders>
            <w:shd w:val="clear" w:color="auto" w:fill="0070C0"/>
          </w:tcPr>
          <w:p>
            <w:pPr>
              <w:jc w:val="center"/>
              <w:ind w:right="20"/>
              <w:spacing w:after="0"/>
              <w:rPr>
                <w:sz w:val="20"/>
                <w:szCs w:val="20"/>
                <w:color w:val="auto"/>
              </w:rPr>
            </w:pPr>
            <w:r>
              <w:rPr>
                <w:rFonts w:ascii="Times New Roman" w:cs="Times New Roman" w:eastAsia="Times New Roman" w:hAnsi="Times New Roman"/>
                <w:sz w:val="12"/>
                <w:szCs w:val="12"/>
                <w:color w:val="FFFFFF"/>
                <w:w w:val="94"/>
              </w:rPr>
              <w:t>Year</w:t>
            </w:r>
          </w:p>
        </w:tc>
        <w:tc>
          <w:tcPr>
            <w:tcW w:w="620" w:type="dxa"/>
            <w:vAlign w:val="bottom"/>
            <w:tcBorders>
              <w:bottom w:val="single" w:sz="8" w:color="0070C0"/>
              <w:right w:val="single" w:sz="8" w:color="auto"/>
            </w:tcBorders>
            <w:shd w:val="clear" w:color="auto" w:fill="0070C0"/>
          </w:tcPr>
          <w:p>
            <w:pPr>
              <w:jc w:val="center"/>
              <w:ind w:right="40"/>
              <w:spacing w:after="0"/>
              <w:rPr>
                <w:sz w:val="20"/>
                <w:szCs w:val="20"/>
                <w:color w:val="auto"/>
              </w:rPr>
            </w:pPr>
            <w:r>
              <w:rPr>
                <w:rFonts w:ascii="Times New Roman" w:cs="Times New Roman" w:eastAsia="Times New Roman" w:hAnsi="Times New Roman"/>
                <w:sz w:val="12"/>
                <w:szCs w:val="12"/>
                <w:color w:val="FFFFFF"/>
                <w:w w:val="99"/>
              </w:rPr>
              <w:t>%*</w:t>
            </w:r>
          </w:p>
        </w:tc>
        <w:tc>
          <w:tcPr>
            <w:tcW w:w="0" w:type="dxa"/>
            <w:vAlign w:val="bottom"/>
          </w:tcPr>
          <w:p>
            <w:pPr>
              <w:spacing w:after="0"/>
              <w:rPr>
                <w:sz w:val="1"/>
                <w:szCs w:val="1"/>
                <w:color w:val="auto"/>
              </w:rPr>
            </w:pPr>
          </w:p>
        </w:tc>
      </w:tr>
      <w:tr>
        <w:trPr>
          <w:trHeight w:val="119"/>
        </w:trPr>
        <w:tc>
          <w:tcPr>
            <w:tcW w:w="2020" w:type="dxa"/>
            <w:vAlign w:val="bottom"/>
            <w:tcBorders>
              <w:top w:val="single" w:sz="8" w:color="0070C0"/>
              <w:left w:val="single" w:sz="8" w:color="auto"/>
              <w:right w:val="single" w:sz="8" w:color="auto"/>
            </w:tcBorders>
            <w:shd w:val="clear" w:color="auto" w:fill="0070C0"/>
          </w:tcPr>
          <w:p>
            <w:pPr>
              <w:spacing w:after="0"/>
              <w:rPr>
                <w:sz w:val="10"/>
                <w:szCs w:val="10"/>
                <w:color w:val="auto"/>
              </w:rPr>
            </w:pPr>
          </w:p>
        </w:tc>
        <w:tc>
          <w:tcPr>
            <w:tcW w:w="500" w:type="dxa"/>
            <w:vAlign w:val="bottom"/>
            <w:tcBorders>
              <w:top w:val="single" w:sz="8" w:color="0070C0"/>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b w:val="1"/>
                <w:bCs w:val="1"/>
                <w:color w:val="FFFFFF"/>
                <w:w w:val="99"/>
              </w:rPr>
              <w:t>2026</w:t>
            </w:r>
          </w:p>
        </w:tc>
        <w:tc>
          <w:tcPr>
            <w:tcW w:w="500" w:type="dxa"/>
            <w:vAlign w:val="bottom"/>
            <w:tcBorders>
              <w:top w:val="single" w:sz="8" w:color="0070C0"/>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b w:val="1"/>
                <w:bCs w:val="1"/>
                <w:color w:val="FFFFFF"/>
                <w:w w:val="99"/>
              </w:rPr>
              <w:t>2027</w:t>
            </w:r>
          </w:p>
        </w:tc>
        <w:tc>
          <w:tcPr>
            <w:tcW w:w="40" w:type="dxa"/>
            <w:vAlign w:val="bottom"/>
            <w:tcBorders>
              <w:top w:val="single" w:sz="8" w:color="0070C0"/>
            </w:tcBorders>
            <w:shd w:val="clear" w:color="auto" w:fill="0070C0"/>
          </w:tcPr>
          <w:p>
            <w:pPr>
              <w:spacing w:after="0"/>
              <w:rPr>
                <w:sz w:val="10"/>
                <w:szCs w:val="10"/>
                <w:color w:val="auto"/>
              </w:rPr>
            </w:pPr>
          </w:p>
        </w:tc>
        <w:tc>
          <w:tcPr>
            <w:tcW w:w="480" w:type="dxa"/>
            <w:vAlign w:val="bottom"/>
            <w:tcBorders>
              <w:top w:val="single" w:sz="8" w:color="0070C0"/>
              <w:right w:val="single" w:sz="8" w:color="auto"/>
            </w:tcBorders>
            <w:vMerge w:val="restart"/>
            <w:shd w:val="clear" w:color="auto" w:fill="0070C0"/>
          </w:tcPr>
          <w:p>
            <w:pPr>
              <w:jc w:val="center"/>
              <w:ind w:right="20"/>
              <w:spacing w:after="0"/>
              <w:rPr>
                <w:sz w:val="20"/>
                <w:szCs w:val="20"/>
                <w:color w:val="auto"/>
              </w:rPr>
            </w:pPr>
            <w:r>
              <w:rPr>
                <w:rFonts w:ascii="Times New Roman" w:cs="Times New Roman" w:eastAsia="Times New Roman" w:hAnsi="Times New Roman"/>
                <w:sz w:val="12"/>
                <w:szCs w:val="12"/>
                <w:b w:val="1"/>
                <w:bCs w:val="1"/>
                <w:color w:val="FFFFFF"/>
                <w:w w:val="99"/>
              </w:rPr>
              <w:t>2028</w:t>
            </w:r>
          </w:p>
        </w:tc>
        <w:tc>
          <w:tcPr>
            <w:tcW w:w="620" w:type="dxa"/>
            <w:vAlign w:val="bottom"/>
            <w:tcBorders>
              <w:top w:val="single" w:sz="8" w:color="0070C0"/>
              <w:right w:val="single" w:sz="8" w:color="auto"/>
            </w:tcBorders>
            <w:shd w:val="clear" w:color="auto" w:fill="0070C0"/>
          </w:tcPr>
          <w:p>
            <w:pPr>
              <w:jc w:val="center"/>
              <w:spacing w:after="0" w:line="74" w:lineRule="exact"/>
              <w:rPr>
                <w:sz w:val="20"/>
                <w:szCs w:val="20"/>
                <w:color w:val="auto"/>
              </w:rPr>
            </w:pPr>
            <w:r>
              <w:rPr>
                <w:rFonts w:ascii="Times New Roman" w:cs="Times New Roman" w:eastAsia="Times New Roman" w:hAnsi="Times New Roman"/>
                <w:sz w:val="8"/>
                <w:szCs w:val="8"/>
                <w:color w:val="FFFFFF"/>
              </w:rPr>
              <w:t>Project Cost</w:t>
            </w:r>
          </w:p>
        </w:tc>
        <w:tc>
          <w:tcPr>
            <w:tcW w:w="580" w:type="dxa"/>
            <w:vAlign w:val="bottom"/>
            <w:tcBorders>
              <w:top w:val="single" w:sz="8" w:color="0070C0"/>
              <w:right w:val="single" w:sz="8" w:color="auto"/>
            </w:tcBorders>
            <w:shd w:val="clear" w:color="auto" w:fill="0070C0"/>
          </w:tcPr>
          <w:p>
            <w:pPr>
              <w:jc w:val="center"/>
              <w:spacing w:after="0" w:line="119" w:lineRule="exact"/>
              <w:rPr>
                <w:sz w:val="20"/>
                <w:szCs w:val="20"/>
                <w:color w:val="auto"/>
              </w:rPr>
            </w:pPr>
            <w:r>
              <w:rPr>
                <w:rFonts w:ascii="Times New Roman" w:cs="Times New Roman" w:eastAsia="Times New Roman" w:hAnsi="Times New Roman"/>
                <w:sz w:val="12"/>
                <w:szCs w:val="12"/>
                <w:color w:val="FFFFFF"/>
                <w:w w:val="99"/>
              </w:rPr>
              <w:t>Qualifying</w:t>
            </w:r>
          </w:p>
        </w:tc>
        <w:tc>
          <w:tcPr>
            <w:tcW w:w="1280" w:type="dxa"/>
            <w:vAlign w:val="bottom"/>
            <w:tcBorders>
              <w:top w:val="single" w:sz="8" w:color="0070C0"/>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8"/>
              </w:rPr>
              <w:t>Adders*****</w:t>
            </w:r>
          </w:p>
        </w:tc>
        <w:tc>
          <w:tcPr>
            <w:tcW w:w="680" w:type="dxa"/>
            <w:vAlign w:val="bottom"/>
            <w:tcBorders>
              <w:top w:val="single" w:sz="8" w:color="0070C0"/>
              <w:right w:val="single" w:sz="8" w:color="auto"/>
            </w:tcBorders>
            <w:shd w:val="clear" w:color="auto" w:fill="0070C0"/>
          </w:tcPr>
          <w:p>
            <w:pPr>
              <w:jc w:val="center"/>
              <w:spacing w:after="0" w:line="119" w:lineRule="exact"/>
              <w:rPr>
                <w:sz w:val="20"/>
                <w:szCs w:val="20"/>
                <w:color w:val="auto"/>
              </w:rPr>
            </w:pPr>
            <w:r>
              <w:rPr>
                <w:rFonts w:ascii="Times New Roman" w:cs="Times New Roman" w:eastAsia="Times New Roman" w:hAnsi="Times New Roman"/>
                <w:sz w:val="12"/>
                <w:szCs w:val="12"/>
                <w:color w:val="FFFFFF"/>
              </w:rPr>
              <w:t>Benefit***</w:t>
            </w:r>
          </w:p>
        </w:tc>
        <w:tc>
          <w:tcPr>
            <w:tcW w:w="620" w:type="dxa"/>
            <w:vAlign w:val="bottom"/>
            <w:tcBorders>
              <w:top w:val="single" w:sz="8" w:color="0070C0"/>
              <w:right w:val="single" w:sz="8" w:color="auto"/>
            </w:tcBorders>
            <w:shd w:val="clear" w:color="auto" w:fill="0070C0"/>
          </w:tcPr>
          <w:p>
            <w:pPr>
              <w:jc w:val="center"/>
              <w:spacing w:after="0" w:line="119" w:lineRule="exact"/>
              <w:rPr>
                <w:sz w:val="20"/>
                <w:szCs w:val="20"/>
                <w:color w:val="auto"/>
              </w:rPr>
            </w:pPr>
            <w:r>
              <w:rPr>
                <w:rFonts w:ascii="Times New Roman" w:cs="Times New Roman" w:eastAsia="Times New Roman" w:hAnsi="Times New Roman"/>
                <w:sz w:val="12"/>
                <w:szCs w:val="12"/>
                <w:color w:val="FFFFFF"/>
              </w:rPr>
              <w:t>benefit</w:t>
            </w:r>
          </w:p>
        </w:tc>
        <w:tc>
          <w:tcPr>
            <w:tcW w:w="620" w:type="dxa"/>
            <w:vAlign w:val="bottom"/>
            <w:tcBorders>
              <w:top w:val="single" w:sz="8" w:color="0070C0"/>
              <w:right w:val="single" w:sz="8" w:color="auto"/>
            </w:tcBorders>
            <w:shd w:val="clear" w:color="auto" w:fill="0070C0"/>
          </w:tcPr>
          <w:p>
            <w:pPr>
              <w:jc w:val="center"/>
              <w:spacing w:after="0" w:line="74" w:lineRule="exact"/>
              <w:rPr>
                <w:sz w:val="20"/>
                <w:szCs w:val="20"/>
                <w:color w:val="auto"/>
              </w:rPr>
            </w:pPr>
            <w:r>
              <w:rPr>
                <w:rFonts w:ascii="Times New Roman" w:cs="Times New Roman" w:eastAsia="Times New Roman" w:hAnsi="Times New Roman"/>
                <w:sz w:val="8"/>
                <w:szCs w:val="8"/>
                <w:color w:val="FFFFFF"/>
              </w:rPr>
              <w:t>September</w:t>
            </w:r>
          </w:p>
        </w:tc>
        <w:tc>
          <w:tcPr>
            <w:tcW w:w="600" w:type="dxa"/>
            <w:vAlign w:val="bottom"/>
            <w:tcBorders>
              <w:top w:val="single" w:sz="8" w:color="0070C0"/>
              <w:right w:val="single" w:sz="8" w:color="auto"/>
            </w:tcBorders>
            <w:shd w:val="clear" w:color="auto" w:fill="0070C0"/>
          </w:tcPr>
          <w:p>
            <w:pPr>
              <w:jc w:val="center"/>
              <w:spacing w:after="0" w:line="119" w:lineRule="exact"/>
              <w:rPr>
                <w:sz w:val="20"/>
                <w:szCs w:val="20"/>
                <w:color w:val="auto"/>
              </w:rPr>
            </w:pPr>
            <w:r>
              <w:rPr>
                <w:rFonts w:ascii="Times New Roman" w:cs="Times New Roman" w:eastAsia="Times New Roman" w:hAnsi="Times New Roman"/>
                <w:sz w:val="12"/>
                <w:szCs w:val="12"/>
                <w:color w:val="FFFFFF"/>
                <w:w w:val="99"/>
              </w:rPr>
              <w:t>(%)</w:t>
            </w:r>
          </w:p>
        </w:tc>
        <w:tc>
          <w:tcPr>
            <w:tcW w:w="620" w:type="dxa"/>
            <w:vAlign w:val="bottom"/>
            <w:tcBorders>
              <w:top w:val="single" w:sz="8" w:color="0070C0"/>
              <w:right w:val="single" w:sz="8" w:color="auto"/>
            </w:tcBorders>
            <w:shd w:val="clear" w:color="auto" w:fill="0070C0"/>
          </w:tcPr>
          <w:p>
            <w:pPr>
              <w:jc w:val="center"/>
              <w:spacing w:after="0" w:line="74" w:lineRule="exact"/>
              <w:rPr>
                <w:sz w:val="20"/>
                <w:szCs w:val="20"/>
                <w:color w:val="auto"/>
              </w:rPr>
            </w:pPr>
            <w:r>
              <w:rPr>
                <w:rFonts w:ascii="Times New Roman" w:cs="Times New Roman" w:eastAsia="Times New Roman" w:hAnsi="Times New Roman"/>
                <w:sz w:val="8"/>
                <w:szCs w:val="8"/>
                <w:color w:val="FFFFFF"/>
              </w:rPr>
              <w:t>September</w:t>
            </w:r>
          </w:p>
        </w:tc>
        <w:tc>
          <w:tcPr>
            <w:tcW w:w="680" w:type="dxa"/>
            <w:vAlign w:val="bottom"/>
            <w:tcBorders>
              <w:top w:val="single" w:sz="8" w:color="0070C0"/>
              <w:right w:val="single" w:sz="8" w:color="auto"/>
            </w:tcBorders>
            <w:shd w:val="clear" w:color="auto" w:fill="0070C0"/>
          </w:tcPr>
          <w:p>
            <w:pPr>
              <w:jc w:val="right"/>
              <w:ind w:right="82"/>
              <w:spacing w:after="0" w:line="74" w:lineRule="exact"/>
              <w:rPr>
                <w:sz w:val="20"/>
                <w:szCs w:val="20"/>
                <w:color w:val="auto"/>
              </w:rPr>
            </w:pPr>
            <w:r>
              <w:rPr>
                <w:rFonts w:ascii="Times New Roman" w:cs="Times New Roman" w:eastAsia="Times New Roman" w:hAnsi="Times New Roman"/>
                <w:sz w:val="8"/>
                <w:szCs w:val="8"/>
                <w:color w:val="FFFFFF"/>
              </w:rPr>
              <w:t>Revenue</w:t>
            </w:r>
          </w:p>
        </w:tc>
        <w:tc>
          <w:tcPr>
            <w:tcW w:w="860" w:type="dxa"/>
            <w:vAlign w:val="bottom"/>
            <w:tcBorders>
              <w:top w:val="single" w:sz="8" w:color="0070C0"/>
              <w:right w:val="single" w:sz="8" w:color="auto"/>
            </w:tcBorders>
            <w:shd w:val="clear" w:color="auto" w:fill="0070C0"/>
          </w:tcPr>
          <w:p>
            <w:pPr>
              <w:jc w:val="center"/>
              <w:spacing w:after="0" w:line="119" w:lineRule="exact"/>
              <w:rPr>
                <w:sz w:val="20"/>
                <w:szCs w:val="20"/>
                <w:color w:val="auto"/>
              </w:rPr>
            </w:pPr>
            <w:r>
              <w:rPr>
                <w:rFonts w:ascii="Times New Roman" w:cs="Times New Roman" w:eastAsia="Times New Roman" w:hAnsi="Times New Roman"/>
                <w:sz w:val="12"/>
                <w:szCs w:val="12"/>
                <w:color w:val="FFFFFF"/>
                <w:w w:val="99"/>
              </w:rPr>
              <w:t>EBITDA****</w:t>
            </w:r>
          </w:p>
        </w:tc>
        <w:tc>
          <w:tcPr>
            <w:tcW w:w="620" w:type="dxa"/>
            <w:vAlign w:val="bottom"/>
            <w:tcBorders>
              <w:top w:val="single" w:sz="8" w:color="0070C0"/>
              <w:right w:val="single" w:sz="8" w:color="auto"/>
            </w:tcBorders>
            <w:shd w:val="clear" w:color="auto" w:fill="0070C0"/>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20" w:type="dxa"/>
            <w:vAlign w:val="bottom"/>
            <w:tcBorders>
              <w:left w:val="single" w:sz="8" w:color="auto"/>
              <w:right w:val="single" w:sz="8" w:color="auto"/>
            </w:tcBorders>
            <w:shd w:val="clear" w:color="auto" w:fill="0070C0"/>
          </w:tcPr>
          <w:p>
            <w:pPr>
              <w:spacing w:after="0"/>
              <w:rPr>
                <w:sz w:val="10"/>
                <w:szCs w:val="10"/>
                <w:color w:val="auto"/>
              </w:rPr>
            </w:pPr>
          </w:p>
        </w:tc>
        <w:tc>
          <w:tcPr>
            <w:tcW w:w="500" w:type="dxa"/>
            <w:vAlign w:val="bottom"/>
            <w:tcBorders>
              <w:right w:val="single" w:sz="8" w:color="auto"/>
            </w:tcBorders>
            <w:vMerge w:val="continue"/>
            <w:shd w:val="clear" w:color="auto" w:fill="0070C0"/>
          </w:tcPr>
          <w:p>
            <w:pPr>
              <w:spacing w:after="0"/>
              <w:rPr>
                <w:sz w:val="10"/>
                <w:szCs w:val="10"/>
                <w:color w:val="auto"/>
              </w:rPr>
            </w:pPr>
          </w:p>
        </w:tc>
        <w:tc>
          <w:tcPr>
            <w:tcW w:w="500" w:type="dxa"/>
            <w:vAlign w:val="bottom"/>
            <w:tcBorders>
              <w:right w:val="single" w:sz="8" w:color="auto"/>
            </w:tcBorders>
            <w:vMerge w:val="continue"/>
            <w:shd w:val="clear" w:color="auto" w:fill="0070C0"/>
          </w:tcPr>
          <w:p>
            <w:pPr>
              <w:spacing w:after="0"/>
              <w:rPr>
                <w:sz w:val="10"/>
                <w:szCs w:val="10"/>
                <w:color w:val="auto"/>
              </w:rPr>
            </w:pPr>
          </w:p>
        </w:tc>
        <w:tc>
          <w:tcPr>
            <w:tcW w:w="40" w:type="dxa"/>
            <w:vAlign w:val="bottom"/>
            <w:shd w:val="clear" w:color="auto" w:fill="0070C0"/>
          </w:tcPr>
          <w:p>
            <w:pPr>
              <w:spacing w:after="0"/>
              <w:rPr>
                <w:sz w:val="10"/>
                <w:szCs w:val="10"/>
                <w:color w:val="auto"/>
              </w:rPr>
            </w:pPr>
          </w:p>
        </w:tc>
        <w:tc>
          <w:tcPr>
            <w:tcW w:w="480" w:type="dxa"/>
            <w:vAlign w:val="bottom"/>
            <w:tcBorders>
              <w:right w:val="single" w:sz="8" w:color="auto"/>
            </w:tcBorders>
            <w:vMerge w:val="continue"/>
            <w:shd w:val="clear" w:color="auto" w:fill="0070C0"/>
          </w:tcPr>
          <w:p>
            <w:pPr>
              <w:spacing w:after="0"/>
              <w:rPr>
                <w:sz w:val="10"/>
                <w:szCs w:val="10"/>
                <w:color w:val="auto"/>
              </w:rPr>
            </w:pPr>
          </w:p>
        </w:tc>
        <w:tc>
          <w:tcPr>
            <w:tcW w:w="620" w:type="dxa"/>
            <w:vAlign w:val="bottom"/>
            <w:tcBorders>
              <w:right w:val="single" w:sz="8" w:color="auto"/>
            </w:tcBorders>
            <w:shd w:val="clear" w:color="auto" w:fill="0070C0"/>
          </w:tcPr>
          <w:p>
            <w:pPr>
              <w:spacing w:after="0"/>
              <w:rPr>
                <w:sz w:val="10"/>
                <w:szCs w:val="10"/>
                <w:color w:val="auto"/>
              </w:rPr>
            </w:pPr>
          </w:p>
        </w:tc>
        <w:tc>
          <w:tcPr>
            <w:tcW w:w="58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9"/>
              </w:rPr>
              <w:t>Category</w:t>
            </w:r>
          </w:p>
        </w:tc>
        <w:tc>
          <w:tcPr>
            <w:tcW w:w="1280" w:type="dxa"/>
            <w:vAlign w:val="bottom"/>
            <w:tcBorders>
              <w:right w:val="single" w:sz="8" w:color="auto"/>
            </w:tcBorders>
            <w:vMerge w:val="continue"/>
            <w:shd w:val="clear" w:color="auto" w:fill="0070C0"/>
          </w:tcPr>
          <w:p>
            <w:pPr>
              <w:spacing w:after="0"/>
              <w:rPr>
                <w:sz w:val="10"/>
                <w:szCs w:val="10"/>
                <w:color w:val="auto"/>
              </w:rPr>
            </w:pPr>
          </w:p>
        </w:tc>
        <w:tc>
          <w:tcPr>
            <w:tcW w:w="680" w:type="dxa"/>
            <w:vAlign w:val="bottom"/>
            <w:tcBorders>
              <w:right w:val="single" w:sz="8" w:color="auto"/>
            </w:tcBorders>
            <w:shd w:val="clear" w:color="auto" w:fill="0070C0"/>
          </w:tcPr>
          <w:p>
            <w:pPr>
              <w:spacing w:after="0"/>
              <w:rPr>
                <w:sz w:val="10"/>
                <w:szCs w:val="10"/>
                <w:color w:val="auto"/>
              </w:rPr>
            </w:pPr>
          </w:p>
        </w:tc>
        <w:tc>
          <w:tcPr>
            <w:tcW w:w="620" w:type="dxa"/>
            <w:vAlign w:val="bottom"/>
            <w:tcBorders>
              <w:right w:val="single" w:sz="8" w:color="auto"/>
            </w:tcBorders>
            <w:shd w:val="clear" w:color="auto" w:fill="0070C0"/>
          </w:tcPr>
          <w:p>
            <w:pPr>
              <w:spacing w:after="0"/>
              <w:rPr>
                <w:sz w:val="10"/>
                <w:szCs w:val="10"/>
                <w:color w:val="auto"/>
              </w:rPr>
            </w:pPr>
          </w:p>
        </w:tc>
        <w:tc>
          <w:tcPr>
            <w:tcW w:w="620" w:type="dxa"/>
            <w:vAlign w:val="bottom"/>
            <w:tcBorders>
              <w:right w:val="single" w:sz="8" w:color="auto"/>
            </w:tcBorders>
            <w:shd w:val="clear" w:color="auto" w:fill="0070C0"/>
          </w:tcPr>
          <w:p>
            <w:pPr>
              <w:jc w:val="center"/>
              <w:spacing w:after="0" w:line="126" w:lineRule="exact"/>
              <w:rPr>
                <w:sz w:val="20"/>
                <w:szCs w:val="20"/>
                <w:color w:val="auto"/>
              </w:rPr>
            </w:pPr>
            <w:r>
              <w:rPr>
                <w:rFonts w:ascii="Times New Roman" w:cs="Times New Roman" w:eastAsia="Times New Roman" w:hAnsi="Times New Roman"/>
                <w:sz w:val="12"/>
                <w:szCs w:val="12"/>
                <w:color w:val="FFFFFF"/>
                <w:w w:val="99"/>
              </w:rPr>
              <w:t>30, 2025</w:t>
            </w:r>
          </w:p>
        </w:tc>
        <w:tc>
          <w:tcPr>
            <w:tcW w:w="600" w:type="dxa"/>
            <w:vAlign w:val="bottom"/>
            <w:tcBorders>
              <w:right w:val="single" w:sz="8" w:color="auto"/>
            </w:tcBorders>
            <w:shd w:val="clear" w:color="auto" w:fill="0070C0"/>
          </w:tcPr>
          <w:p>
            <w:pPr>
              <w:spacing w:after="0"/>
              <w:rPr>
                <w:sz w:val="10"/>
                <w:szCs w:val="10"/>
                <w:color w:val="auto"/>
              </w:rPr>
            </w:pPr>
          </w:p>
        </w:tc>
        <w:tc>
          <w:tcPr>
            <w:tcW w:w="620" w:type="dxa"/>
            <w:vAlign w:val="bottom"/>
            <w:tcBorders>
              <w:right w:val="single" w:sz="8" w:color="auto"/>
            </w:tcBorders>
            <w:shd w:val="clear" w:color="auto" w:fill="0070C0"/>
          </w:tcPr>
          <w:p>
            <w:pPr>
              <w:jc w:val="center"/>
              <w:spacing w:after="0" w:line="126" w:lineRule="exact"/>
              <w:rPr>
                <w:sz w:val="20"/>
                <w:szCs w:val="20"/>
                <w:color w:val="auto"/>
              </w:rPr>
            </w:pPr>
            <w:r>
              <w:rPr>
                <w:rFonts w:ascii="Times New Roman" w:cs="Times New Roman" w:eastAsia="Times New Roman" w:hAnsi="Times New Roman"/>
                <w:sz w:val="12"/>
                <w:szCs w:val="12"/>
                <w:color w:val="FFFFFF"/>
                <w:w w:val="99"/>
              </w:rPr>
              <w:t>30, 2025</w:t>
            </w:r>
          </w:p>
        </w:tc>
        <w:tc>
          <w:tcPr>
            <w:tcW w:w="680" w:type="dxa"/>
            <w:vAlign w:val="bottom"/>
            <w:tcBorders>
              <w:right w:val="single" w:sz="8" w:color="auto"/>
            </w:tcBorders>
            <w:shd w:val="clear" w:color="auto" w:fill="0070C0"/>
          </w:tcPr>
          <w:p>
            <w:pPr>
              <w:jc w:val="center"/>
              <w:spacing w:after="0" w:line="126" w:lineRule="exact"/>
              <w:rPr>
                <w:sz w:val="20"/>
                <w:szCs w:val="20"/>
                <w:color w:val="auto"/>
              </w:rPr>
            </w:pPr>
            <w:r>
              <w:rPr>
                <w:rFonts w:ascii="Times New Roman" w:cs="Times New Roman" w:eastAsia="Times New Roman" w:hAnsi="Times New Roman"/>
                <w:sz w:val="12"/>
                <w:szCs w:val="12"/>
                <w:color w:val="FFFFFF"/>
                <w:w w:val="99"/>
              </w:rPr>
              <w:t>*********</w:t>
            </w:r>
          </w:p>
        </w:tc>
        <w:tc>
          <w:tcPr>
            <w:tcW w:w="860" w:type="dxa"/>
            <w:vAlign w:val="bottom"/>
            <w:tcBorders>
              <w:right w:val="single" w:sz="8" w:color="auto"/>
            </w:tcBorders>
            <w:shd w:val="clear" w:color="auto" w:fill="0070C0"/>
          </w:tcPr>
          <w:p>
            <w:pPr>
              <w:spacing w:after="0"/>
              <w:rPr>
                <w:sz w:val="10"/>
                <w:szCs w:val="10"/>
                <w:color w:val="auto"/>
              </w:rPr>
            </w:pPr>
          </w:p>
        </w:tc>
        <w:tc>
          <w:tcPr>
            <w:tcW w:w="620" w:type="dxa"/>
            <w:vAlign w:val="bottom"/>
            <w:tcBorders>
              <w:right w:val="single" w:sz="8" w:color="auto"/>
            </w:tcBorders>
            <w:shd w:val="clear" w:color="auto" w:fill="0070C0"/>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20" w:type="dxa"/>
            <w:vAlign w:val="bottom"/>
            <w:tcBorders>
              <w:left w:val="single" w:sz="8" w:color="auto"/>
              <w:bottom w:val="single" w:sz="8" w:color="0070C0"/>
              <w:right w:val="single" w:sz="8" w:color="auto"/>
            </w:tcBorders>
            <w:shd w:val="clear" w:color="auto" w:fill="0070C0"/>
          </w:tcPr>
          <w:p>
            <w:pPr>
              <w:spacing w:after="0"/>
              <w:rPr>
                <w:sz w:val="5"/>
                <w:szCs w:val="5"/>
                <w:color w:val="auto"/>
              </w:rPr>
            </w:pPr>
          </w:p>
        </w:tc>
        <w:tc>
          <w:tcPr>
            <w:tcW w:w="500" w:type="dxa"/>
            <w:vAlign w:val="bottom"/>
            <w:tcBorders>
              <w:bottom w:val="single" w:sz="8" w:color="0070C0"/>
              <w:right w:val="single" w:sz="8" w:color="auto"/>
            </w:tcBorders>
            <w:shd w:val="clear" w:color="auto" w:fill="0070C0"/>
          </w:tcPr>
          <w:p>
            <w:pPr>
              <w:spacing w:after="0"/>
              <w:rPr>
                <w:sz w:val="5"/>
                <w:szCs w:val="5"/>
                <w:color w:val="auto"/>
              </w:rPr>
            </w:pPr>
          </w:p>
        </w:tc>
        <w:tc>
          <w:tcPr>
            <w:tcW w:w="500" w:type="dxa"/>
            <w:vAlign w:val="bottom"/>
            <w:tcBorders>
              <w:bottom w:val="single" w:sz="8" w:color="0070C0"/>
              <w:right w:val="single" w:sz="8" w:color="auto"/>
            </w:tcBorders>
            <w:shd w:val="clear" w:color="auto" w:fill="0070C0"/>
          </w:tcPr>
          <w:p>
            <w:pPr>
              <w:spacing w:after="0"/>
              <w:rPr>
                <w:sz w:val="5"/>
                <w:szCs w:val="5"/>
                <w:color w:val="auto"/>
              </w:rPr>
            </w:pPr>
          </w:p>
        </w:tc>
        <w:tc>
          <w:tcPr>
            <w:tcW w:w="40" w:type="dxa"/>
            <w:vAlign w:val="bottom"/>
            <w:tcBorders>
              <w:bottom w:val="single" w:sz="8" w:color="0070C0"/>
            </w:tcBorders>
            <w:shd w:val="clear" w:color="auto" w:fill="0070C0"/>
          </w:tcPr>
          <w:p>
            <w:pPr>
              <w:spacing w:after="0"/>
              <w:rPr>
                <w:sz w:val="5"/>
                <w:szCs w:val="5"/>
                <w:color w:val="auto"/>
              </w:rPr>
            </w:pPr>
          </w:p>
        </w:tc>
        <w:tc>
          <w:tcPr>
            <w:tcW w:w="480" w:type="dxa"/>
            <w:vAlign w:val="bottom"/>
            <w:tcBorders>
              <w:bottom w:val="single" w:sz="8" w:color="0070C0"/>
              <w:right w:val="single" w:sz="8" w:color="auto"/>
            </w:tcBorders>
            <w:shd w:val="clear" w:color="auto" w:fill="0070C0"/>
          </w:tcPr>
          <w:p>
            <w:pPr>
              <w:spacing w:after="0"/>
              <w:rPr>
                <w:sz w:val="5"/>
                <w:szCs w:val="5"/>
                <w:color w:val="auto"/>
              </w:rPr>
            </w:pPr>
          </w:p>
        </w:tc>
        <w:tc>
          <w:tcPr>
            <w:tcW w:w="620" w:type="dxa"/>
            <w:vAlign w:val="bottom"/>
            <w:tcBorders>
              <w:bottom w:val="single" w:sz="8" w:color="0070C0"/>
              <w:right w:val="single" w:sz="8" w:color="auto"/>
            </w:tcBorders>
            <w:shd w:val="clear" w:color="auto" w:fill="0070C0"/>
          </w:tcPr>
          <w:p>
            <w:pPr>
              <w:spacing w:after="0"/>
              <w:rPr>
                <w:sz w:val="5"/>
                <w:szCs w:val="5"/>
                <w:color w:val="auto"/>
              </w:rPr>
            </w:pPr>
          </w:p>
        </w:tc>
        <w:tc>
          <w:tcPr>
            <w:tcW w:w="580" w:type="dxa"/>
            <w:vAlign w:val="bottom"/>
            <w:tcBorders>
              <w:bottom w:val="single" w:sz="8" w:color="0070C0"/>
              <w:right w:val="single" w:sz="8" w:color="auto"/>
            </w:tcBorders>
            <w:vMerge w:val="continue"/>
            <w:shd w:val="clear" w:color="auto" w:fill="0070C0"/>
          </w:tcPr>
          <w:p>
            <w:pPr>
              <w:spacing w:after="0"/>
              <w:rPr>
                <w:sz w:val="5"/>
                <w:szCs w:val="5"/>
                <w:color w:val="auto"/>
              </w:rPr>
            </w:pPr>
          </w:p>
        </w:tc>
        <w:tc>
          <w:tcPr>
            <w:tcW w:w="1280" w:type="dxa"/>
            <w:vAlign w:val="bottom"/>
            <w:tcBorders>
              <w:bottom w:val="single" w:sz="8" w:color="0070C0"/>
              <w:right w:val="single" w:sz="8" w:color="auto"/>
            </w:tcBorders>
            <w:shd w:val="clear" w:color="auto" w:fill="0070C0"/>
          </w:tcPr>
          <w:p>
            <w:pPr>
              <w:spacing w:after="0"/>
              <w:rPr>
                <w:sz w:val="5"/>
                <w:szCs w:val="5"/>
                <w:color w:val="auto"/>
              </w:rPr>
            </w:pPr>
          </w:p>
        </w:tc>
        <w:tc>
          <w:tcPr>
            <w:tcW w:w="680" w:type="dxa"/>
            <w:vAlign w:val="bottom"/>
            <w:tcBorders>
              <w:bottom w:val="single" w:sz="8" w:color="0070C0"/>
              <w:right w:val="single" w:sz="8" w:color="auto"/>
            </w:tcBorders>
            <w:shd w:val="clear" w:color="auto" w:fill="0070C0"/>
          </w:tcPr>
          <w:p>
            <w:pPr>
              <w:spacing w:after="0"/>
              <w:rPr>
                <w:sz w:val="5"/>
                <w:szCs w:val="5"/>
                <w:color w:val="auto"/>
              </w:rPr>
            </w:pPr>
          </w:p>
        </w:tc>
        <w:tc>
          <w:tcPr>
            <w:tcW w:w="620" w:type="dxa"/>
            <w:vAlign w:val="bottom"/>
            <w:tcBorders>
              <w:bottom w:val="single" w:sz="8" w:color="0070C0"/>
              <w:right w:val="single" w:sz="8" w:color="auto"/>
            </w:tcBorders>
            <w:shd w:val="clear" w:color="auto" w:fill="0070C0"/>
          </w:tcPr>
          <w:p>
            <w:pPr>
              <w:spacing w:after="0"/>
              <w:rPr>
                <w:sz w:val="5"/>
                <w:szCs w:val="5"/>
                <w:color w:val="auto"/>
              </w:rPr>
            </w:pPr>
          </w:p>
        </w:tc>
        <w:tc>
          <w:tcPr>
            <w:tcW w:w="620" w:type="dxa"/>
            <w:vAlign w:val="bottom"/>
            <w:tcBorders>
              <w:bottom w:val="single" w:sz="8" w:color="0070C0"/>
              <w:right w:val="single" w:sz="8" w:color="auto"/>
            </w:tcBorders>
            <w:shd w:val="clear" w:color="auto" w:fill="0070C0"/>
          </w:tcPr>
          <w:p>
            <w:pPr>
              <w:spacing w:after="0"/>
              <w:rPr>
                <w:sz w:val="5"/>
                <w:szCs w:val="5"/>
                <w:color w:val="auto"/>
              </w:rPr>
            </w:pPr>
          </w:p>
        </w:tc>
        <w:tc>
          <w:tcPr>
            <w:tcW w:w="600" w:type="dxa"/>
            <w:vAlign w:val="bottom"/>
            <w:tcBorders>
              <w:bottom w:val="single" w:sz="8" w:color="0070C0"/>
              <w:right w:val="single" w:sz="8" w:color="auto"/>
            </w:tcBorders>
            <w:shd w:val="clear" w:color="auto" w:fill="0070C0"/>
          </w:tcPr>
          <w:p>
            <w:pPr>
              <w:spacing w:after="0"/>
              <w:rPr>
                <w:sz w:val="5"/>
                <w:szCs w:val="5"/>
                <w:color w:val="auto"/>
              </w:rPr>
            </w:pPr>
          </w:p>
        </w:tc>
        <w:tc>
          <w:tcPr>
            <w:tcW w:w="620" w:type="dxa"/>
            <w:vAlign w:val="bottom"/>
            <w:tcBorders>
              <w:bottom w:val="single" w:sz="8" w:color="0070C0"/>
              <w:right w:val="single" w:sz="8" w:color="auto"/>
            </w:tcBorders>
            <w:shd w:val="clear" w:color="auto" w:fill="0070C0"/>
          </w:tcPr>
          <w:p>
            <w:pPr>
              <w:spacing w:after="0"/>
              <w:rPr>
                <w:sz w:val="5"/>
                <w:szCs w:val="5"/>
                <w:color w:val="auto"/>
              </w:rPr>
            </w:pPr>
          </w:p>
        </w:tc>
        <w:tc>
          <w:tcPr>
            <w:tcW w:w="680" w:type="dxa"/>
            <w:vAlign w:val="bottom"/>
            <w:tcBorders>
              <w:bottom w:val="single" w:sz="8" w:color="0070C0"/>
              <w:right w:val="single" w:sz="8" w:color="auto"/>
            </w:tcBorders>
            <w:shd w:val="clear" w:color="auto" w:fill="0070C0"/>
          </w:tcPr>
          <w:p>
            <w:pPr>
              <w:spacing w:after="0"/>
              <w:rPr>
                <w:sz w:val="5"/>
                <w:szCs w:val="5"/>
                <w:color w:val="auto"/>
              </w:rPr>
            </w:pPr>
          </w:p>
        </w:tc>
        <w:tc>
          <w:tcPr>
            <w:tcW w:w="860" w:type="dxa"/>
            <w:vAlign w:val="bottom"/>
            <w:tcBorders>
              <w:bottom w:val="single" w:sz="8" w:color="0070C0"/>
              <w:right w:val="single" w:sz="8" w:color="auto"/>
            </w:tcBorders>
            <w:shd w:val="clear" w:color="auto" w:fill="0070C0"/>
          </w:tcPr>
          <w:p>
            <w:pPr>
              <w:spacing w:after="0"/>
              <w:rPr>
                <w:sz w:val="5"/>
                <w:szCs w:val="5"/>
                <w:color w:val="auto"/>
              </w:rPr>
            </w:pPr>
          </w:p>
        </w:tc>
        <w:tc>
          <w:tcPr>
            <w:tcW w:w="620" w:type="dxa"/>
            <w:vAlign w:val="bottom"/>
            <w:tcBorders>
              <w:bottom w:val="single" w:sz="8" w:color="0070C0"/>
              <w:right w:val="single" w:sz="8" w:color="auto"/>
            </w:tcBorders>
            <w:shd w:val="clear" w:color="auto" w:fill="0070C0"/>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20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United States</w:t>
            </w:r>
          </w:p>
        </w:tc>
        <w:tc>
          <w:tcPr>
            <w:tcW w:w="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248/400</w:t>
            </w:r>
          </w:p>
        </w:tc>
        <w:tc>
          <w:tcPr>
            <w:tcW w:w="4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right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color w:val="auto"/>
              </w:rPr>
              <w:t>452/0</w:t>
            </w:r>
          </w:p>
        </w:tc>
        <w:tc>
          <w:tcPr>
            <w:tcW w:w="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1,243-1,307</w:t>
            </w:r>
          </w:p>
        </w:tc>
        <w:tc>
          <w:tcPr>
            <w:tcW w:w="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ITC</w:t>
            </w:r>
          </w:p>
        </w:tc>
        <w:tc>
          <w:tcPr>
            <w:tcW w:w="1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DC (10%) &amp; EC (10%)**</w:t>
            </w:r>
          </w:p>
        </w:tc>
        <w:tc>
          <w:tcPr>
            <w:tcW w:w="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624-656</w:t>
            </w:r>
          </w:p>
        </w:tc>
        <w:tc>
          <w:tcPr>
            <w:tcW w:w="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619-656</w:t>
            </w:r>
          </w:p>
        </w:tc>
        <w:tc>
          <w:tcPr>
            <w:tcW w:w="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55</w:t>
            </w:r>
          </w:p>
        </w:tc>
        <w:tc>
          <w:tcPr>
            <w:tcW w:w="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10%-16%</w:t>
            </w:r>
          </w:p>
        </w:tc>
        <w:tc>
          <w:tcPr>
            <w:tcW w:w="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55</w:t>
            </w:r>
          </w:p>
        </w:tc>
        <w:tc>
          <w:tcPr>
            <w:tcW w:w="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92-96</w:t>
            </w:r>
          </w:p>
        </w:tc>
        <w:tc>
          <w:tcPr>
            <w:tcW w:w="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71-74</w:t>
            </w:r>
          </w:p>
        </w:tc>
        <w:tc>
          <w:tcPr>
            <w:tcW w:w="620" w:type="dxa"/>
            <w:vAlign w:val="bottom"/>
            <w:tcBorders>
              <w:top w:val="single" w:sz="8" w:color="auto"/>
              <w:bottom w:val="single" w:sz="8" w:color="auto"/>
              <w:right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color w:val="auto"/>
                <w:w w:val="99"/>
              </w:rPr>
              <w:t>100%</w:t>
            </w:r>
          </w:p>
        </w:tc>
        <w:tc>
          <w:tcPr>
            <w:tcW w:w="0" w:type="dxa"/>
            <w:vAlign w:val="bottom"/>
          </w:tcPr>
          <w:p>
            <w:pPr>
              <w:spacing w:after="0"/>
              <w:rPr>
                <w:sz w:val="1"/>
                <w:szCs w:val="1"/>
                <w:color w:val="auto"/>
              </w:rPr>
            </w:pPr>
          </w:p>
        </w:tc>
      </w:tr>
      <w:tr>
        <w:trPr>
          <w:trHeight w:val="151"/>
        </w:trPr>
        <w:tc>
          <w:tcPr>
            <w:tcW w:w="2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Europe</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0/361</w:t>
            </w:r>
          </w:p>
        </w:tc>
        <w:tc>
          <w:tcPr>
            <w:tcW w:w="4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color w:val="auto"/>
              </w:rPr>
              <w:t>0/208</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4"/>
              </w:rPr>
              <w:t>114-120</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114-120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80%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26-29</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19-22</w:t>
            </w:r>
          </w:p>
        </w:tc>
        <w:tc>
          <w:tcPr>
            <w:tcW w:w="620" w:type="dxa"/>
            <w:vAlign w:val="bottom"/>
            <w:tcBorders>
              <w:bottom w:val="single" w:sz="8" w:color="auto"/>
              <w:right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color w:val="auto"/>
                <w:w w:val="99"/>
              </w:rPr>
              <w:t>89%</w:t>
            </w:r>
          </w:p>
        </w:tc>
        <w:tc>
          <w:tcPr>
            <w:tcW w:w="0" w:type="dxa"/>
            <w:vAlign w:val="bottom"/>
          </w:tcPr>
          <w:p>
            <w:pPr>
              <w:spacing w:after="0"/>
              <w:rPr>
                <w:sz w:val="1"/>
                <w:szCs w:val="1"/>
                <w:color w:val="auto"/>
              </w:rPr>
            </w:pPr>
          </w:p>
        </w:tc>
      </w:tr>
      <w:tr>
        <w:trPr>
          <w:trHeight w:val="151"/>
        </w:trPr>
        <w:tc>
          <w:tcPr>
            <w:tcW w:w="2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MENA</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3/280</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0/30</w:t>
            </w:r>
          </w:p>
        </w:tc>
        <w:tc>
          <w:tcPr>
            <w:tcW w:w="4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38/0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144-151</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144-151</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20%-30%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17-18</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12-13</w:t>
            </w:r>
          </w:p>
        </w:tc>
        <w:tc>
          <w:tcPr>
            <w:tcW w:w="620" w:type="dxa"/>
            <w:vAlign w:val="bottom"/>
            <w:tcBorders>
              <w:bottom w:val="single" w:sz="8" w:color="auto"/>
              <w:right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color w:val="auto"/>
                <w:w w:val="99"/>
              </w:rPr>
              <w:t>81%</w:t>
            </w:r>
          </w:p>
        </w:tc>
        <w:tc>
          <w:tcPr>
            <w:tcW w:w="0" w:type="dxa"/>
            <w:vAlign w:val="bottom"/>
          </w:tcPr>
          <w:p>
            <w:pPr>
              <w:spacing w:after="0"/>
              <w:rPr>
                <w:sz w:val="1"/>
                <w:szCs w:val="1"/>
                <w:color w:val="auto"/>
              </w:rPr>
            </w:pPr>
          </w:p>
        </w:tc>
      </w:tr>
      <w:tr>
        <w:trPr>
          <w:trHeight w:val="151"/>
        </w:trPr>
        <w:tc>
          <w:tcPr>
            <w:tcW w:w="2020" w:type="dxa"/>
            <w:vAlign w:val="bottom"/>
            <w:tcBorders>
              <w:left w:val="single" w:sz="8" w:color="auto"/>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Total Consolidated Projects</w:t>
            </w:r>
          </w:p>
        </w:tc>
        <w:tc>
          <w:tcPr>
            <w:tcW w:w="50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2"/>
                <w:szCs w:val="12"/>
                <w:b w:val="1"/>
                <w:bCs w:val="1"/>
                <w:color w:val="auto"/>
              </w:rPr>
              <w:t>3/20</w:t>
            </w:r>
          </w:p>
        </w:tc>
        <w:tc>
          <w:tcPr>
            <w:tcW w:w="50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2"/>
                <w:szCs w:val="12"/>
                <w:b w:val="1"/>
                <w:bCs w:val="1"/>
                <w:color w:val="auto"/>
              </w:rPr>
              <w:t>248/791</w:t>
            </w:r>
          </w:p>
        </w:tc>
        <w:tc>
          <w:tcPr>
            <w:tcW w:w="40" w:type="dxa"/>
            <w:vAlign w:val="bottom"/>
            <w:tcBorders>
              <w:bottom w:val="single" w:sz="8" w:color="auto"/>
            </w:tcBorders>
            <w:shd w:val="clear" w:color="auto" w:fill="92BAEA"/>
          </w:tcPr>
          <w:p>
            <w:pPr>
              <w:spacing w:after="0"/>
              <w:rPr>
                <w:sz w:val="13"/>
                <w:szCs w:val="13"/>
                <w:color w:val="auto"/>
              </w:rPr>
            </w:pPr>
          </w:p>
        </w:tc>
        <w:tc>
          <w:tcPr>
            <w:tcW w:w="480" w:type="dxa"/>
            <w:vAlign w:val="bottom"/>
            <w:tcBorders>
              <w:bottom w:val="single" w:sz="8" w:color="auto"/>
              <w:right w:val="single" w:sz="8" w:color="auto"/>
            </w:tcBorders>
            <w:shd w:val="clear" w:color="auto" w:fill="92BAEA"/>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490/208</w:t>
            </w:r>
          </w:p>
        </w:tc>
        <w:tc>
          <w:tcPr>
            <w:tcW w:w="62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1,501-1,578</w:t>
            </w:r>
          </w:p>
        </w:tc>
        <w:tc>
          <w:tcPr>
            <w:tcW w:w="580" w:type="dxa"/>
            <w:vAlign w:val="bottom"/>
            <w:tcBorders>
              <w:bottom w:val="single" w:sz="8" w:color="auto"/>
              <w:right w:val="single" w:sz="8" w:color="auto"/>
            </w:tcBorders>
            <w:shd w:val="clear" w:color="auto" w:fill="92BAEA"/>
          </w:tcPr>
          <w:p>
            <w:pPr>
              <w:spacing w:after="0"/>
              <w:rPr>
                <w:sz w:val="13"/>
                <w:szCs w:val="13"/>
                <w:color w:val="auto"/>
              </w:rPr>
            </w:pPr>
          </w:p>
        </w:tc>
        <w:tc>
          <w:tcPr>
            <w:tcW w:w="1280" w:type="dxa"/>
            <w:vAlign w:val="bottom"/>
            <w:tcBorders>
              <w:bottom w:val="single" w:sz="8" w:color="auto"/>
              <w:right w:val="single" w:sz="8" w:color="auto"/>
            </w:tcBorders>
            <w:shd w:val="clear" w:color="auto" w:fill="92BAEA"/>
          </w:tcPr>
          <w:p>
            <w:pPr>
              <w:spacing w:after="0"/>
              <w:rPr>
                <w:sz w:val="13"/>
                <w:szCs w:val="13"/>
                <w:color w:val="auto"/>
              </w:rPr>
            </w:pPr>
          </w:p>
        </w:tc>
        <w:tc>
          <w:tcPr>
            <w:tcW w:w="68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624-656</w:t>
            </w:r>
          </w:p>
        </w:tc>
        <w:tc>
          <w:tcPr>
            <w:tcW w:w="62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877-922</w:t>
            </w:r>
          </w:p>
        </w:tc>
        <w:tc>
          <w:tcPr>
            <w:tcW w:w="62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66</w:t>
            </w:r>
          </w:p>
        </w:tc>
        <w:tc>
          <w:tcPr>
            <w:tcW w:w="600" w:type="dxa"/>
            <w:vAlign w:val="bottom"/>
            <w:tcBorders>
              <w:bottom w:val="single" w:sz="8" w:color="auto"/>
              <w:right w:val="single" w:sz="8" w:color="auto"/>
            </w:tcBorders>
            <w:shd w:val="clear" w:color="auto" w:fill="92BAEA"/>
          </w:tcPr>
          <w:p>
            <w:pPr>
              <w:spacing w:after="0"/>
              <w:rPr>
                <w:sz w:val="13"/>
                <w:szCs w:val="13"/>
                <w:color w:val="auto"/>
              </w:rPr>
            </w:pPr>
          </w:p>
        </w:tc>
        <w:tc>
          <w:tcPr>
            <w:tcW w:w="620" w:type="dxa"/>
            <w:vAlign w:val="bottom"/>
            <w:tcBorders>
              <w:bottom w:val="single" w:sz="8" w:color="auto"/>
              <w:right w:val="single" w:sz="8" w:color="auto"/>
            </w:tcBorders>
            <w:shd w:val="clear" w:color="auto" w:fill="92BAEA"/>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66</w:t>
            </w:r>
          </w:p>
        </w:tc>
        <w:tc>
          <w:tcPr>
            <w:tcW w:w="680" w:type="dxa"/>
            <w:vAlign w:val="bottom"/>
            <w:tcBorders>
              <w:bottom w:val="single" w:sz="8" w:color="auto"/>
              <w:right w:val="single" w:sz="8" w:color="auto"/>
            </w:tcBorders>
            <w:shd w:val="clear" w:color="auto" w:fill="92BAEA"/>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135-143</w:t>
            </w:r>
          </w:p>
        </w:tc>
        <w:tc>
          <w:tcPr>
            <w:tcW w:w="860" w:type="dxa"/>
            <w:vAlign w:val="bottom"/>
            <w:tcBorders>
              <w:bottom w:val="single" w:sz="8" w:color="auto"/>
              <w:right w:val="single" w:sz="8" w:color="auto"/>
            </w:tcBorders>
            <w:shd w:val="clear" w:color="auto" w:fill="92BAEA"/>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102-109</w:t>
            </w:r>
          </w:p>
        </w:tc>
        <w:tc>
          <w:tcPr>
            <w:tcW w:w="620" w:type="dxa"/>
            <w:vAlign w:val="bottom"/>
            <w:tcBorders>
              <w:bottom w:val="single" w:sz="8" w:color="auto"/>
              <w:right w:val="single" w:sz="8" w:color="auto"/>
            </w:tcBorders>
            <w:shd w:val="clear" w:color="auto" w:fill="92BAEA"/>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Unconsolidated Projects at share*******</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8/42</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0/170</w:t>
            </w: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color w:val="auto"/>
                <w:w w:val="98"/>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45-46</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45-46</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15%-25%</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6-7</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4-5</w:t>
            </w:r>
          </w:p>
        </w:tc>
        <w:tc>
          <w:tcPr>
            <w:tcW w:w="620" w:type="dxa"/>
            <w:vAlign w:val="bottom"/>
            <w:tcBorders>
              <w:bottom w:val="single" w:sz="8" w:color="auto"/>
              <w:right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color w:val="auto"/>
                <w:w w:val="99"/>
              </w:rPr>
              <w:t>54%</w:t>
            </w:r>
          </w:p>
        </w:tc>
        <w:tc>
          <w:tcPr>
            <w:tcW w:w="0" w:type="dxa"/>
            <w:vAlign w:val="bottom"/>
          </w:tcPr>
          <w:p>
            <w:pPr>
              <w:spacing w:after="0"/>
              <w:rPr>
                <w:sz w:val="1"/>
                <w:szCs w:val="1"/>
                <w:color w:val="auto"/>
              </w:rPr>
            </w:pPr>
          </w:p>
        </w:tc>
      </w:tr>
      <w:tr>
        <w:trPr>
          <w:trHeight w:val="131"/>
        </w:trPr>
        <w:tc>
          <w:tcPr>
            <w:tcW w:w="2020" w:type="dxa"/>
            <w:vAlign w:val="bottom"/>
            <w:tcBorders>
              <w:top w:val="single" w:sz="8" w:color="92BAEA"/>
              <w:left w:val="single" w:sz="8" w:color="auto"/>
              <w:bottom w:val="single" w:sz="8" w:color="auto"/>
              <w:right w:val="single" w:sz="8" w:color="auto"/>
            </w:tcBorders>
            <w:shd w:val="clear" w:color="auto" w:fill="92BAEA"/>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8"/>
              </w:rPr>
              <w:t>Total Pre-Construction</w:t>
            </w:r>
          </w:p>
        </w:tc>
        <w:tc>
          <w:tcPr>
            <w:tcW w:w="1520" w:type="dxa"/>
            <w:vAlign w:val="bottom"/>
            <w:tcBorders>
              <w:top w:val="single" w:sz="8" w:color="92BAEA"/>
              <w:bottom w:val="single" w:sz="8" w:color="auto"/>
              <w:right w:val="single" w:sz="8" w:color="auto"/>
            </w:tcBorders>
            <w:gridSpan w:val="4"/>
            <w:shd w:val="clear" w:color="auto" w:fill="92BAEA"/>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8"/>
              </w:rPr>
              <w:t>2,056MW +5,365MWh</w:t>
            </w:r>
          </w:p>
        </w:tc>
        <w:tc>
          <w:tcPr>
            <w:tcW w:w="620" w:type="dxa"/>
            <w:vAlign w:val="bottom"/>
            <w:tcBorders>
              <w:top w:val="single" w:sz="8" w:color="92BAEA"/>
              <w:bottom w:val="single" w:sz="8" w:color="auto"/>
              <w:right w:val="single" w:sz="8" w:color="auto"/>
            </w:tcBorders>
            <w:shd w:val="clear" w:color="auto" w:fill="92BAEA"/>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9"/>
              </w:rPr>
              <w:t>3,886-4,085</w:t>
            </w:r>
          </w:p>
        </w:tc>
        <w:tc>
          <w:tcPr>
            <w:tcW w:w="580" w:type="dxa"/>
            <w:vAlign w:val="bottom"/>
            <w:tcBorders>
              <w:top w:val="single" w:sz="8" w:color="92BAEA"/>
              <w:bottom w:val="single" w:sz="8" w:color="auto"/>
              <w:right w:val="single" w:sz="8" w:color="auto"/>
            </w:tcBorders>
            <w:shd w:val="clear" w:color="auto" w:fill="92BAEA"/>
          </w:tcPr>
          <w:p>
            <w:pPr>
              <w:spacing w:after="0"/>
              <w:rPr>
                <w:sz w:val="11"/>
                <w:szCs w:val="11"/>
                <w:color w:val="auto"/>
              </w:rPr>
            </w:pPr>
          </w:p>
        </w:tc>
        <w:tc>
          <w:tcPr>
            <w:tcW w:w="1280" w:type="dxa"/>
            <w:vAlign w:val="bottom"/>
            <w:tcBorders>
              <w:top w:val="single" w:sz="8" w:color="92BAEA"/>
              <w:bottom w:val="single" w:sz="8" w:color="auto"/>
              <w:right w:val="single" w:sz="8" w:color="auto"/>
            </w:tcBorders>
            <w:shd w:val="clear" w:color="auto" w:fill="92BAEA"/>
          </w:tcPr>
          <w:p>
            <w:pPr>
              <w:spacing w:after="0"/>
              <w:rPr>
                <w:sz w:val="11"/>
                <w:szCs w:val="11"/>
                <w:color w:val="auto"/>
              </w:rPr>
            </w:pPr>
          </w:p>
        </w:tc>
        <w:tc>
          <w:tcPr>
            <w:tcW w:w="680" w:type="dxa"/>
            <w:vAlign w:val="bottom"/>
            <w:tcBorders>
              <w:top w:val="single" w:sz="8" w:color="92BAEA"/>
              <w:bottom w:val="single" w:sz="8" w:color="auto"/>
              <w:right w:val="single" w:sz="8" w:color="auto"/>
            </w:tcBorders>
            <w:shd w:val="clear" w:color="auto" w:fill="92BAEA"/>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9"/>
              </w:rPr>
              <w:t>1,446-1,520</w:t>
            </w:r>
          </w:p>
        </w:tc>
        <w:tc>
          <w:tcPr>
            <w:tcW w:w="620" w:type="dxa"/>
            <w:vAlign w:val="bottom"/>
            <w:tcBorders>
              <w:top w:val="single" w:sz="8" w:color="92BAEA"/>
              <w:bottom w:val="single" w:sz="8" w:color="auto"/>
              <w:right w:val="single" w:sz="8" w:color="auto"/>
            </w:tcBorders>
            <w:shd w:val="clear" w:color="auto" w:fill="92BAEA"/>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9"/>
              </w:rPr>
              <w:t>2,440-2,565</w:t>
            </w:r>
          </w:p>
        </w:tc>
        <w:tc>
          <w:tcPr>
            <w:tcW w:w="620" w:type="dxa"/>
            <w:vAlign w:val="bottom"/>
            <w:tcBorders>
              <w:top w:val="single" w:sz="8" w:color="92BAEA"/>
              <w:bottom w:val="single" w:sz="8" w:color="auto"/>
              <w:right w:val="single" w:sz="8" w:color="auto"/>
            </w:tcBorders>
            <w:shd w:val="clear" w:color="auto" w:fill="92BAEA"/>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9"/>
              </w:rPr>
              <w:t>176</w:t>
            </w:r>
          </w:p>
        </w:tc>
        <w:tc>
          <w:tcPr>
            <w:tcW w:w="600" w:type="dxa"/>
            <w:vAlign w:val="bottom"/>
            <w:tcBorders>
              <w:top w:val="single" w:sz="8" w:color="92BAEA"/>
              <w:bottom w:val="single" w:sz="8" w:color="auto"/>
              <w:right w:val="single" w:sz="8" w:color="auto"/>
            </w:tcBorders>
            <w:shd w:val="clear" w:color="auto" w:fill="92BAEA"/>
          </w:tcPr>
          <w:p>
            <w:pPr>
              <w:spacing w:after="0"/>
              <w:rPr>
                <w:sz w:val="11"/>
                <w:szCs w:val="11"/>
                <w:color w:val="auto"/>
              </w:rPr>
            </w:pPr>
          </w:p>
        </w:tc>
        <w:tc>
          <w:tcPr>
            <w:tcW w:w="620" w:type="dxa"/>
            <w:vAlign w:val="bottom"/>
            <w:tcBorders>
              <w:top w:val="single" w:sz="8" w:color="92BAEA"/>
              <w:bottom w:val="single" w:sz="8" w:color="auto"/>
              <w:right w:val="single" w:sz="8" w:color="auto"/>
            </w:tcBorders>
            <w:shd w:val="clear" w:color="auto" w:fill="92BAEA"/>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9"/>
              </w:rPr>
              <w:t>176</w:t>
            </w:r>
          </w:p>
        </w:tc>
        <w:tc>
          <w:tcPr>
            <w:tcW w:w="680" w:type="dxa"/>
            <w:vAlign w:val="bottom"/>
            <w:tcBorders>
              <w:top w:val="single" w:sz="8" w:color="92BAEA"/>
              <w:bottom w:val="single" w:sz="8" w:color="auto"/>
              <w:right w:val="single" w:sz="8" w:color="auto"/>
            </w:tcBorders>
            <w:shd w:val="clear" w:color="auto" w:fill="92BAEA"/>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9"/>
              </w:rPr>
              <w:t>354-374</w:t>
            </w:r>
          </w:p>
        </w:tc>
        <w:tc>
          <w:tcPr>
            <w:tcW w:w="860" w:type="dxa"/>
            <w:vAlign w:val="bottom"/>
            <w:tcBorders>
              <w:top w:val="single" w:sz="8" w:color="92BAEA"/>
              <w:bottom w:val="single" w:sz="8" w:color="auto"/>
              <w:right w:val="single" w:sz="8" w:color="auto"/>
            </w:tcBorders>
            <w:shd w:val="clear" w:color="auto" w:fill="92BAEA"/>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9"/>
              </w:rPr>
              <w:t>275-292</w:t>
            </w:r>
          </w:p>
        </w:tc>
        <w:tc>
          <w:tcPr>
            <w:tcW w:w="620" w:type="dxa"/>
            <w:vAlign w:val="bottom"/>
            <w:tcBorders>
              <w:top w:val="single" w:sz="8" w:color="auto"/>
              <w:bottom w:val="single" w:sz="8" w:color="auto"/>
              <w:right w:val="single" w:sz="8" w:color="auto"/>
            </w:tcBorders>
            <w:shd w:val="clear" w:color="auto" w:fill="92BAEA"/>
          </w:tcPr>
          <w:p>
            <w:pPr>
              <w:spacing w:after="0"/>
              <w:rPr>
                <w:sz w:val="11"/>
                <w:szCs w:val="11"/>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8" w:right="720" w:hanging="8"/>
        <w:spacing w:after="0" w:line="524" w:lineRule="auto"/>
        <w:tabs>
          <w:tab w:leader="none" w:pos="98"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legal ownership share for all U.S. projects is 90%, but Enlight invests 100% of the equity in the project and entitled to 100% of the project distributions until full repayment of Enlight's capital plus a preferred return ** Rustic hills 1+2 - DC(10%)+EC (10%); Coggon - DC (10%); Gemston - DC (10%); Crimson - DC (10% BESS only) + EC (10%)</w:t>
      </w:r>
    </w:p>
    <w:p>
      <w:pPr>
        <w:ind w:left="8" w:right="60"/>
        <w:spacing w:after="0" w:line="272" w:lineRule="auto"/>
        <w:rPr>
          <w:sz w:val="20"/>
          <w:szCs w:val="20"/>
          <w:color w:val="auto"/>
        </w:rPr>
      </w:pPr>
      <w:r>
        <w:rPr>
          <w:rFonts w:ascii="Times New Roman" w:cs="Times New Roman" w:eastAsia="Times New Roman" w:hAnsi="Times New Roman"/>
          <w:sz w:val="12"/>
          <w:szCs w:val="12"/>
          <w:color w:val="auto"/>
        </w:rPr>
        <w:t>***Value of tax benefits under the IRA: The PTC value is estimated based on the project’s expected annual production and a yearly CPI indexation of 2%, discounted by 8% to COD. In assessing the value of the ITC, a step-up adjustment was made to reflect the full value of the tax credits, thus lowering net construction costs and enhancing the valuation and return of the project. The actual value attributed to tax benefits in a tax equity transactions may differ from the value presented, subject to the structure of the transaction and prevailing market conditions.</w:t>
      </w:r>
    </w:p>
    <w:p>
      <w:pPr>
        <w:spacing w:after="0" w:line="125" w:lineRule="exact"/>
        <w:rPr>
          <w:sz w:val="20"/>
          <w:szCs w:val="20"/>
          <w:color w:val="auto"/>
        </w:rPr>
      </w:pPr>
    </w:p>
    <w:p>
      <w:pPr>
        <w:ind w:left="8" w:right="80" w:hanging="8"/>
        <w:spacing w:after="0" w:line="295" w:lineRule="auto"/>
        <w:tabs>
          <w:tab w:leader="none" w:pos="278"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EBITDA is a non-IFRS financial measure. This figure represents consolidated EBITDA for the project and excludes the share of project distributions to tax equity partners, as well as ITC and PTC proceeds. These components of the tax equity transaction may differ from project to project, are subject to market conditions and commercial terms agreed upon reaching financial close</w:t>
      </w:r>
    </w:p>
    <w:p>
      <w:pPr>
        <w:spacing w:after="0" w:line="111" w:lineRule="exact"/>
        <w:rPr>
          <w:sz w:val="20"/>
          <w:szCs w:val="20"/>
          <w:color w:val="auto"/>
        </w:rPr>
      </w:pPr>
    </w:p>
    <w:p>
      <w:pPr>
        <w:ind w:left="8" w:right="400"/>
        <w:spacing w:after="0" w:line="295" w:lineRule="auto"/>
        <w:rPr>
          <w:sz w:val="20"/>
          <w:szCs w:val="20"/>
          <w:color w:val="auto"/>
        </w:rPr>
      </w:pPr>
      <w:r>
        <w:rPr>
          <w:rFonts w:ascii="Times New Roman" w:cs="Times New Roman" w:eastAsia="Times New Roman" w:hAnsi="Times New Roman"/>
          <w:sz w:val="12"/>
          <w:szCs w:val="12"/>
          <w:color w:val="auto"/>
        </w:rPr>
        <w:t>*****The Energy Community (EC) Adder provides extra credits for renewable energy projects in areas impacted by fossil fuel reliance or economic transition. The Domestic Content (DC) Adder rewards projects using U.S.-manufactured components, promoting local job creation and supply chain growth</w:t>
      </w:r>
    </w:p>
    <w:p>
      <w:pPr>
        <w:spacing w:after="0" w:line="111" w:lineRule="exact"/>
        <w:rPr>
          <w:sz w:val="20"/>
          <w:szCs w:val="20"/>
          <w:color w:val="auto"/>
        </w:rPr>
      </w:pPr>
    </w:p>
    <w:p>
      <w:pPr>
        <w:ind w:left="8" w:right="400"/>
        <w:spacing w:after="0" w:line="295" w:lineRule="auto"/>
        <w:rPr>
          <w:sz w:val="20"/>
          <w:szCs w:val="20"/>
          <w:color w:val="auto"/>
        </w:rPr>
      </w:pPr>
      <w:r>
        <w:rPr>
          <w:rFonts w:ascii="Times New Roman" w:cs="Times New Roman" w:eastAsia="Times New Roman" w:hAnsi="Times New Roman"/>
          <w:sz w:val="12"/>
          <w:szCs w:val="12"/>
          <w:color w:val="auto"/>
        </w:rPr>
        <w:t>******Two high voltage projects with total capacity of 1,290MWh. Estimated revenue for the first 5 years is $9-10m million per year. From year 6, the projects will move to a deregulated market, with revenue expected to be $50 million per year</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All numbers, beside equity invested, reflects Enlight share only</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The required equity during construction is estimated at 10% and is expected to decrease to 0% at COD</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Revenue and EBITDA for the first year of U.S. projects as presented above do not include income from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717804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0" w:right="299" w:bottom="1440" w:gutter="0" w:footer="0" w:header="0"/>
        </w:sectPr>
      </w:pPr>
    </w:p>
    <w:bookmarkStart w:id="30" w:name="page31"/>
    <w:bookmarkEnd w:id="30"/>
    <w:p>
      <w:pPr>
        <w:ind w:left="600" w:hanging="392"/>
        <w:spacing w:after="0"/>
        <w:tabs>
          <w:tab w:leader="none" w:pos="600" w:val="left"/>
        </w:tabs>
        <w:numPr>
          <w:ilvl w:val="0"/>
          <w:numId w:val="3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Additional information on tax equity investments</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1420" w:type="dxa"/>
            <w:vAlign w:val="bottom"/>
            <w:tcBorders>
              <w:top w:val="single" w:sz="8" w:color="auto"/>
              <w:left w:val="single" w:sz="8" w:color="auto"/>
              <w:bottom w:val="single" w:sz="8" w:color="auto"/>
              <w:right w:val="single" w:sz="8" w:color="auto"/>
            </w:tcBorders>
            <w:shd w:val="clear" w:color="auto" w:fill="0070C0"/>
          </w:tcPr>
          <w:p>
            <w:pPr>
              <w:spacing w:after="0"/>
              <w:rPr>
                <w:sz w:val="14"/>
                <w:szCs w:val="14"/>
                <w:color w:val="auto"/>
              </w:rPr>
            </w:pPr>
          </w:p>
        </w:tc>
        <w:tc>
          <w:tcPr>
            <w:tcW w:w="860" w:type="dxa"/>
            <w:vAlign w:val="bottom"/>
            <w:tcBorders>
              <w:top w:val="single" w:sz="8" w:color="auto"/>
              <w:bottom w:val="single" w:sz="8" w:color="auto"/>
              <w:right w:val="single" w:sz="8" w:color="auto"/>
            </w:tcBorders>
            <w:shd w:val="clear" w:color="auto" w:fill="0070C0"/>
          </w:tcPr>
          <w:p>
            <w:pPr>
              <w:spacing w:after="0"/>
              <w:rPr>
                <w:sz w:val="14"/>
                <w:szCs w:val="14"/>
                <w:color w:val="auto"/>
              </w:rPr>
            </w:pPr>
          </w:p>
        </w:tc>
        <w:tc>
          <w:tcPr>
            <w:tcW w:w="2820" w:type="dxa"/>
            <w:vAlign w:val="bottom"/>
            <w:tcBorders>
              <w:top w:val="single" w:sz="8" w:color="auto"/>
              <w:bottom w:val="single" w:sz="8" w:color="auto"/>
              <w:right w:val="single" w:sz="8" w:color="auto"/>
            </w:tcBorders>
            <w:gridSpan w:val="3"/>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8"/>
              </w:rPr>
              <w:t>Tax equity investment</w:t>
            </w:r>
          </w:p>
        </w:tc>
        <w:tc>
          <w:tcPr>
            <w:tcW w:w="1000" w:type="dxa"/>
            <w:vAlign w:val="bottom"/>
            <w:tcBorders>
              <w:top w:val="single" w:sz="8" w:color="auto"/>
              <w:bottom w:val="single" w:sz="8" w:color="auto"/>
              <w:right w:val="single" w:sz="8" w:color="0070C0"/>
            </w:tcBorders>
            <w:shd w:val="clear" w:color="auto" w:fill="0070C0"/>
          </w:tcPr>
          <w:p>
            <w:pPr>
              <w:spacing w:after="0"/>
              <w:rPr>
                <w:sz w:val="14"/>
                <w:szCs w:val="14"/>
                <w:color w:val="auto"/>
              </w:rPr>
            </w:pPr>
          </w:p>
        </w:tc>
        <w:tc>
          <w:tcPr>
            <w:tcW w:w="5220" w:type="dxa"/>
            <w:vAlign w:val="bottom"/>
            <w:tcBorders>
              <w:top w:val="single" w:sz="8" w:color="auto"/>
              <w:bottom w:val="single" w:sz="8" w:color="auto"/>
              <w:right w:val="single" w:sz="8" w:color="auto"/>
            </w:tcBorders>
            <w:gridSpan w:val="3"/>
            <w:shd w:val="clear" w:color="auto" w:fill="0070C0"/>
          </w:tcPr>
          <w:p>
            <w:pPr>
              <w:ind w:left="180"/>
              <w:spacing w:after="0"/>
              <w:rPr>
                <w:sz w:val="20"/>
                <w:szCs w:val="20"/>
                <w:color w:val="auto"/>
              </w:rPr>
            </w:pPr>
            <w:r>
              <w:rPr>
                <w:rFonts w:ascii="Times New Roman" w:cs="Times New Roman" w:eastAsia="Times New Roman" w:hAnsi="Times New Roman"/>
                <w:sz w:val="12"/>
                <w:szCs w:val="12"/>
                <w:color w:val="FFFFFF"/>
              </w:rPr>
              <w:t>Tax equity partner's share of project tax credits, cash flows, and taxable income</w:t>
            </w:r>
          </w:p>
        </w:tc>
        <w:tc>
          <w:tcPr>
            <w:tcW w:w="0" w:type="dxa"/>
            <w:vAlign w:val="bottom"/>
          </w:tcPr>
          <w:p>
            <w:pPr>
              <w:spacing w:after="0"/>
              <w:rPr>
                <w:sz w:val="1"/>
                <w:szCs w:val="1"/>
                <w:color w:val="auto"/>
              </w:rPr>
            </w:pPr>
          </w:p>
        </w:tc>
      </w:tr>
      <w:tr>
        <w:trPr>
          <w:trHeight w:val="140"/>
        </w:trPr>
        <w:tc>
          <w:tcPr>
            <w:tcW w:w="1420" w:type="dxa"/>
            <w:vAlign w:val="bottom"/>
            <w:tcBorders>
              <w:left w:val="single" w:sz="8" w:color="auto"/>
              <w:right w:val="single" w:sz="8" w:color="auto"/>
            </w:tcBorders>
            <w:shd w:val="clear" w:color="auto" w:fill="0070C0"/>
          </w:tcPr>
          <w:p>
            <w:pPr>
              <w:spacing w:after="0"/>
              <w:rPr>
                <w:sz w:val="12"/>
                <w:szCs w:val="12"/>
                <w:color w:val="auto"/>
              </w:rPr>
            </w:pPr>
          </w:p>
        </w:tc>
        <w:tc>
          <w:tcPr>
            <w:tcW w:w="860" w:type="dxa"/>
            <w:vAlign w:val="bottom"/>
            <w:tcBorders>
              <w:right w:val="single" w:sz="8" w:color="auto"/>
            </w:tcBorders>
            <w:shd w:val="clear" w:color="auto" w:fill="0070C0"/>
          </w:tcPr>
          <w:p>
            <w:pPr>
              <w:spacing w:after="0"/>
              <w:rPr>
                <w:sz w:val="12"/>
                <w:szCs w:val="12"/>
                <w:color w:val="auto"/>
              </w:rPr>
            </w:pPr>
          </w:p>
        </w:tc>
        <w:tc>
          <w:tcPr>
            <w:tcW w:w="940" w:type="dxa"/>
            <w:vAlign w:val="bottom"/>
            <w:tcBorders>
              <w:right w:val="single" w:sz="8" w:color="auto"/>
            </w:tcBorders>
            <w:shd w:val="clear" w:color="auto" w:fill="0070C0"/>
          </w:tcPr>
          <w:p>
            <w:pPr>
              <w:spacing w:after="0"/>
              <w:rPr>
                <w:sz w:val="12"/>
                <w:szCs w:val="12"/>
                <w:color w:val="auto"/>
              </w:rPr>
            </w:pPr>
          </w:p>
        </w:tc>
        <w:tc>
          <w:tcPr>
            <w:tcW w:w="920" w:type="dxa"/>
            <w:vAlign w:val="bottom"/>
            <w:tcBorders>
              <w:right w:val="single" w:sz="8" w:color="auto"/>
            </w:tcBorders>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7"/>
              </w:rPr>
              <w:t>Tax credit</w:t>
            </w:r>
          </w:p>
        </w:tc>
        <w:tc>
          <w:tcPr>
            <w:tcW w:w="960" w:type="dxa"/>
            <w:vAlign w:val="bottom"/>
            <w:tcBorders>
              <w:right w:val="single" w:sz="8" w:color="auto"/>
            </w:tcBorders>
            <w:vMerge w:val="restart"/>
            <w:shd w:val="clear" w:color="auto" w:fill="0070C0"/>
          </w:tcPr>
          <w:p>
            <w:pPr>
              <w:ind w:left="20"/>
              <w:spacing w:after="0"/>
              <w:rPr>
                <w:sz w:val="20"/>
                <w:szCs w:val="20"/>
                <w:color w:val="auto"/>
              </w:rPr>
            </w:pPr>
            <w:r>
              <w:rPr>
                <w:rFonts w:ascii="Times New Roman" w:cs="Times New Roman" w:eastAsia="Times New Roman" w:hAnsi="Times New Roman"/>
                <w:sz w:val="12"/>
                <w:szCs w:val="12"/>
                <w:color w:val="FFFFFF"/>
              </w:rPr>
              <w:t>Share of ITC/PTC</w:t>
            </w:r>
          </w:p>
        </w:tc>
        <w:tc>
          <w:tcPr>
            <w:tcW w:w="100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9"/>
              </w:rPr>
              <w:t>Share of taxable</w:t>
            </w:r>
          </w:p>
        </w:tc>
        <w:tc>
          <w:tcPr>
            <w:tcW w:w="124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9"/>
              </w:rPr>
              <w:t>Duration of initial period</w:t>
            </w:r>
          </w:p>
        </w:tc>
        <w:tc>
          <w:tcPr>
            <w:tcW w:w="1940" w:type="dxa"/>
            <w:vAlign w:val="bottom"/>
            <w:tcBorders>
              <w:right w:val="single" w:sz="8" w:color="auto"/>
            </w:tcBorders>
            <w:shd w:val="clear" w:color="auto" w:fill="0070C0"/>
          </w:tcPr>
          <w:p>
            <w:pPr>
              <w:spacing w:after="0"/>
              <w:rPr>
                <w:sz w:val="12"/>
                <w:szCs w:val="12"/>
                <w:color w:val="auto"/>
              </w:rPr>
            </w:pPr>
          </w:p>
        </w:tc>
        <w:tc>
          <w:tcPr>
            <w:tcW w:w="2040" w:type="dxa"/>
            <w:vAlign w:val="bottom"/>
            <w:tcBorders>
              <w:right w:val="single" w:sz="8" w:color="auto"/>
            </w:tcBorders>
            <w:shd w:val="clear" w:color="auto" w:fill="0070C0"/>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420" w:type="dxa"/>
            <w:vAlign w:val="bottom"/>
            <w:tcBorders>
              <w:left w:val="single" w:sz="8" w:color="auto"/>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9"/>
              </w:rPr>
              <w:t>($ millions)</w:t>
            </w:r>
          </w:p>
        </w:tc>
        <w:tc>
          <w:tcPr>
            <w:tcW w:w="86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8"/>
              </w:rPr>
              <w:t>Est. Total</w:t>
            </w:r>
          </w:p>
        </w:tc>
        <w:tc>
          <w:tcPr>
            <w:tcW w:w="94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rPr>
              <w:t>Upfront tax</w:t>
            </w:r>
          </w:p>
        </w:tc>
        <w:tc>
          <w:tcPr>
            <w:tcW w:w="920" w:type="dxa"/>
            <w:vAlign w:val="bottom"/>
            <w:tcBorders>
              <w:right w:val="single" w:sz="8" w:color="auto"/>
            </w:tcBorders>
            <w:shd w:val="clear" w:color="auto" w:fill="0070C0"/>
          </w:tcPr>
          <w:p>
            <w:pPr>
              <w:jc w:val="center"/>
              <w:spacing w:after="0" w:line="119" w:lineRule="exact"/>
              <w:rPr>
                <w:sz w:val="20"/>
                <w:szCs w:val="20"/>
                <w:color w:val="auto"/>
              </w:rPr>
            </w:pPr>
            <w:r>
              <w:rPr>
                <w:rFonts w:ascii="Times New Roman" w:cs="Times New Roman" w:eastAsia="Times New Roman" w:hAnsi="Times New Roman"/>
                <w:sz w:val="12"/>
                <w:szCs w:val="12"/>
                <w:color w:val="FFFFFF"/>
              </w:rPr>
              <w:t>proceeds during</w:t>
            </w:r>
          </w:p>
        </w:tc>
        <w:tc>
          <w:tcPr>
            <w:tcW w:w="960" w:type="dxa"/>
            <w:vAlign w:val="bottom"/>
            <w:tcBorders>
              <w:right w:val="single" w:sz="8" w:color="auto"/>
            </w:tcBorders>
            <w:vMerge w:val="continue"/>
            <w:shd w:val="clear" w:color="auto" w:fill="0070C0"/>
          </w:tcPr>
          <w:p>
            <w:pPr>
              <w:spacing w:after="0"/>
              <w:rPr>
                <w:sz w:val="10"/>
                <w:szCs w:val="10"/>
                <w:color w:val="auto"/>
              </w:rPr>
            </w:pPr>
          </w:p>
        </w:tc>
        <w:tc>
          <w:tcPr>
            <w:tcW w:w="1000" w:type="dxa"/>
            <w:vAlign w:val="bottom"/>
            <w:tcBorders>
              <w:right w:val="single" w:sz="8" w:color="auto"/>
            </w:tcBorders>
            <w:vMerge w:val="continue"/>
            <w:shd w:val="clear" w:color="auto" w:fill="0070C0"/>
          </w:tcPr>
          <w:p>
            <w:pPr>
              <w:spacing w:after="0"/>
              <w:rPr>
                <w:sz w:val="10"/>
                <w:szCs w:val="10"/>
                <w:color w:val="auto"/>
              </w:rPr>
            </w:pPr>
          </w:p>
        </w:tc>
        <w:tc>
          <w:tcPr>
            <w:tcW w:w="1240" w:type="dxa"/>
            <w:vAlign w:val="bottom"/>
            <w:tcBorders>
              <w:right w:val="single" w:sz="8" w:color="auto"/>
            </w:tcBorders>
            <w:vMerge w:val="continue"/>
            <w:shd w:val="clear" w:color="auto" w:fill="0070C0"/>
          </w:tcPr>
          <w:p>
            <w:pPr>
              <w:spacing w:after="0"/>
              <w:rPr>
                <w:sz w:val="10"/>
                <w:szCs w:val="10"/>
                <w:color w:val="auto"/>
              </w:rPr>
            </w:pPr>
          </w:p>
        </w:tc>
        <w:tc>
          <w:tcPr>
            <w:tcW w:w="194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9"/>
              </w:rPr>
              <w:t>Share in project cash flow initial</w:t>
            </w:r>
          </w:p>
        </w:tc>
        <w:tc>
          <w:tcPr>
            <w:tcW w:w="204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9"/>
              </w:rPr>
              <w:t>Duration of initial period for share in</w:t>
            </w:r>
          </w:p>
        </w:tc>
        <w:tc>
          <w:tcPr>
            <w:tcW w:w="0" w:type="dxa"/>
            <w:vAlign w:val="bottom"/>
          </w:tcPr>
          <w:p>
            <w:pPr>
              <w:spacing w:after="0"/>
              <w:rPr>
                <w:sz w:val="1"/>
                <w:szCs w:val="1"/>
                <w:color w:val="auto"/>
              </w:rPr>
            </w:pPr>
          </w:p>
        </w:tc>
      </w:tr>
      <w:tr>
        <w:trPr>
          <w:trHeight w:val="97"/>
        </w:trPr>
        <w:tc>
          <w:tcPr>
            <w:tcW w:w="1420" w:type="dxa"/>
            <w:vAlign w:val="bottom"/>
            <w:tcBorders>
              <w:left w:val="single" w:sz="8" w:color="auto"/>
              <w:right w:val="single" w:sz="8" w:color="auto"/>
            </w:tcBorders>
            <w:vMerge w:val="continue"/>
            <w:shd w:val="clear" w:color="auto" w:fill="0070C0"/>
          </w:tcPr>
          <w:p>
            <w:pPr>
              <w:spacing w:after="0"/>
              <w:rPr>
                <w:sz w:val="8"/>
                <w:szCs w:val="8"/>
                <w:color w:val="auto"/>
              </w:rPr>
            </w:pPr>
          </w:p>
        </w:tc>
        <w:tc>
          <w:tcPr>
            <w:tcW w:w="860" w:type="dxa"/>
            <w:vAlign w:val="bottom"/>
            <w:tcBorders>
              <w:right w:val="single" w:sz="8" w:color="auto"/>
            </w:tcBorders>
            <w:vMerge w:val="continue"/>
            <w:shd w:val="clear" w:color="auto" w:fill="0070C0"/>
          </w:tcPr>
          <w:p>
            <w:pPr>
              <w:spacing w:after="0"/>
              <w:rPr>
                <w:sz w:val="8"/>
                <w:szCs w:val="8"/>
                <w:color w:val="auto"/>
              </w:rPr>
            </w:pPr>
          </w:p>
        </w:tc>
        <w:tc>
          <w:tcPr>
            <w:tcW w:w="940" w:type="dxa"/>
            <w:vAlign w:val="bottom"/>
            <w:tcBorders>
              <w:right w:val="single" w:sz="8" w:color="auto"/>
            </w:tcBorders>
            <w:vMerge w:val="continue"/>
            <w:shd w:val="clear" w:color="auto" w:fill="0070C0"/>
          </w:tcPr>
          <w:p>
            <w:pPr>
              <w:spacing w:after="0"/>
              <w:rPr>
                <w:sz w:val="8"/>
                <w:szCs w:val="8"/>
                <w:color w:val="auto"/>
              </w:rPr>
            </w:pPr>
          </w:p>
        </w:tc>
        <w:tc>
          <w:tcPr>
            <w:tcW w:w="92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rPr>
              <w:t>the project's</w:t>
            </w:r>
          </w:p>
        </w:tc>
        <w:tc>
          <w:tcPr>
            <w:tcW w:w="960" w:type="dxa"/>
            <w:vAlign w:val="bottom"/>
            <w:tcBorders>
              <w:right w:val="single" w:sz="8" w:color="auto"/>
            </w:tcBorders>
            <w:shd w:val="clear" w:color="auto" w:fill="0070C0"/>
          </w:tcPr>
          <w:p>
            <w:pPr>
              <w:jc w:val="center"/>
              <w:spacing w:after="0" w:line="97" w:lineRule="exact"/>
              <w:rPr>
                <w:sz w:val="20"/>
                <w:szCs w:val="20"/>
                <w:color w:val="auto"/>
              </w:rPr>
            </w:pPr>
            <w:r>
              <w:rPr>
                <w:rFonts w:ascii="Times New Roman" w:cs="Times New Roman" w:eastAsia="Times New Roman" w:hAnsi="Times New Roman"/>
                <w:sz w:val="11"/>
                <w:szCs w:val="11"/>
                <w:color w:val="FFFFFF"/>
              </w:rPr>
              <w:t>tax credit allocated</w:t>
            </w:r>
          </w:p>
        </w:tc>
        <w:tc>
          <w:tcPr>
            <w:tcW w:w="100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9"/>
              </w:rPr>
              <w:t>income initial</w:t>
            </w:r>
          </w:p>
        </w:tc>
        <w:tc>
          <w:tcPr>
            <w:tcW w:w="124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rPr>
              <w:t>for share of taxable</w:t>
            </w:r>
          </w:p>
        </w:tc>
        <w:tc>
          <w:tcPr>
            <w:tcW w:w="1940" w:type="dxa"/>
            <w:vAlign w:val="bottom"/>
            <w:tcBorders>
              <w:right w:val="single" w:sz="8" w:color="auto"/>
            </w:tcBorders>
            <w:vMerge w:val="continue"/>
            <w:shd w:val="clear" w:color="auto" w:fill="0070C0"/>
          </w:tcPr>
          <w:p>
            <w:pPr>
              <w:spacing w:after="0"/>
              <w:rPr>
                <w:sz w:val="8"/>
                <w:szCs w:val="8"/>
                <w:color w:val="auto"/>
              </w:rPr>
            </w:pPr>
          </w:p>
        </w:tc>
        <w:tc>
          <w:tcPr>
            <w:tcW w:w="2040" w:type="dxa"/>
            <w:vAlign w:val="bottom"/>
            <w:tcBorders>
              <w:right w:val="single" w:sz="8" w:color="auto"/>
            </w:tcBorders>
            <w:vMerge w:val="continue"/>
            <w:shd w:val="clear" w:color="auto" w:fill="0070C0"/>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1420" w:type="dxa"/>
            <w:vAlign w:val="bottom"/>
            <w:tcBorders>
              <w:left w:val="single" w:sz="8" w:color="auto"/>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b w:val="1"/>
                <w:bCs w:val="1"/>
                <w:color w:val="FFFFFF"/>
                <w:w w:val="99"/>
              </w:rPr>
              <w:t>Project</w:t>
            </w:r>
            <w:r>
              <w:rPr>
                <w:rFonts w:ascii="Times New Roman" w:cs="Times New Roman" w:eastAsia="Times New Roman" w:hAnsi="Times New Roman"/>
                <w:sz w:val="12"/>
                <w:szCs w:val="12"/>
                <w:color w:val="FFFFFF"/>
                <w:w w:val="99"/>
              </w:rPr>
              <w:t>s*</w:t>
            </w:r>
          </w:p>
        </w:tc>
        <w:tc>
          <w:tcPr>
            <w:tcW w:w="86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8"/>
              </w:rPr>
              <w:t>Project Cost</w:t>
            </w:r>
          </w:p>
        </w:tc>
        <w:tc>
          <w:tcPr>
            <w:tcW w:w="94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rPr>
              <w:t>equity investment</w:t>
            </w:r>
          </w:p>
        </w:tc>
        <w:tc>
          <w:tcPr>
            <w:tcW w:w="920" w:type="dxa"/>
            <w:vAlign w:val="bottom"/>
            <w:tcBorders>
              <w:right w:val="single" w:sz="8" w:color="auto"/>
            </w:tcBorders>
            <w:vMerge w:val="continue"/>
            <w:shd w:val="clear" w:color="auto" w:fill="0070C0"/>
          </w:tcPr>
          <w:p>
            <w:pPr>
              <w:spacing w:after="0"/>
              <w:rPr>
                <w:sz w:val="6"/>
                <w:szCs w:val="6"/>
                <w:color w:val="auto"/>
              </w:rPr>
            </w:pPr>
          </w:p>
        </w:tc>
        <w:tc>
          <w:tcPr>
            <w:tcW w:w="96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9"/>
              </w:rPr>
              <w:t>to tax equity</w:t>
            </w:r>
          </w:p>
        </w:tc>
        <w:tc>
          <w:tcPr>
            <w:tcW w:w="1000" w:type="dxa"/>
            <w:vAlign w:val="bottom"/>
            <w:tcBorders>
              <w:right w:val="single" w:sz="8" w:color="auto"/>
            </w:tcBorders>
            <w:vMerge w:val="continue"/>
            <w:shd w:val="clear" w:color="auto" w:fill="0070C0"/>
          </w:tcPr>
          <w:p>
            <w:pPr>
              <w:spacing w:after="0"/>
              <w:rPr>
                <w:sz w:val="6"/>
                <w:szCs w:val="6"/>
                <w:color w:val="auto"/>
              </w:rPr>
            </w:pPr>
          </w:p>
        </w:tc>
        <w:tc>
          <w:tcPr>
            <w:tcW w:w="1240" w:type="dxa"/>
            <w:vAlign w:val="bottom"/>
            <w:tcBorders>
              <w:right w:val="single" w:sz="8" w:color="auto"/>
            </w:tcBorders>
            <w:vMerge w:val="continue"/>
            <w:shd w:val="clear" w:color="auto" w:fill="0070C0"/>
          </w:tcPr>
          <w:p>
            <w:pPr>
              <w:spacing w:after="0"/>
              <w:rPr>
                <w:sz w:val="6"/>
                <w:szCs w:val="6"/>
                <w:color w:val="auto"/>
              </w:rPr>
            </w:pPr>
          </w:p>
        </w:tc>
        <w:tc>
          <w:tcPr>
            <w:tcW w:w="1940" w:type="dxa"/>
            <w:vAlign w:val="bottom"/>
            <w:tcBorders>
              <w:right w:val="single" w:sz="8" w:color="auto"/>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9"/>
              </w:rPr>
              <w:t>period (second period)</w:t>
            </w:r>
          </w:p>
        </w:tc>
        <w:tc>
          <w:tcPr>
            <w:tcW w:w="2040" w:type="dxa"/>
            <w:vAlign w:val="bottom"/>
            <w:tcBorders>
              <w:right w:val="single" w:sz="8" w:color="auto"/>
            </w:tcBorders>
            <w:vMerge w:val="restart"/>
            <w:shd w:val="clear" w:color="auto" w:fill="0070C0"/>
          </w:tcPr>
          <w:p>
            <w:pPr>
              <w:jc w:val="center"/>
              <w:ind w:right="20"/>
              <w:spacing w:after="0"/>
              <w:rPr>
                <w:sz w:val="20"/>
                <w:szCs w:val="20"/>
                <w:color w:val="auto"/>
              </w:rPr>
            </w:pPr>
            <w:r>
              <w:rPr>
                <w:rFonts w:ascii="Times New Roman" w:cs="Times New Roman" w:eastAsia="Times New Roman" w:hAnsi="Times New Roman"/>
                <w:sz w:val="12"/>
                <w:szCs w:val="12"/>
                <w:color w:val="FFFFFF"/>
              </w:rPr>
              <w:t>project cash flow (years)</w:t>
            </w:r>
          </w:p>
        </w:tc>
        <w:tc>
          <w:tcPr>
            <w:tcW w:w="0" w:type="dxa"/>
            <w:vAlign w:val="bottom"/>
          </w:tcPr>
          <w:p>
            <w:pPr>
              <w:spacing w:after="0"/>
              <w:rPr>
                <w:sz w:val="1"/>
                <w:szCs w:val="1"/>
                <w:color w:val="auto"/>
              </w:rPr>
            </w:pPr>
          </w:p>
        </w:tc>
      </w:tr>
      <w:tr>
        <w:trPr>
          <w:trHeight w:val="128"/>
        </w:trPr>
        <w:tc>
          <w:tcPr>
            <w:tcW w:w="1420" w:type="dxa"/>
            <w:vAlign w:val="bottom"/>
            <w:tcBorders>
              <w:left w:val="single" w:sz="8" w:color="auto"/>
              <w:right w:val="single" w:sz="8" w:color="auto"/>
            </w:tcBorders>
            <w:vMerge w:val="continue"/>
            <w:shd w:val="clear" w:color="auto" w:fill="0070C0"/>
          </w:tcPr>
          <w:p>
            <w:pPr>
              <w:spacing w:after="0"/>
              <w:rPr>
                <w:sz w:val="11"/>
                <w:szCs w:val="11"/>
                <w:color w:val="auto"/>
              </w:rPr>
            </w:pPr>
          </w:p>
        </w:tc>
        <w:tc>
          <w:tcPr>
            <w:tcW w:w="860" w:type="dxa"/>
            <w:vAlign w:val="bottom"/>
            <w:tcBorders>
              <w:right w:val="single" w:sz="8" w:color="auto"/>
            </w:tcBorders>
            <w:vMerge w:val="continue"/>
            <w:shd w:val="clear" w:color="auto" w:fill="0070C0"/>
          </w:tcPr>
          <w:p>
            <w:pPr>
              <w:spacing w:after="0"/>
              <w:rPr>
                <w:sz w:val="11"/>
                <w:szCs w:val="11"/>
                <w:color w:val="auto"/>
              </w:rPr>
            </w:pPr>
          </w:p>
        </w:tc>
        <w:tc>
          <w:tcPr>
            <w:tcW w:w="940" w:type="dxa"/>
            <w:vAlign w:val="bottom"/>
            <w:tcBorders>
              <w:right w:val="single" w:sz="8" w:color="auto"/>
            </w:tcBorders>
            <w:vMerge w:val="continue"/>
            <w:shd w:val="clear" w:color="auto" w:fill="0070C0"/>
          </w:tcPr>
          <w:p>
            <w:pPr>
              <w:spacing w:after="0"/>
              <w:rPr>
                <w:sz w:val="11"/>
                <w:szCs w:val="11"/>
                <w:color w:val="auto"/>
              </w:rPr>
            </w:pPr>
          </w:p>
        </w:tc>
        <w:tc>
          <w:tcPr>
            <w:tcW w:w="920" w:type="dxa"/>
            <w:vAlign w:val="bottom"/>
            <w:tcBorders>
              <w:right w:val="single" w:sz="8" w:color="auto"/>
            </w:tcBorders>
            <w:shd w:val="clear" w:color="auto" w:fill="0070C0"/>
          </w:tcPr>
          <w:p>
            <w:pPr>
              <w:jc w:val="center"/>
              <w:spacing w:after="0" w:line="128" w:lineRule="exact"/>
              <w:rPr>
                <w:sz w:val="20"/>
                <w:szCs w:val="20"/>
                <w:color w:val="auto"/>
              </w:rPr>
            </w:pPr>
            <w:r>
              <w:rPr>
                <w:rFonts w:ascii="Times New Roman" w:cs="Times New Roman" w:eastAsia="Times New Roman" w:hAnsi="Times New Roman"/>
                <w:sz w:val="12"/>
                <w:szCs w:val="12"/>
                <w:color w:val="FFFFFF"/>
                <w:w w:val="99"/>
              </w:rPr>
              <w:t>operation ("pay-</w:t>
            </w:r>
          </w:p>
        </w:tc>
        <w:tc>
          <w:tcPr>
            <w:tcW w:w="960" w:type="dxa"/>
            <w:vAlign w:val="bottom"/>
            <w:tcBorders>
              <w:right w:val="single" w:sz="8" w:color="auto"/>
            </w:tcBorders>
            <w:vMerge w:val="continue"/>
            <w:shd w:val="clear" w:color="auto" w:fill="0070C0"/>
          </w:tcPr>
          <w:p>
            <w:pPr>
              <w:spacing w:after="0"/>
              <w:rPr>
                <w:sz w:val="11"/>
                <w:szCs w:val="11"/>
                <w:color w:val="auto"/>
              </w:rPr>
            </w:pPr>
          </w:p>
        </w:tc>
        <w:tc>
          <w:tcPr>
            <w:tcW w:w="1000" w:type="dxa"/>
            <w:vAlign w:val="bottom"/>
            <w:tcBorders>
              <w:right w:val="single" w:sz="8" w:color="auto"/>
            </w:tcBorders>
            <w:shd w:val="clear" w:color="auto" w:fill="0070C0"/>
          </w:tcPr>
          <w:p>
            <w:pPr>
              <w:jc w:val="center"/>
              <w:spacing w:after="0" w:line="128" w:lineRule="exact"/>
              <w:rPr>
                <w:sz w:val="20"/>
                <w:szCs w:val="20"/>
                <w:color w:val="auto"/>
              </w:rPr>
            </w:pPr>
            <w:r>
              <w:rPr>
                <w:rFonts w:ascii="Times New Roman" w:cs="Times New Roman" w:eastAsia="Times New Roman" w:hAnsi="Times New Roman"/>
                <w:sz w:val="12"/>
                <w:szCs w:val="12"/>
                <w:color w:val="FFFFFF"/>
                <w:w w:val="97"/>
              </w:rPr>
              <w:t>period</w:t>
            </w:r>
          </w:p>
        </w:tc>
        <w:tc>
          <w:tcPr>
            <w:tcW w:w="1240" w:type="dxa"/>
            <w:vAlign w:val="bottom"/>
            <w:tcBorders>
              <w:right w:val="single" w:sz="8" w:color="auto"/>
            </w:tcBorders>
            <w:shd w:val="clear" w:color="auto" w:fill="0070C0"/>
          </w:tcPr>
          <w:p>
            <w:pPr>
              <w:jc w:val="center"/>
              <w:spacing w:after="0" w:line="128" w:lineRule="exact"/>
              <w:rPr>
                <w:sz w:val="20"/>
                <w:szCs w:val="20"/>
                <w:color w:val="auto"/>
              </w:rPr>
            </w:pPr>
            <w:r>
              <w:rPr>
                <w:rFonts w:ascii="Times New Roman" w:cs="Times New Roman" w:eastAsia="Times New Roman" w:hAnsi="Times New Roman"/>
                <w:sz w:val="12"/>
                <w:szCs w:val="12"/>
                <w:color w:val="FFFFFF"/>
              </w:rPr>
              <w:t>income (years)</w:t>
            </w:r>
          </w:p>
        </w:tc>
        <w:tc>
          <w:tcPr>
            <w:tcW w:w="1940" w:type="dxa"/>
            <w:vAlign w:val="bottom"/>
            <w:tcBorders>
              <w:right w:val="single" w:sz="8" w:color="auto"/>
            </w:tcBorders>
            <w:vMerge w:val="continue"/>
            <w:shd w:val="clear" w:color="auto" w:fill="0070C0"/>
          </w:tcPr>
          <w:p>
            <w:pPr>
              <w:spacing w:after="0"/>
              <w:rPr>
                <w:sz w:val="11"/>
                <w:szCs w:val="11"/>
                <w:color w:val="auto"/>
              </w:rPr>
            </w:pPr>
          </w:p>
        </w:tc>
        <w:tc>
          <w:tcPr>
            <w:tcW w:w="2040" w:type="dxa"/>
            <w:vAlign w:val="bottom"/>
            <w:tcBorders>
              <w:right w:val="single" w:sz="8" w:color="auto"/>
            </w:tcBorders>
            <w:vMerge w:val="continue"/>
            <w:shd w:val="clear" w:color="auto" w:fill="0070C0"/>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420" w:type="dxa"/>
            <w:vAlign w:val="bottom"/>
            <w:tcBorders>
              <w:left w:val="single" w:sz="8" w:color="auto"/>
              <w:bottom w:val="single" w:sz="8" w:color="0070C0"/>
              <w:right w:val="single" w:sz="8" w:color="auto"/>
            </w:tcBorders>
            <w:shd w:val="clear" w:color="auto" w:fill="0070C0"/>
          </w:tcPr>
          <w:p>
            <w:pPr>
              <w:spacing w:after="0"/>
              <w:rPr>
                <w:sz w:val="16"/>
                <w:szCs w:val="16"/>
                <w:color w:val="auto"/>
              </w:rPr>
            </w:pPr>
          </w:p>
        </w:tc>
        <w:tc>
          <w:tcPr>
            <w:tcW w:w="860" w:type="dxa"/>
            <w:vAlign w:val="bottom"/>
            <w:tcBorders>
              <w:bottom w:val="single" w:sz="8" w:color="0070C0"/>
              <w:right w:val="single" w:sz="8" w:color="auto"/>
            </w:tcBorders>
            <w:shd w:val="clear" w:color="auto" w:fill="0070C0"/>
          </w:tcPr>
          <w:p>
            <w:pPr>
              <w:spacing w:after="0"/>
              <w:rPr>
                <w:sz w:val="16"/>
                <w:szCs w:val="16"/>
                <w:color w:val="auto"/>
              </w:rPr>
            </w:pPr>
          </w:p>
        </w:tc>
        <w:tc>
          <w:tcPr>
            <w:tcW w:w="940" w:type="dxa"/>
            <w:vAlign w:val="bottom"/>
            <w:tcBorders>
              <w:bottom w:val="single" w:sz="8" w:color="0070C0"/>
              <w:right w:val="single" w:sz="8" w:color="auto"/>
            </w:tcBorders>
            <w:shd w:val="clear" w:color="auto" w:fill="0070C0"/>
          </w:tcPr>
          <w:p>
            <w:pPr>
              <w:spacing w:after="0"/>
              <w:rPr>
                <w:sz w:val="16"/>
                <w:szCs w:val="16"/>
                <w:color w:val="auto"/>
              </w:rPr>
            </w:pPr>
          </w:p>
        </w:tc>
        <w:tc>
          <w:tcPr>
            <w:tcW w:w="920" w:type="dxa"/>
            <w:vAlign w:val="bottom"/>
            <w:tcBorders>
              <w:bottom w:val="single" w:sz="8" w:color="0070C0"/>
              <w:right w:val="single" w:sz="8" w:color="auto"/>
            </w:tcBorders>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rPr>
              <w:t>go")</w:t>
            </w:r>
          </w:p>
        </w:tc>
        <w:tc>
          <w:tcPr>
            <w:tcW w:w="960" w:type="dxa"/>
            <w:vAlign w:val="bottom"/>
            <w:tcBorders>
              <w:bottom w:val="single" w:sz="8" w:color="0070C0"/>
              <w:right w:val="single" w:sz="8" w:color="auto"/>
            </w:tcBorders>
            <w:shd w:val="clear" w:color="auto" w:fill="0070C0"/>
          </w:tcPr>
          <w:p>
            <w:pPr>
              <w:jc w:val="center"/>
              <w:spacing w:after="0"/>
              <w:rPr>
                <w:sz w:val="20"/>
                <w:szCs w:val="20"/>
                <w:color w:val="auto"/>
              </w:rPr>
            </w:pPr>
            <w:r>
              <w:rPr>
                <w:rFonts w:ascii="Times New Roman" w:cs="Times New Roman" w:eastAsia="Times New Roman" w:hAnsi="Times New Roman"/>
                <w:sz w:val="12"/>
                <w:szCs w:val="12"/>
                <w:color w:val="FFFFFF"/>
                <w:w w:val="99"/>
              </w:rPr>
              <w:t>partner</w:t>
            </w:r>
          </w:p>
        </w:tc>
        <w:tc>
          <w:tcPr>
            <w:tcW w:w="1000" w:type="dxa"/>
            <w:vAlign w:val="bottom"/>
            <w:tcBorders>
              <w:bottom w:val="single" w:sz="8" w:color="0070C0"/>
              <w:right w:val="single" w:sz="8" w:color="auto"/>
            </w:tcBorders>
            <w:shd w:val="clear" w:color="auto" w:fill="0070C0"/>
          </w:tcPr>
          <w:p>
            <w:pPr>
              <w:spacing w:after="0"/>
              <w:rPr>
                <w:sz w:val="16"/>
                <w:szCs w:val="16"/>
                <w:color w:val="auto"/>
              </w:rPr>
            </w:pPr>
          </w:p>
        </w:tc>
        <w:tc>
          <w:tcPr>
            <w:tcW w:w="1240" w:type="dxa"/>
            <w:vAlign w:val="bottom"/>
            <w:tcBorders>
              <w:bottom w:val="single" w:sz="8" w:color="0070C0"/>
              <w:right w:val="single" w:sz="8" w:color="auto"/>
            </w:tcBorders>
            <w:shd w:val="clear" w:color="auto" w:fill="0070C0"/>
          </w:tcPr>
          <w:p>
            <w:pPr>
              <w:spacing w:after="0"/>
              <w:rPr>
                <w:sz w:val="16"/>
                <w:szCs w:val="16"/>
                <w:color w:val="auto"/>
              </w:rPr>
            </w:pPr>
          </w:p>
        </w:tc>
        <w:tc>
          <w:tcPr>
            <w:tcW w:w="1940" w:type="dxa"/>
            <w:vAlign w:val="bottom"/>
            <w:tcBorders>
              <w:bottom w:val="single" w:sz="8" w:color="0070C0"/>
              <w:right w:val="single" w:sz="8" w:color="auto"/>
            </w:tcBorders>
            <w:shd w:val="clear" w:color="auto" w:fill="0070C0"/>
          </w:tcPr>
          <w:p>
            <w:pPr>
              <w:spacing w:after="0"/>
              <w:rPr>
                <w:sz w:val="16"/>
                <w:szCs w:val="16"/>
                <w:color w:val="auto"/>
              </w:rPr>
            </w:pPr>
          </w:p>
        </w:tc>
        <w:tc>
          <w:tcPr>
            <w:tcW w:w="2040" w:type="dxa"/>
            <w:vAlign w:val="bottom"/>
            <w:tcBorders>
              <w:bottom w:val="single" w:sz="8" w:color="0070C0"/>
              <w:right w:val="single" w:sz="8" w:color="auto"/>
            </w:tcBorders>
            <w:shd w:val="clear" w:color="auto" w:fill="0070C0"/>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Atrisco PV</w:t>
            </w:r>
          </w:p>
        </w:tc>
        <w:tc>
          <w:tcPr>
            <w:tcW w:w="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369</w:t>
            </w:r>
          </w:p>
        </w:tc>
        <w:tc>
          <w:tcPr>
            <w:tcW w:w="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198</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55</w:t>
            </w:r>
          </w:p>
        </w:tc>
        <w:tc>
          <w:tcPr>
            <w:tcW w:w="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Confidential</w:t>
            </w:r>
          </w:p>
        </w:tc>
        <w:tc>
          <w:tcPr>
            <w:tcW w:w="1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Confidential</w:t>
            </w: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Confidential</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17.5% (5%)</w:t>
            </w:r>
          </w:p>
        </w:tc>
        <w:tc>
          <w:tcPr>
            <w:tcW w:w="2040" w:type="dxa"/>
            <w:vAlign w:val="bottom"/>
            <w:tcBorders>
              <w:top w:val="single" w:sz="8" w:color="auto"/>
              <w:bottom w:val="single" w:sz="8" w:color="auto"/>
              <w:right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color w:val="auto"/>
                <w:w w:val="99"/>
              </w:rPr>
              <w:t>10</w:t>
            </w:r>
          </w:p>
        </w:tc>
        <w:tc>
          <w:tcPr>
            <w:tcW w:w="0" w:type="dxa"/>
            <w:vAlign w:val="bottom"/>
          </w:tcPr>
          <w:p>
            <w:pPr>
              <w:spacing w:after="0"/>
              <w:rPr>
                <w:sz w:val="1"/>
                <w:szCs w:val="1"/>
                <w:color w:val="auto"/>
              </w:rPr>
            </w:pPr>
          </w:p>
        </w:tc>
      </w:tr>
      <w:tr>
        <w:trPr>
          <w:trHeight w:val="151"/>
        </w:trPr>
        <w:tc>
          <w:tcPr>
            <w:tcW w:w="1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Atrisco BESS</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458</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266</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Confidential</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Confidential</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Confidential</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23% (7%)</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0" w:type="dxa"/>
            <w:vAlign w:val="bottom"/>
          </w:tcPr>
          <w:p>
            <w:pPr>
              <w:spacing w:after="0"/>
              <w:rPr>
                <w:sz w:val="1"/>
                <w:szCs w:val="1"/>
                <w:color w:val="auto"/>
              </w:rPr>
            </w:pPr>
          </w:p>
        </w:tc>
      </w:tr>
      <w:tr>
        <w:trPr>
          <w:trHeight w:val="170"/>
        </w:trPr>
        <w:tc>
          <w:tcPr>
            <w:tcW w:w="1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Quail Ranch</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274</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131</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18</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99%</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99%</w:t>
            </w:r>
          </w:p>
        </w:tc>
        <w:tc>
          <w:tcPr>
            <w:tcW w:w="1240" w:type="dxa"/>
            <w:vAlign w:val="bottom"/>
            <w:tcBorders>
              <w:bottom w:val="single" w:sz="8" w:color="auto"/>
              <w:right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color w:val="auto"/>
              </w:rPr>
              <w:t>10</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10% (5%)</w:t>
            </w:r>
          </w:p>
        </w:tc>
        <w:tc>
          <w:tcPr>
            <w:tcW w:w="2040" w:type="dxa"/>
            <w:vAlign w:val="bottom"/>
            <w:tcBorders>
              <w:bottom w:val="single" w:sz="8" w:color="auto"/>
              <w:right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color w:val="auto"/>
                <w:w w:val="99"/>
              </w:rPr>
              <w:t>10</w:t>
            </w:r>
          </w:p>
        </w:tc>
        <w:tc>
          <w:tcPr>
            <w:tcW w:w="0" w:type="dxa"/>
            <w:vAlign w:val="bottom"/>
          </w:tcPr>
          <w:p>
            <w:pPr>
              <w:spacing w:after="0"/>
              <w:rPr>
                <w:sz w:val="1"/>
                <w:szCs w:val="1"/>
                <w:color w:val="auto"/>
              </w:rPr>
            </w:pPr>
          </w:p>
        </w:tc>
      </w:tr>
      <w:tr>
        <w:trPr>
          <w:trHeight w:val="131"/>
        </w:trPr>
        <w:tc>
          <w:tcPr>
            <w:tcW w:w="1420" w:type="dxa"/>
            <w:vAlign w:val="bottom"/>
            <w:tcBorders>
              <w:left w:val="single" w:sz="8" w:color="auto"/>
              <w:bottom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w w:val="98"/>
              </w:rPr>
              <w:t>Roadrunner</w:t>
            </w:r>
          </w:p>
        </w:tc>
        <w:tc>
          <w:tcPr>
            <w:tcW w:w="860" w:type="dxa"/>
            <w:vAlign w:val="bottom"/>
            <w:tcBorders>
              <w:bottom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w w:val="99"/>
              </w:rPr>
              <w:t>621</w:t>
            </w:r>
          </w:p>
        </w:tc>
        <w:tc>
          <w:tcPr>
            <w:tcW w:w="940" w:type="dxa"/>
            <w:vAlign w:val="bottom"/>
            <w:tcBorders>
              <w:bottom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w w:val="99"/>
              </w:rPr>
              <w:t>337</w:t>
            </w:r>
          </w:p>
        </w:tc>
        <w:tc>
          <w:tcPr>
            <w:tcW w:w="920" w:type="dxa"/>
            <w:vAlign w:val="bottom"/>
            <w:tcBorders>
              <w:bottom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w w:val="99"/>
              </w:rPr>
              <w:t>55</w:t>
            </w:r>
          </w:p>
        </w:tc>
        <w:tc>
          <w:tcPr>
            <w:tcW w:w="960" w:type="dxa"/>
            <w:vAlign w:val="bottom"/>
            <w:tcBorders>
              <w:bottom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w w:val="99"/>
              </w:rPr>
              <w:t>99%</w:t>
            </w:r>
          </w:p>
        </w:tc>
        <w:tc>
          <w:tcPr>
            <w:tcW w:w="1000" w:type="dxa"/>
            <w:vAlign w:val="bottom"/>
            <w:tcBorders>
              <w:bottom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w w:val="99"/>
              </w:rPr>
              <w:t>99%</w:t>
            </w:r>
          </w:p>
        </w:tc>
        <w:tc>
          <w:tcPr>
            <w:tcW w:w="1240" w:type="dxa"/>
            <w:vAlign w:val="bottom"/>
            <w:tcBorders>
              <w:bottom w:val="single" w:sz="8" w:color="auto"/>
              <w:right w:val="single" w:sz="8" w:color="auto"/>
            </w:tcBorders>
          </w:tcPr>
          <w:p>
            <w:pPr>
              <w:jc w:val="right"/>
              <w:ind w:right="460"/>
              <w:spacing w:after="0" w:line="131" w:lineRule="exact"/>
              <w:rPr>
                <w:sz w:val="20"/>
                <w:szCs w:val="20"/>
                <w:color w:val="auto"/>
              </w:rPr>
            </w:pPr>
            <w:r>
              <w:rPr>
                <w:rFonts w:ascii="Times New Roman" w:cs="Times New Roman" w:eastAsia="Times New Roman" w:hAnsi="Times New Roman"/>
                <w:sz w:val="12"/>
                <w:szCs w:val="12"/>
                <w:color w:val="auto"/>
              </w:rPr>
              <w:t>5-10</w:t>
            </w:r>
          </w:p>
        </w:tc>
        <w:tc>
          <w:tcPr>
            <w:tcW w:w="1940" w:type="dxa"/>
            <w:vAlign w:val="bottom"/>
            <w:tcBorders>
              <w:bottom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rPr>
              <w:t>10%-12% (5%)</w:t>
            </w:r>
          </w:p>
        </w:tc>
        <w:tc>
          <w:tcPr>
            <w:tcW w:w="2040" w:type="dxa"/>
            <w:vAlign w:val="bottom"/>
            <w:tcBorders>
              <w:bottom w:val="single" w:sz="8" w:color="auto"/>
              <w:right w:val="single" w:sz="8" w:color="auto"/>
            </w:tcBorders>
          </w:tcPr>
          <w:p>
            <w:pPr>
              <w:jc w:val="center"/>
              <w:ind w:right="20"/>
              <w:spacing w:after="0" w:line="131" w:lineRule="exact"/>
              <w:rPr>
                <w:sz w:val="20"/>
                <w:szCs w:val="20"/>
                <w:color w:val="auto"/>
              </w:rPr>
            </w:pPr>
            <w:r>
              <w:rPr>
                <w:rFonts w:ascii="Times New Roman" w:cs="Times New Roman" w:eastAsia="Times New Roman" w:hAnsi="Times New Roman"/>
                <w:sz w:val="12"/>
                <w:szCs w:val="12"/>
                <w:color w:val="auto"/>
                <w:w w:val="99"/>
              </w:rPr>
              <w:t>10</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Apex financing was structured as a sale and leaseback and therefore not included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182245</wp:posOffset>
            </wp:positionV>
            <wp:extent cx="7178040"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8" w:right="29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59"/>
        </w:trPr>
        <w:tc>
          <w:tcPr>
            <w:tcW w:w="7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Appendix 6 – cash and cash equivalents</w:t>
            </w:r>
          </w:p>
        </w:tc>
        <w:tc>
          <w:tcPr>
            <w:tcW w:w="3440" w:type="dxa"/>
            <w:vAlign w:val="bottom"/>
          </w:tcPr>
          <w:p>
            <w:pPr>
              <w:spacing w:after="0"/>
              <w:rPr>
                <w:sz w:val="13"/>
                <w:szCs w:val="13"/>
                <w:color w:val="auto"/>
              </w:rPr>
            </w:pPr>
          </w:p>
        </w:tc>
      </w:tr>
      <w:tr>
        <w:trPr>
          <w:trHeight w:val="153"/>
        </w:trPr>
        <w:tc>
          <w:tcPr>
            <w:tcW w:w="7860" w:type="dxa"/>
            <w:vAlign w:val="bottom"/>
          </w:tcPr>
          <w:p>
            <w:pPr>
              <w:spacing w:after="0"/>
              <w:rPr>
                <w:sz w:val="13"/>
                <w:szCs w:val="13"/>
                <w:color w:val="auto"/>
              </w:rPr>
            </w:pPr>
          </w:p>
        </w:tc>
        <w:tc>
          <w:tcPr>
            <w:tcW w:w="3440" w:type="dxa"/>
            <w:vAlign w:val="bottom"/>
          </w:tcPr>
          <w:p>
            <w:pPr>
              <w:spacing w:after="0"/>
              <w:rPr>
                <w:sz w:val="13"/>
                <w:szCs w:val="13"/>
                <w:color w:val="auto"/>
              </w:rPr>
            </w:pPr>
          </w:p>
        </w:tc>
      </w:tr>
      <w:tr>
        <w:trPr>
          <w:trHeight w:val="153"/>
        </w:trPr>
        <w:tc>
          <w:tcPr>
            <w:tcW w:w="7860" w:type="dxa"/>
            <w:vAlign w:val="bottom"/>
            <w:shd w:val="clear" w:color="auto" w:fill="0070C0"/>
          </w:tcPr>
          <w:p>
            <w:pPr>
              <w:spacing w:after="0"/>
              <w:rPr>
                <w:sz w:val="20"/>
                <w:szCs w:val="20"/>
                <w:color w:val="auto"/>
              </w:rPr>
            </w:pPr>
            <w:r>
              <w:rPr>
                <w:rFonts w:ascii="Times New Roman" w:cs="Times New Roman" w:eastAsia="Times New Roman" w:hAnsi="Times New Roman"/>
                <w:sz w:val="12"/>
                <w:szCs w:val="12"/>
                <w:b w:val="1"/>
                <w:bCs w:val="1"/>
                <w:i w:val="1"/>
                <w:iCs w:val="1"/>
                <w:color w:val="FFFFFF"/>
              </w:rPr>
              <w:t>($ thousands)</w:t>
            </w:r>
          </w:p>
        </w:tc>
        <w:tc>
          <w:tcPr>
            <w:tcW w:w="3440" w:type="dxa"/>
            <w:vAlign w:val="bottom"/>
            <w:shd w:val="clear" w:color="auto" w:fill="0070C0"/>
          </w:tcPr>
          <w:p>
            <w:pPr>
              <w:ind w:left="2080"/>
              <w:spacing w:after="0"/>
              <w:rPr>
                <w:sz w:val="20"/>
                <w:szCs w:val="20"/>
                <w:color w:val="auto"/>
              </w:rPr>
            </w:pPr>
            <w:r>
              <w:rPr>
                <w:rFonts w:ascii="Times New Roman" w:cs="Times New Roman" w:eastAsia="Times New Roman" w:hAnsi="Times New Roman"/>
                <w:sz w:val="12"/>
                <w:szCs w:val="12"/>
                <w:b w:val="1"/>
                <w:bCs w:val="1"/>
                <w:color w:val="FFFFFF"/>
              </w:rPr>
              <w:t>September 30, 2025</w:t>
            </w:r>
          </w:p>
        </w:tc>
      </w:tr>
      <w:tr>
        <w:trPr>
          <w:trHeight w:val="153"/>
        </w:trPr>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w:t>
            </w:r>
          </w:p>
        </w:tc>
        <w:tc>
          <w:tcPr>
            <w:tcW w:w="3440" w:type="dxa"/>
            <w:vAlign w:val="bottom"/>
            <w:tcBorders>
              <w:bottom w:val="single" w:sz="8" w:color="auto"/>
            </w:tcBorders>
          </w:tcPr>
          <w:p>
            <w:pPr>
              <w:spacing w:after="0"/>
              <w:rPr>
                <w:sz w:val="13"/>
                <w:szCs w:val="13"/>
                <w:color w:val="auto"/>
              </w:rPr>
            </w:pPr>
          </w:p>
        </w:tc>
      </w:tr>
      <w:tr>
        <w:trPr>
          <w:trHeight w:val="151"/>
        </w:trPr>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 xml:space="preserve">Enlight Renewable Energy Ltd, Enlight EU Energies Kft and Enlight Renewable LLC excluding subsidiaries </w:t>
            </w:r>
            <w:r>
              <w:rPr>
                <w:rFonts w:ascii="Times New Roman" w:cs="Times New Roman" w:eastAsia="Times New Roman" w:hAnsi="Times New Roman"/>
                <w:sz w:val="12"/>
                <w:szCs w:val="12"/>
                <w:b w:val="1"/>
                <w:bCs w:val="1"/>
                <w:color w:val="auto"/>
              </w:rPr>
              <w:t>(“Topco”)</w:t>
            </w:r>
          </w:p>
        </w:tc>
        <w:tc>
          <w:tcPr>
            <w:tcW w:w="3440" w:type="dxa"/>
            <w:vAlign w:val="bottom"/>
            <w:tcBorders>
              <w:bottom w:val="single" w:sz="8" w:color="auto"/>
            </w:tcBorders>
          </w:tcPr>
          <w:p>
            <w:pPr>
              <w:jc w:val="center"/>
              <w:ind w:left="1680"/>
              <w:spacing w:after="0"/>
              <w:rPr>
                <w:sz w:val="20"/>
                <w:szCs w:val="20"/>
                <w:color w:val="auto"/>
              </w:rPr>
            </w:pPr>
            <w:r>
              <w:rPr>
                <w:rFonts w:ascii="Times New Roman" w:cs="Times New Roman" w:eastAsia="Times New Roman" w:hAnsi="Times New Roman"/>
                <w:sz w:val="12"/>
                <w:szCs w:val="12"/>
                <w:color w:val="auto"/>
                <w:w w:val="97"/>
              </w:rPr>
              <w:t>309,923</w:t>
            </w:r>
          </w:p>
        </w:tc>
      </w:tr>
      <w:tr>
        <w:trPr>
          <w:trHeight w:val="151"/>
        </w:trPr>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Subsidiaries</w:t>
            </w:r>
          </w:p>
        </w:tc>
        <w:tc>
          <w:tcPr>
            <w:tcW w:w="3440" w:type="dxa"/>
            <w:vAlign w:val="bottom"/>
            <w:tcBorders>
              <w:bottom w:val="single" w:sz="8" w:color="auto"/>
            </w:tcBorders>
          </w:tcPr>
          <w:p>
            <w:pPr>
              <w:jc w:val="center"/>
              <w:ind w:left="1680"/>
              <w:spacing w:after="0"/>
              <w:rPr>
                <w:sz w:val="20"/>
                <w:szCs w:val="20"/>
                <w:color w:val="auto"/>
              </w:rPr>
            </w:pPr>
            <w:r>
              <w:rPr>
                <w:rFonts w:ascii="Times New Roman" w:cs="Times New Roman" w:eastAsia="Times New Roman" w:hAnsi="Times New Roman"/>
                <w:sz w:val="12"/>
                <w:szCs w:val="12"/>
                <w:color w:val="auto"/>
                <w:w w:val="97"/>
              </w:rPr>
              <w:t>369,904</w:t>
            </w:r>
          </w:p>
        </w:tc>
      </w:tr>
      <w:tr>
        <w:trPr>
          <w:trHeight w:val="151"/>
        </w:trPr>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Deposits:</w:t>
            </w:r>
          </w:p>
        </w:tc>
        <w:tc>
          <w:tcPr>
            <w:tcW w:w="3440" w:type="dxa"/>
            <w:vAlign w:val="bottom"/>
            <w:tcBorders>
              <w:bottom w:val="single" w:sz="8" w:color="auto"/>
            </w:tcBorders>
          </w:tcPr>
          <w:p>
            <w:pPr>
              <w:spacing w:after="0"/>
              <w:rPr>
                <w:sz w:val="13"/>
                <w:szCs w:val="13"/>
                <w:color w:val="auto"/>
              </w:rPr>
            </w:pPr>
          </w:p>
        </w:tc>
      </w:tr>
      <w:tr>
        <w:trPr>
          <w:trHeight w:val="151"/>
        </w:trPr>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Short term deposits</w:t>
            </w:r>
          </w:p>
        </w:tc>
        <w:tc>
          <w:tcPr>
            <w:tcW w:w="3440" w:type="dxa"/>
            <w:vAlign w:val="bottom"/>
            <w:tcBorders>
              <w:bottom w:val="single" w:sz="8" w:color="auto"/>
            </w:tcBorders>
          </w:tcPr>
          <w:p>
            <w:pPr>
              <w:jc w:val="center"/>
              <w:ind w:left="1680"/>
              <w:spacing w:after="0"/>
              <w:rPr>
                <w:sz w:val="20"/>
                <w:szCs w:val="20"/>
                <w:color w:val="auto"/>
              </w:rPr>
            </w:pPr>
            <w:r>
              <w:rPr>
                <w:rFonts w:ascii="Times New Roman" w:cs="Times New Roman" w:eastAsia="Times New Roman" w:hAnsi="Times New Roman"/>
                <w:sz w:val="12"/>
                <w:szCs w:val="12"/>
                <w:color w:val="auto"/>
                <w:w w:val="96"/>
              </w:rPr>
              <w:t>1,409</w:t>
            </w:r>
          </w:p>
        </w:tc>
      </w:tr>
      <w:tr>
        <w:trPr>
          <w:trHeight w:val="151"/>
        </w:trPr>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Restricted Cash:</w:t>
            </w:r>
          </w:p>
        </w:tc>
        <w:tc>
          <w:tcPr>
            <w:tcW w:w="3440" w:type="dxa"/>
            <w:vAlign w:val="bottom"/>
            <w:tcBorders>
              <w:bottom w:val="single" w:sz="8" w:color="auto"/>
            </w:tcBorders>
          </w:tcPr>
          <w:p>
            <w:pPr>
              <w:spacing w:after="0"/>
              <w:rPr>
                <w:sz w:val="13"/>
                <w:szCs w:val="13"/>
                <w:color w:val="auto"/>
              </w:rPr>
            </w:pPr>
          </w:p>
        </w:tc>
      </w:tr>
      <w:tr>
        <w:trPr>
          <w:trHeight w:val="151"/>
        </w:trPr>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Projects under construction</w:t>
            </w:r>
          </w:p>
        </w:tc>
        <w:tc>
          <w:tcPr>
            <w:tcW w:w="3440" w:type="dxa"/>
            <w:vAlign w:val="bottom"/>
            <w:tcBorders>
              <w:bottom w:val="single" w:sz="8" w:color="auto"/>
            </w:tcBorders>
          </w:tcPr>
          <w:p>
            <w:pPr>
              <w:jc w:val="center"/>
              <w:ind w:left="1680"/>
              <w:spacing w:after="0"/>
              <w:rPr>
                <w:sz w:val="20"/>
                <w:szCs w:val="20"/>
                <w:color w:val="auto"/>
              </w:rPr>
            </w:pPr>
            <w:r>
              <w:rPr>
                <w:rFonts w:ascii="Times New Roman" w:cs="Times New Roman" w:eastAsia="Times New Roman" w:hAnsi="Times New Roman"/>
                <w:sz w:val="12"/>
                <w:szCs w:val="12"/>
                <w:color w:val="auto"/>
                <w:w w:val="97"/>
              </w:rPr>
              <w:t>301,863</w:t>
            </w:r>
          </w:p>
        </w:tc>
      </w:tr>
      <w:tr>
        <w:trPr>
          <w:trHeight w:val="151"/>
        </w:trPr>
        <w:tc>
          <w:tcPr>
            <w:tcW w:w="7860" w:type="dxa"/>
            <w:vAlign w:val="bottom"/>
          </w:tcPr>
          <w:p>
            <w:pPr>
              <w:spacing w:after="0"/>
              <w:rPr>
                <w:sz w:val="20"/>
                <w:szCs w:val="20"/>
                <w:color w:val="auto"/>
              </w:rPr>
            </w:pPr>
            <w:r>
              <w:rPr>
                <w:rFonts w:ascii="Times New Roman" w:cs="Times New Roman" w:eastAsia="Times New Roman" w:hAnsi="Times New Roman"/>
                <w:sz w:val="12"/>
                <w:szCs w:val="12"/>
                <w:color w:val="auto"/>
              </w:rPr>
              <w:t>Reserves, including debt service, performance obligations and others</w:t>
            </w:r>
          </w:p>
        </w:tc>
        <w:tc>
          <w:tcPr>
            <w:tcW w:w="3440" w:type="dxa"/>
            <w:vAlign w:val="bottom"/>
          </w:tcPr>
          <w:p>
            <w:pPr>
              <w:jc w:val="center"/>
              <w:ind w:left="1680"/>
              <w:spacing w:after="0"/>
              <w:rPr>
                <w:sz w:val="20"/>
                <w:szCs w:val="20"/>
                <w:color w:val="auto"/>
              </w:rPr>
            </w:pPr>
            <w:r>
              <w:rPr>
                <w:rFonts w:ascii="Times New Roman" w:cs="Times New Roman" w:eastAsia="Times New Roman" w:hAnsi="Times New Roman"/>
                <w:sz w:val="12"/>
                <w:szCs w:val="12"/>
                <w:color w:val="auto"/>
              </w:rPr>
              <w:t>55,074</w:t>
            </w:r>
          </w:p>
        </w:tc>
      </w:tr>
      <w:tr>
        <w:trPr>
          <w:trHeight w:val="153"/>
        </w:trPr>
        <w:tc>
          <w:tcPr>
            <w:tcW w:w="7860" w:type="dxa"/>
            <w:vAlign w:val="bottom"/>
            <w:shd w:val="clear" w:color="auto" w:fill="92BAEA"/>
          </w:tcPr>
          <w:p>
            <w:pPr>
              <w:spacing w:after="0"/>
              <w:rPr>
                <w:sz w:val="20"/>
                <w:szCs w:val="20"/>
                <w:color w:val="auto"/>
              </w:rPr>
            </w:pPr>
            <w:r>
              <w:rPr>
                <w:rFonts w:ascii="Times New Roman" w:cs="Times New Roman" w:eastAsia="Times New Roman" w:hAnsi="Times New Roman"/>
                <w:sz w:val="12"/>
                <w:szCs w:val="12"/>
                <w:b w:val="1"/>
                <w:bCs w:val="1"/>
                <w:color w:val="auto"/>
              </w:rPr>
              <w:t>Total Cash</w:t>
            </w:r>
          </w:p>
        </w:tc>
        <w:tc>
          <w:tcPr>
            <w:tcW w:w="3440" w:type="dxa"/>
            <w:vAlign w:val="bottom"/>
            <w:shd w:val="clear" w:color="auto" w:fill="92BAEA"/>
          </w:tcPr>
          <w:p>
            <w:pPr>
              <w:jc w:val="center"/>
              <w:ind w:left="1700"/>
              <w:spacing w:after="0"/>
              <w:rPr>
                <w:sz w:val="20"/>
                <w:szCs w:val="20"/>
                <w:color w:val="auto"/>
              </w:rPr>
            </w:pPr>
            <w:r>
              <w:rPr>
                <w:rFonts w:ascii="Times New Roman" w:cs="Times New Roman" w:eastAsia="Times New Roman" w:hAnsi="Times New Roman"/>
                <w:sz w:val="12"/>
                <w:szCs w:val="12"/>
                <w:b w:val="1"/>
                <w:bCs w:val="1"/>
                <w:color w:val="auto"/>
                <w:w w:val="99"/>
              </w:rPr>
              <w:t>1,038,173</w:t>
            </w: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Appendix 7 – Corporate level (TopCo) debt</w:t>
            </w:r>
          </w:p>
        </w:tc>
        <w:tc>
          <w:tcPr>
            <w:tcW w:w="3440" w:type="dxa"/>
            <w:vAlign w:val="bottom"/>
          </w:tcPr>
          <w:p>
            <w:pPr>
              <w:spacing w:after="0"/>
              <w:rPr>
                <w:sz w:val="24"/>
                <w:szCs w:val="24"/>
                <w:color w:val="auto"/>
              </w:rPr>
            </w:pPr>
          </w:p>
        </w:tc>
      </w:tr>
      <w:tr>
        <w:trPr>
          <w:trHeight w:val="153"/>
        </w:trPr>
        <w:tc>
          <w:tcPr>
            <w:tcW w:w="7860" w:type="dxa"/>
            <w:vAlign w:val="bottom"/>
          </w:tcPr>
          <w:p>
            <w:pPr>
              <w:spacing w:after="0"/>
              <w:rPr>
                <w:sz w:val="13"/>
                <w:szCs w:val="13"/>
                <w:color w:val="auto"/>
              </w:rPr>
            </w:pPr>
          </w:p>
        </w:tc>
        <w:tc>
          <w:tcPr>
            <w:tcW w:w="3440" w:type="dxa"/>
            <w:vAlign w:val="bottom"/>
          </w:tcPr>
          <w:p>
            <w:pPr>
              <w:spacing w:after="0"/>
              <w:rPr>
                <w:sz w:val="13"/>
                <w:szCs w:val="13"/>
                <w:color w:val="auto"/>
              </w:rPr>
            </w:pPr>
          </w:p>
        </w:tc>
      </w:tr>
      <w:tr>
        <w:trPr>
          <w:trHeight w:val="153"/>
        </w:trPr>
        <w:tc>
          <w:tcPr>
            <w:tcW w:w="7860" w:type="dxa"/>
            <w:vAlign w:val="bottom"/>
            <w:shd w:val="clear" w:color="auto" w:fill="0070C0"/>
          </w:tcPr>
          <w:p>
            <w:pPr>
              <w:spacing w:after="0"/>
              <w:rPr>
                <w:sz w:val="20"/>
                <w:szCs w:val="20"/>
                <w:color w:val="auto"/>
              </w:rPr>
            </w:pPr>
            <w:r>
              <w:rPr>
                <w:rFonts w:ascii="Times New Roman" w:cs="Times New Roman" w:eastAsia="Times New Roman" w:hAnsi="Times New Roman"/>
                <w:sz w:val="12"/>
                <w:szCs w:val="12"/>
                <w:b w:val="1"/>
                <w:bCs w:val="1"/>
                <w:i w:val="1"/>
                <w:iCs w:val="1"/>
                <w:color w:val="FFFFFF"/>
              </w:rPr>
              <w:t>($ thousands)</w:t>
            </w:r>
          </w:p>
        </w:tc>
        <w:tc>
          <w:tcPr>
            <w:tcW w:w="3440" w:type="dxa"/>
            <w:vAlign w:val="bottom"/>
            <w:shd w:val="clear" w:color="auto" w:fill="0070C0"/>
          </w:tcPr>
          <w:p>
            <w:pPr>
              <w:ind w:left="2080"/>
              <w:spacing w:after="0"/>
              <w:rPr>
                <w:sz w:val="20"/>
                <w:szCs w:val="20"/>
                <w:color w:val="auto"/>
              </w:rPr>
            </w:pPr>
            <w:r>
              <w:rPr>
                <w:rFonts w:ascii="Times New Roman" w:cs="Times New Roman" w:eastAsia="Times New Roman" w:hAnsi="Times New Roman"/>
                <w:sz w:val="12"/>
                <w:szCs w:val="12"/>
                <w:b w:val="1"/>
                <w:bCs w:val="1"/>
                <w:color w:val="FFFFFF"/>
              </w:rPr>
              <w:t>September 30, 2025</w:t>
            </w:r>
          </w:p>
        </w:tc>
      </w:tr>
      <w:tr>
        <w:trPr>
          <w:trHeight w:val="153"/>
        </w:trPr>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Debentures:</w:t>
            </w:r>
          </w:p>
        </w:tc>
        <w:tc>
          <w:tcPr>
            <w:tcW w:w="3440" w:type="dxa"/>
            <w:vAlign w:val="bottom"/>
            <w:tcBorders>
              <w:bottom w:val="single" w:sz="8" w:color="auto"/>
            </w:tcBorders>
          </w:tcPr>
          <w:p>
            <w:pPr>
              <w:spacing w:after="0"/>
              <w:rPr>
                <w:sz w:val="13"/>
                <w:szCs w:val="13"/>
                <w:color w:val="auto"/>
              </w:rPr>
            </w:pPr>
          </w:p>
        </w:tc>
      </w:tr>
      <w:tr>
        <w:trPr>
          <w:trHeight w:val="151"/>
        </w:trPr>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Debentures</w:t>
            </w:r>
          </w:p>
        </w:tc>
        <w:tc>
          <w:tcPr>
            <w:tcW w:w="3440" w:type="dxa"/>
            <w:vAlign w:val="bottom"/>
            <w:tcBorders>
              <w:bottom w:val="single" w:sz="8" w:color="auto"/>
            </w:tcBorders>
          </w:tcPr>
          <w:p>
            <w:pPr>
              <w:jc w:val="center"/>
              <w:ind w:left="1680"/>
              <w:spacing w:after="0"/>
              <w:rPr>
                <w:sz w:val="20"/>
                <w:szCs w:val="20"/>
                <w:color w:val="auto"/>
              </w:rPr>
            </w:pPr>
            <w:r>
              <w:rPr>
                <w:rFonts w:ascii="Times New Roman" w:cs="Times New Roman" w:eastAsia="Times New Roman" w:hAnsi="Times New Roman"/>
                <w:sz w:val="12"/>
                <w:szCs w:val="12"/>
                <w:color w:val="auto"/>
              </w:rPr>
              <w:t>624,721*</w:t>
            </w:r>
          </w:p>
        </w:tc>
      </w:tr>
      <w:tr>
        <w:trPr>
          <w:trHeight w:val="151"/>
        </w:trPr>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Convertible debentures</w:t>
            </w:r>
          </w:p>
        </w:tc>
        <w:tc>
          <w:tcPr>
            <w:tcW w:w="3440" w:type="dxa"/>
            <w:vAlign w:val="bottom"/>
            <w:tcBorders>
              <w:bottom w:val="single" w:sz="8" w:color="auto"/>
            </w:tcBorders>
          </w:tcPr>
          <w:p>
            <w:pPr>
              <w:jc w:val="center"/>
              <w:ind w:left="1680"/>
              <w:spacing w:after="0"/>
              <w:rPr>
                <w:sz w:val="20"/>
                <w:szCs w:val="20"/>
                <w:color w:val="auto"/>
              </w:rPr>
            </w:pPr>
            <w:r>
              <w:rPr>
                <w:rFonts w:ascii="Times New Roman" w:cs="Times New Roman" w:eastAsia="Times New Roman" w:hAnsi="Times New Roman"/>
                <w:sz w:val="12"/>
                <w:szCs w:val="12"/>
                <w:color w:val="auto"/>
                <w:w w:val="97"/>
              </w:rPr>
              <w:t>264,052</w:t>
            </w:r>
          </w:p>
        </w:tc>
      </w:tr>
      <w:tr>
        <w:trPr>
          <w:trHeight w:val="151"/>
        </w:trPr>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Loans from banks and other financial institutions:</w:t>
            </w:r>
          </w:p>
        </w:tc>
        <w:tc>
          <w:tcPr>
            <w:tcW w:w="3440" w:type="dxa"/>
            <w:vAlign w:val="bottom"/>
            <w:tcBorders>
              <w:bottom w:val="single" w:sz="8" w:color="auto"/>
            </w:tcBorders>
          </w:tcPr>
          <w:p>
            <w:pPr>
              <w:spacing w:after="0"/>
              <w:rPr>
                <w:sz w:val="13"/>
                <w:szCs w:val="13"/>
                <w:color w:val="auto"/>
              </w:rPr>
            </w:pPr>
          </w:p>
        </w:tc>
      </w:tr>
      <w:tr>
        <w:trPr>
          <w:trHeight w:val="151"/>
        </w:trPr>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Credit and short-term loans from banks and other financial institutions</w:t>
            </w:r>
          </w:p>
        </w:tc>
        <w:tc>
          <w:tcPr>
            <w:tcW w:w="3440" w:type="dxa"/>
            <w:vAlign w:val="bottom"/>
            <w:tcBorders>
              <w:bottom w:val="single" w:sz="8" w:color="auto"/>
            </w:tcBorders>
          </w:tcPr>
          <w:p>
            <w:pPr>
              <w:jc w:val="center"/>
              <w:ind w:left="1700"/>
              <w:spacing w:after="0"/>
              <w:rPr>
                <w:sz w:val="20"/>
                <w:szCs w:val="20"/>
                <w:color w:val="auto"/>
              </w:rPr>
            </w:pPr>
            <w:r>
              <w:rPr>
                <w:rFonts w:ascii="Times New Roman" w:cs="Times New Roman" w:eastAsia="Times New Roman" w:hAnsi="Times New Roman"/>
                <w:sz w:val="12"/>
                <w:szCs w:val="12"/>
                <w:color w:val="auto"/>
                <w:w w:val="98"/>
              </w:rPr>
              <w:t>-</w:t>
            </w:r>
          </w:p>
        </w:tc>
      </w:tr>
      <w:tr>
        <w:trPr>
          <w:trHeight w:val="151"/>
        </w:trPr>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Loans from banks and other financial institutions</w:t>
            </w:r>
          </w:p>
        </w:tc>
        <w:tc>
          <w:tcPr>
            <w:tcW w:w="3440" w:type="dxa"/>
            <w:vAlign w:val="bottom"/>
            <w:tcBorders>
              <w:bottom w:val="single" w:sz="8" w:color="auto"/>
            </w:tcBorders>
          </w:tcPr>
          <w:p>
            <w:pPr>
              <w:jc w:val="center"/>
              <w:ind w:left="1680"/>
              <w:spacing w:after="0"/>
              <w:rPr>
                <w:sz w:val="20"/>
                <w:szCs w:val="20"/>
                <w:color w:val="auto"/>
              </w:rPr>
            </w:pPr>
            <w:r>
              <w:rPr>
                <w:rFonts w:ascii="Times New Roman" w:cs="Times New Roman" w:eastAsia="Times New Roman" w:hAnsi="Times New Roman"/>
                <w:sz w:val="12"/>
                <w:szCs w:val="12"/>
                <w:color w:val="auto"/>
                <w:w w:val="97"/>
              </w:rPr>
              <w:t>116,490</w:t>
            </w:r>
          </w:p>
        </w:tc>
      </w:tr>
      <w:tr>
        <w:trPr>
          <w:trHeight w:val="151"/>
        </w:trPr>
        <w:tc>
          <w:tcPr>
            <w:tcW w:w="7860" w:type="dxa"/>
            <w:vAlign w:val="bottom"/>
            <w:shd w:val="clear" w:color="auto" w:fill="92BAEA"/>
          </w:tcPr>
          <w:p>
            <w:pPr>
              <w:spacing w:after="0"/>
              <w:rPr>
                <w:sz w:val="20"/>
                <w:szCs w:val="20"/>
                <w:color w:val="auto"/>
              </w:rPr>
            </w:pPr>
            <w:r>
              <w:rPr>
                <w:rFonts w:ascii="Times New Roman" w:cs="Times New Roman" w:eastAsia="Times New Roman" w:hAnsi="Times New Roman"/>
                <w:sz w:val="12"/>
                <w:szCs w:val="12"/>
                <w:b w:val="1"/>
                <w:bCs w:val="1"/>
                <w:color w:val="auto"/>
              </w:rPr>
              <w:t>Total corporate level debt</w:t>
            </w:r>
          </w:p>
        </w:tc>
        <w:tc>
          <w:tcPr>
            <w:tcW w:w="3440" w:type="dxa"/>
            <w:vAlign w:val="bottom"/>
            <w:shd w:val="clear" w:color="auto" w:fill="92BAEA"/>
          </w:tcPr>
          <w:p>
            <w:pPr>
              <w:jc w:val="center"/>
              <w:ind w:left="1700"/>
              <w:spacing w:after="0"/>
              <w:rPr>
                <w:sz w:val="20"/>
                <w:szCs w:val="20"/>
                <w:color w:val="auto"/>
              </w:rPr>
            </w:pPr>
            <w:r>
              <w:rPr>
                <w:rFonts w:ascii="Times New Roman" w:cs="Times New Roman" w:eastAsia="Times New Roman" w:hAnsi="Times New Roman"/>
                <w:sz w:val="12"/>
                <w:szCs w:val="12"/>
                <w:b w:val="1"/>
                <w:bCs w:val="1"/>
                <w:color w:val="auto"/>
                <w:w w:val="99"/>
              </w:rPr>
              <w:t>1,005,263</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Including current maturities of debentures in the amount of 25,922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187960</wp:posOffset>
            </wp:positionV>
            <wp:extent cx="717804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b w:val="1"/>
          <w:bCs w:val="1"/>
          <w:color w:val="auto"/>
        </w:rPr>
        <w:t>Appendix 8 – Functional Currency Conversion Rates:</w:t>
      </w:r>
    </w:p>
    <w:p>
      <w:pPr>
        <w:spacing w:after="0" w:line="16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The financial statements of each of the Company’s subsidiaries were prepared in the currency of the main economic environment in which it operates (hereinafter: the “Functional Currency”). For the purpose of consolidating the financial statements, results and financial position of each of the Group’s member companies are translated into the Israeli shekel (“NIS”), which is the Company’s Functional Currency. The Group’s consolidated financial statements are presented in U.S. dollars (“USD”).</w:t>
      </w:r>
    </w:p>
    <w:p>
      <w:pPr>
        <w:sectPr>
          <w:pgSz w:w="11900" w:h="16838" w:orient="portrait"/>
          <w:cols w:equalWidth="0" w:num="1">
            <w:col w:w="11280"/>
          </w:cols>
          <w:pgMar w:left="300" w:top="125" w:right="319" w:bottom="1440" w:gutter="0" w:footer="0" w:header="0"/>
        </w:sectPr>
      </w:pP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FX Rates to USD:</w:t>
      </w:r>
    </w:p>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Date of the financial statements:</w:t>
      </w:r>
    </w:p>
    <w:p>
      <w:pPr>
        <w:spacing w:after="0" w:line="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As of 30th September 2025</w:t>
      </w:r>
    </w:p>
    <w:p>
      <w:pPr>
        <w:spacing w:after="0" w:line="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As of 30th September 2024</w:t>
      </w:r>
    </w:p>
    <w:p>
      <w:pPr>
        <w:spacing w:after="0" w:line="1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Average for the 3 months period ended:</w:t>
      </w:r>
    </w:p>
    <w:p>
      <w:pPr>
        <w:spacing w:after="0" w:line="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September 2025</w:t>
      </w:r>
    </w:p>
    <w:p>
      <w:pPr>
        <w:spacing w:after="0" w:line="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September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Appendix 9 – Structural changes to the Consolidated Statements of Income:</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91"/>
        </w:trPr>
        <w:tc>
          <w:tcPr>
            <w:tcW w:w="780" w:type="dxa"/>
            <w:vAlign w:val="bottom"/>
            <w:tcBorders>
              <w:top w:val="single" w:sz="8" w:color="auto"/>
              <w:left w:val="single" w:sz="8" w:color="auto"/>
              <w:bottom w:val="single" w:sz="8" w:color="auto"/>
              <w:right w:val="single" w:sz="8" w:color="auto"/>
            </w:tcBorders>
            <w:shd w:val="clear" w:color="auto" w:fill="0070C0"/>
          </w:tcPr>
          <w:p>
            <w:pPr>
              <w:jc w:val="center"/>
              <w:spacing w:after="0"/>
              <w:rPr>
                <w:sz w:val="20"/>
                <w:szCs w:val="20"/>
                <w:color w:val="auto"/>
              </w:rPr>
            </w:pPr>
            <w:r>
              <w:rPr>
                <w:rFonts w:ascii="Times New Roman" w:cs="Times New Roman" w:eastAsia="Times New Roman" w:hAnsi="Times New Roman"/>
                <w:sz w:val="12"/>
                <w:szCs w:val="12"/>
                <w:b w:val="1"/>
                <w:bCs w:val="1"/>
                <w:color w:val="FFFFFF"/>
                <w:w w:val="99"/>
              </w:rPr>
              <w:t>Euro</w:t>
            </w:r>
          </w:p>
        </w:tc>
        <w:tc>
          <w:tcPr>
            <w:tcW w:w="740" w:type="dxa"/>
            <w:vAlign w:val="bottom"/>
            <w:tcBorders>
              <w:top w:val="single" w:sz="8" w:color="auto"/>
              <w:bottom w:val="single" w:sz="8" w:color="auto"/>
              <w:right w:val="single" w:sz="8" w:color="auto"/>
            </w:tcBorders>
            <w:shd w:val="clear" w:color="auto" w:fill="0070C0"/>
          </w:tcPr>
          <w:p>
            <w:pPr>
              <w:ind w:left="240"/>
              <w:spacing w:after="0"/>
              <w:rPr>
                <w:sz w:val="20"/>
                <w:szCs w:val="20"/>
                <w:color w:val="auto"/>
              </w:rPr>
            </w:pPr>
            <w:r>
              <w:rPr>
                <w:rFonts w:ascii="Times New Roman" w:cs="Times New Roman" w:eastAsia="Times New Roman" w:hAnsi="Times New Roman"/>
                <w:sz w:val="12"/>
                <w:szCs w:val="12"/>
                <w:b w:val="1"/>
                <w:bCs w:val="1"/>
                <w:color w:val="FFFFFF"/>
              </w:rPr>
              <w:t>NIS</w:t>
            </w:r>
          </w:p>
        </w:tc>
      </w:tr>
      <w:tr>
        <w:trPr>
          <w:trHeight w:val="132"/>
        </w:trPr>
        <w:tc>
          <w:tcPr>
            <w:tcW w:w="780" w:type="dxa"/>
            <w:vAlign w:val="bottom"/>
            <w:tcBorders>
              <w:bottom w:val="single" w:sz="8" w:color="auto"/>
              <w:right w:val="single" w:sz="8" w:color="auto"/>
            </w:tcBorders>
          </w:tcPr>
          <w:p>
            <w:pPr>
              <w:jc w:val="center"/>
              <w:spacing w:after="0" w:line="132" w:lineRule="exact"/>
              <w:rPr>
                <w:sz w:val="20"/>
                <w:szCs w:val="20"/>
                <w:color w:val="auto"/>
              </w:rPr>
            </w:pPr>
            <w:r>
              <w:rPr>
                <w:rFonts w:ascii="Times New Roman" w:cs="Times New Roman" w:eastAsia="Times New Roman" w:hAnsi="Times New Roman"/>
                <w:sz w:val="12"/>
                <w:szCs w:val="12"/>
                <w:color w:val="auto"/>
                <w:w w:val="95"/>
              </w:rPr>
              <w:t>1.17</w:t>
            </w:r>
          </w:p>
        </w:tc>
        <w:tc>
          <w:tcPr>
            <w:tcW w:w="740" w:type="dxa"/>
            <w:vAlign w:val="bottom"/>
            <w:tcBorders>
              <w:bottom w:val="single" w:sz="8" w:color="auto"/>
              <w:right w:val="single" w:sz="8" w:color="auto"/>
            </w:tcBorders>
          </w:tcPr>
          <w:p>
            <w:pPr>
              <w:ind w:left="240"/>
              <w:spacing w:after="0" w:line="132" w:lineRule="exact"/>
              <w:rPr>
                <w:sz w:val="20"/>
                <w:szCs w:val="20"/>
                <w:color w:val="auto"/>
              </w:rPr>
            </w:pPr>
            <w:r>
              <w:rPr>
                <w:rFonts w:ascii="Times New Roman" w:cs="Times New Roman" w:eastAsia="Times New Roman" w:hAnsi="Times New Roman"/>
                <w:sz w:val="12"/>
                <w:szCs w:val="12"/>
                <w:color w:val="auto"/>
              </w:rPr>
              <w:t>0.30</w:t>
            </w:r>
          </w:p>
        </w:tc>
      </w:tr>
      <w:tr>
        <w:trPr>
          <w:trHeight w:val="151"/>
        </w:trPr>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1.12</w:t>
            </w:r>
          </w:p>
        </w:tc>
        <w:tc>
          <w:tcPr>
            <w:tcW w:w="74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2"/>
                <w:szCs w:val="12"/>
                <w:color w:val="auto"/>
              </w:rPr>
              <w:t>0.27</w:t>
            </w:r>
          </w:p>
        </w:tc>
      </w:tr>
      <w:tr>
        <w:trPr>
          <w:trHeight w:val="304"/>
        </w:trPr>
        <w:tc>
          <w:tcPr>
            <w:tcW w:w="7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70"/>
        </w:trPr>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1.17</w:t>
            </w:r>
          </w:p>
        </w:tc>
        <w:tc>
          <w:tcPr>
            <w:tcW w:w="74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2"/>
                <w:szCs w:val="12"/>
                <w:color w:val="auto"/>
              </w:rPr>
              <w:t>0.30</w:t>
            </w:r>
          </w:p>
        </w:tc>
      </w:tr>
      <w:tr>
        <w:trPr>
          <w:trHeight w:val="131"/>
        </w:trPr>
        <w:tc>
          <w:tcPr>
            <w:tcW w:w="780" w:type="dxa"/>
            <w:vAlign w:val="bottom"/>
            <w:tcBorders>
              <w:left w:val="single" w:sz="8" w:color="auto"/>
              <w:bottom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w w:val="95"/>
              </w:rPr>
              <w:t>1.10</w:t>
            </w:r>
          </w:p>
        </w:tc>
        <w:tc>
          <w:tcPr>
            <w:tcW w:w="740" w:type="dxa"/>
            <w:vAlign w:val="bottom"/>
            <w:tcBorders>
              <w:bottom w:val="single" w:sz="8" w:color="auto"/>
              <w:right w:val="single" w:sz="8" w:color="auto"/>
            </w:tcBorders>
          </w:tcPr>
          <w:p>
            <w:pPr>
              <w:ind w:left="240"/>
              <w:spacing w:after="0" w:line="131" w:lineRule="exact"/>
              <w:rPr>
                <w:sz w:val="20"/>
                <w:szCs w:val="20"/>
                <w:color w:val="auto"/>
              </w:rPr>
            </w:pPr>
            <w:r>
              <w:rPr>
                <w:rFonts w:ascii="Times New Roman" w:cs="Times New Roman" w:eastAsia="Times New Roman" w:hAnsi="Times New Roman"/>
                <w:sz w:val="12"/>
                <w:szCs w:val="12"/>
                <w:color w:val="auto"/>
              </w:rPr>
              <w:t>0.27</w:t>
            </w:r>
          </w:p>
        </w:tc>
      </w:tr>
    </w:tbl>
    <w:p>
      <w:pPr>
        <w:spacing w:after="0" w:line="438" w:lineRule="exact"/>
        <w:rPr>
          <w:sz w:val="20"/>
          <w:szCs w:val="20"/>
          <w:color w:val="auto"/>
        </w:rPr>
      </w:pPr>
    </w:p>
    <w:p>
      <w:pPr>
        <w:sectPr>
          <w:pgSz w:w="11900" w:h="16838" w:orient="portrait"/>
          <w:cols w:equalWidth="0" w:num="2">
            <w:col w:w="5800" w:space="720"/>
            <w:col w:w="4760"/>
          </w:cols>
          <w:pgMar w:left="300" w:top="125" w:right="319" w:bottom="1440" w:gutter="0" w:footer="0" w:header="0"/>
          <w:type w:val="continuous"/>
        </w:sectPr>
      </w:pPr>
    </w:p>
    <w:p>
      <w:pPr>
        <w:ind w:right="260"/>
        <w:spacing w:after="0" w:line="295" w:lineRule="auto"/>
        <w:rPr>
          <w:sz w:val="20"/>
          <w:szCs w:val="20"/>
          <w:color w:val="auto"/>
        </w:rPr>
      </w:pPr>
      <w:r>
        <w:rPr>
          <w:rFonts w:ascii="Times New Roman" w:cs="Times New Roman" w:eastAsia="Times New Roman" w:hAnsi="Times New Roman"/>
          <w:sz w:val="12"/>
          <w:szCs w:val="12"/>
          <w:color w:val="auto"/>
        </w:rPr>
        <w:t>The Company has changed its Income Statement presentation starting with the 2024 full-year financial statements, which includes the presentation of specified items that have been previously included within other income (i.e. tax equity). In addition, the Company has decided to remove the Gross Profit line item.</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believes that such presentation provides a more relevant information and better reflects the measurement of its financial performance. The Company applied such a change retrospectively.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7804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210820</wp:posOffset>
            </wp:positionV>
            <wp:extent cx="7178040" cy="228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33" w:name="page34"/>
    <w:bookmarkEnd w:id="33"/>
    <w:p>
      <w:pPr>
        <w:ind w:left="9540"/>
        <w:spacing w:after="0"/>
        <w:rPr>
          <w:sz w:val="20"/>
          <w:szCs w:val="20"/>
          <w:color w:val="auto"/>
        </w:rPr>
      </w:pPr>
      <w:r>
        <w:rPr>
          <w:rFonts w:ascii="Times New Roman" w:cs="Times New Roman" w:eastAsia="Times New Roman" w:hAnsi="Times New Roman"/>
          <w:sz w:val="11"/>
          <w:szCs w:val="11"/>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168910</wp:posOffset>
            </wp:positionV>
            <wp:extent cx="71780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571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111760</wp:posOffset>
            </wp:positionV>
            <wp:extent cx="7218680" cy="42976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0" w:num="1">
            <w:col w:w="10160"/>
          </w:cols>
          <w:pgMar w:left="1440" w:top="323" w:right="299" w:bottom="1440"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205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19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376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8680" cy="43376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2"/>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lvl w:ilvl="1">
      <w:lvlJc w:val="left"/>
      <w:lvlText w:val="o"/>
      <w:numFmt w:val="bullet"/>
      <w:start w:val="1"/>
    </w:lvl>
  </w:abstractNum>
  <w:abstractNum w:abstractNumId="7">
    <w:nsid w:val="721DA317"/>
    <w:multiLevelType w:val="hybridMultilevel"/>
    <w:lvl w:ilvl="0">
      <w:lvlJc w:val="left"/>
      <w:lvlText w:val="3"/>
      <w:numFmt w:val="bullet"/>
      <w:start w:val="1"/>
    </w:lvl>
  </w:abstractNum>
  <w:abstractNum w:abstractNumId="8">
    <w:nsid w:val="2443A858"/>
    <w:multiLevelType w:val="hybridMultilevel"/>
    <w:lvl w:ilvl="0">
      <w:lvlJc w:val="left"/>
      <w:lvlText w:val="4"/>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o"/>
      <w:numFmt w:val="bullet"/>
      <w:start w:val="1"/>
    </w:lvl>
    <w:lvl w:ilvl="1">
      <w:lvlJc w:val="left"/>
      <w:lvlText w:val=" "/>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lvl w:ilvl="1">
      <w:lvlJc w:val="left"/>
      <w:lvlText w:val="o"/>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o"/>
      <w:numFmt w:val="bullet"/>
      <w:start w:val="1"/>
    </w:lvl>
  </w:abstractNum>
  <w:abstractNum w:abstractNumId="15">
    <w:nsid w:val="B03E0C6"/>
    <w:multiLevelType w:val="hybridMultilevel"/>
    <w:lvl w:ilvl="0">
      <w:lvlJc w:val="left"/>
      <w:lvlText w:val="5"/>
      <w:numFmt w:val="bullet"/>
      <w:start w:val="1"/>
    </w:lvl>
  </w:abstractNum>
  <w:abstractNum w:abstractNumId="16">
    <w:nsid w:val="189A769B"/>
    <w:multiLevelType w:val="hybridMultilevel"/>
    <w:lvl w:ilvl="0">
      <w:lvlJc w:val="left"/>
      <w:lvlText w:val="•"/>
      <w:numFmt w:val="bullet"/>
      <w:start w:val="1"/>
    </w:lvl>
    <w:lvl w:ilvl="1">
      <w:lvlJc w:val="left"/>
      <w:lvlText w:val="o"/>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6"/>
      <w:numFmt w:val="bullet"/>
      <w:start w:val="1"/>
    </w:lvl>
  </w:abstractNum>
  <w:abstractNum w:abstractNumId="20">
    <w:nsid w:val="836C40E"/>
    <w:multiLevelType w:val="hybridMultilevel"/>
    <w:lvl w:ilvl="0">
      <w:lvlJc w:val="left"/>
      <w:lvlText w:val="9"/>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G"/>
      <w:numFmt w:val="bullet"/>
      <w:start w:val="1"/>
    </w:lvl>
  </w:abstractNum>
  <w:abstractNum w:abstractNumId="29">
    <w:nsid w:val="4516DDE9"/>
    <w:multiLevelType w:val="hybridMultilevel"/>
    <w:lvl w:ilvl="0">
      <w:lvlJc w:val="left"/>
      <w:lvlText w:val="%1)"/>
      <w:numFmt w:val="lowerLetter"/>
      <w:start w:val="2"/>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lowerLetter"/>
      <w:start w:val="3"/>
    </w:lvl>
  </w:abstractNum>
  <w:abstractNum w:abstractNumId="32">
    <w:nsid w:val="419AC241"/>
    <w:multiLevelType w:val="hybridMultilevel"/>
    <w:lvl w:ilvl="0">
      <w:lvlJc w:val="left"/>
      <w:lvlText w:val="%1)"/>
      <w:numFmt w:val="lowerLetter"/>
      <w:start w:val="4"/>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2025-11-12T05:29:13Z</dcterms:created>
  <dcterms:modified xsi:type="dcterms:W3CDTF">2025-11-12T05:29:13Z</dcterms:modified>
</cp:coreProperties>
</file>