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Enlight Announces the Achievement of Development Milestones at the CO Bar Complex</w:t>
      </w:r>
    </w:p>
    <w:p>
      <w:pPr>
        <w:spacing w:after="0" w:line="23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announces the achievement of development milestones at the CO Bar complex (the “Complex”), including entry into a 1GW AC Large Generator Interconnection Agreement (“LGIA”) for the entire Complex, the full mobilization of CO Bar 1 and 2, and the signature of 20-year busbar Energy Storage Agreements (“ESA”)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Salt River Project (“SRP”), dated December 30, 2025, for CO Bar 4 and 5.</w:t>
      </w:r>
    </w:p>
    <w:p>
      <w:pPr>
        <w:spacing w:after="0" w:line="21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achievement of the milestones follows the prior completion of other development milestones for the CO Bar Complex, including securing of site control and permitting, signing a Power Purchase Agreement (PPA) and ESA for CO Bar 1-3. All major agreements required for the Complex have now been obtained.</w:t>
      </w:r>
    </w:p>
    <w:p>
      <w:pPr>
        <w:spacing w:after="0" w:line="19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Complex, located in Arizona, U.S.A., is composed of 5 solar power and energy storage projects totaling approximately 1.2 GW of solar power generation capacity and 4.0 GWh of energy storage capacity. The total Complex investment is expected to range between $2,860 and $3,010 million, the net Complex investment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is expected to range between $1,550 and $1,630 million, and the Complex is expected to generate revenue of $264-$278 million from the sale of electricity in its first full year of operation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right="260" w:firstLine="648"/>
        <w:spacing w:after="0" w:line="274" w:lineRule="auto"/>
        <w:rPr>
          <w:sz w:val="20"/>
          <w:szCs w:val="20"/>
          <w:color w:val="auto"/>
        </w:rPr>
      </w:pPr>
      <w:r>
        <w:rPr>
          <w:rFonts w:ascii="Times New Roman" w:cs="Times New Roman" w:eastAsia="Times New Roman" w:hAnsi="Times New Roman"/>
          <w:sz w:val="18"/>
          <w:szCs w:val="18"/>
          <w:color w:val="auto"/>
        </w:rPr>
        <w:t>All 5 projects were safe harbored in 2025. The construction of CO Bar 1 and 2 has mobilized to the next phase and CO Bar 3-5 are expected to fully mobilize additional construction in the next 12 months. CODs for the projects within the Complex are expected to occur in the second half of 2027 and the first half of 2028.</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summarize the Complex’s capacities: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80" w:type="dxa"/>
            <w:vAlign w:val="bottom"/>
            <w:tcBorders>
              <w:top w:val="single" w:sz="8" w:color="auto"/>
              <w:left w:val="single" w:sz="8" w:color="auto"/>
              <w:right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6"/>
              </w:rPr>
              <w:t>Project</w:t>
            </w:r>
          </w:p>
        </w:tc>
        <w:tc>
          <w:tcPr>
            <w:tcW w:w="100" w:type="dxa"/>
            <w:vAlign w:val="bottom"/>
            <w:tcBorders>
              <w:top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4"/>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Solar Generation Capacity</w:t>
            </w:r>
          </w:p>
        </w:tc>
        <w:tc>
          <w:tcPr>
            <w:tcW w:w="2080" w:type="dxa"/>
            <w:vAlign w:val="bottom"/>
            <w:tcBorders>
              <w:top w:val="single" w:sz="8" w:color="auto"/>
              <w:right w:val="single" w:sz="8" w:color="auto"/>
            </w:tcBorders>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rPr>
              <w:t>Energy Storage Capacity</w:t>
            </w:r>
          </w:p>
        </w:tc>
      </w:tr>
      <w:tr>
        <w:trPr>
          <w:trHeight w:val="196"/>
        </w:trPr>
        <w:tc>
          <w:tcPr>
            <w:tcW w:w="920" w:type="dxa"/>
            <w:vAlign w:val="bottom"/>
            <w:tcBorders>
              <w:left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800"/>
              <w:spacing w:after="0" w:line="196" w:lineRule="exact"/>
              <w:rPr>
                <w:sz w:val="20"/>
                <w:szCs w:val="20"/>
                <w:color w:val="auto"/>
              </w:rPr>
            </w:pPr>
            <w:r>
              <w:rPr>
                <w:rFonts w:ascii="Times New Roman" w:cs="Times New Roman" w:eastAsia="Times New Roman" w:hAnsi="Times New Roman"/>
                <w:sz w:val="18"/>
                <w:szCs w:val="18"/>
                <w:b w:val="1"/>
                <w:bCs w:val="1"/>
                <w:color w:val="auto"/>
              </w:rPr>
              <w:t>(MW)</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680"/>
              <w:spacing w:after="0" w:line="196" w:lineRule="exact"/>
              <w:rPr>
                <w:sz w:val="20"/>
                <w:szCs w:val="20"/>
                <w:color w:val="auto"/>
              </w:rPr>
            </w:pPr>
            <w:r>
              <w:rPr>
                <w:rFonts w:ascii="Times New Roman" w:cs="Times New Roman" w:eastAsia="Times New Roman" w:hAnsi="Times New Roman"/>
                <w:sz w:val="18"/>
                <w:szCs w:val="18"/>
                <w:b w:val="1"/>
                <w:bCs w:val="1"/>
                <w:color w:val="auto"/>
              </w:rPr>
              <w:t>(MWh)</w:t>
            </w:r>
          </w:p>
        </w:tc>
        <w:tc>
          <w:tcPr>
            <w:tcW w:w="80" w:type="dxa"/>
            <w:vAlign w:val="bottom"/>
            <w:tcBorders>
              <w:right w:val="single" w:sz="8" w:color="auto"/>
            </w:tcBorders>
          </w:tcPr>
          <w:p>
            <w:pPr>
              <w:spacing w:after="0"/>
              <w:rPr>
                <w:sz w:val="17"/>
                <w:szCs w:val="17"/>
                <w:color w:val="auto"/>
              </w:rPr>
            </w:pP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r>
      <w:tr>
        <w:trPr>
          <w:trHeight w:val="237"/>
        </w:trPr>
        <w:tc>
          <w:tcPr>
            <w:tcW w:w="23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 Bar 1</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258</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6"/>
              </w:rPr>
              <w:t>824</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7"/>
        </w:trPr>
        <w:tc>
          <w:tcPr>
            <w:tcW w:w="23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 Bar 2</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480</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6"/>
        </w:trPr>
        <w:tc>
          <w:tcPr>
            <w:tcW w:w="23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 Bar 3</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473</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37"/>
        </w:trPr>
        <w:tc>
          <w:tcPr>
            <w:tcW w:w="23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 Bar 4</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1,600</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r>
      <w:tr>
        <w:trPr>
          <w:trHeight w:val="253"/>
        </w:trPr>
        <w:tc>
          <w:tcPr>
            <w:tcW w:w="23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 Bar 5</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1,576</w:t>
            </w: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r>
      <w:tr>
        <w:trPr>
          <w:trHeight w:val="220"/>
        </w:trPr>
        <w:tc>
          <w:tcPr>
            <w:tcW w:w="920" w:type="dxa"/>
            <w:vAlign w:val="bottom"/>
            <w:tcBorders>
              <w:left w:val="single" w:sz="8" w:color="auto"/>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6"/>
              </w:rPr>
              <w:t>Toal</w:t>
            </w:r>
          </w:p>
        </w:tc>
        <w:tc>
          <w:tcPr>
            <w:tcW w:w="136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1,211</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4,000</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Exhibit 99.1) shall not be deemed to be “filed” for purposes of Section 18 of the Securities Exchange Act,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This Form 6-K (including Exhibit 99.1) is hereby incorporated by reference into the Company’s Registration Statement on Form S-8 (File No. 333-271297).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55" w:lineRule="exact"/>
        <w:rPr>
          <w:sz w:val="20"/>
          <w:szCs w:val="20"/>
          <w:color w:val="auto"/>
        </w:rPr>
      </w:pPr>
    </w:p>
    <w:p>
      <w:pPr>
        <w:ind w:right="20" w:firstLine="8"/>
        <w:spacing w:after="0" w:line="201" w:lineRule="auto"/>
        <w:tabs>
          <w:tab w:leader="none" w:pos="129"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Energy Storage Agreement (ESA) is the tolling agreement under which the battery energy storage system is available for the utility in exchange for regular, fixed payments.</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Complex investment net of tax benefits.</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Sale of electricity will commence gradually upon COD of each of the Complex’s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report on Form 6-K other than statements of historical fact, including, without limitation, statements regarding the Company’s expectations relating to projects, their financing, operational timeline, as well as estimated revenues and EBITDA,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timing of construction of any project;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disruptions in trade caused by political, social or economic instability in regions where our components and materials are made;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exposure to market prices in some of our offtake contracts;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the global expansion of the scale of our business operations; our ability to perform to expectations in our new line of business involving the construction of PV systems for municipalities in Israel;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increasingly complex tax laws of various jurisdictions in which we currently operate as well as the tax laws in jurisdictions in which we intend to operate in the future; our ability to obtain tax benefits and credits in the U.S. or jurisdictions; the unknown effect of the dual listing of our ordinary shares on the price of our ordinary shares; various risks related to our incorporation and location in Israel, including the ongoing war in Israel, where our headquarters and some of our wind energy and solar energy projects are located;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as may be updated in our other documents filed with or furnished to the SEC.</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operating performance and speak only as of the date of this Form 6-K.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tc>
      </w:tr>
      <w:tr>
        <w:trPr>
          <w:trHeight w:val="40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2026</w:t>
            </w:r>
          </w:p>
        </w:tc>
        <w:tc>
          <w:tcPr>
            <w:tcW w:w="75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Lisa Haimovitz</w:t>
            </w:r>
          </w:p>
        </w:tc>
      </w:tr>
      <w:tr>
        <w:trPr>
          <w:trHeight w:val="245"/>
        </w:trPr>
        <w:tc>
          <w:tcPr>
            <w:tcW w:w="3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Lisa Haimovitz</w:t>
            </w:r>
          </w:p>
        </w:tc>
        <w:tc>
          <w:tcPr>
            <w:tcW w:w="3940" w:type="dxa"/>
            <w:vAlign w:val="bottom"/>
          </w:tcPr>
          <w:p>
            <w:pPr>
              <w:spacing w:after="0"/>
              <w:rPr>
                <w:sz w:val="21"/>
                <w:szCs w:val="21"/>
                <w:color w:val="auto"/>
              </w:rPr>
            </w:pP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VP General Counsel</w:t>
            </w:r>
          </w:p>
        </w:tc>
      </w:tr>
      <w:tr>
        <w:trPr>
          <w:trHeight w:val="32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63"/>
        </w:trPr>
        <w:tc>
          <w:tcPr>
            <w:tcW w:w="36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2026-02-02T07:19:16Z</dcterms:created>
  <dcterms:modified xsi:type="dcterms:W3CDTF">2026-02-02T07:19:16Z</dcterms:modified>
</cp:coreProperties>
</file>