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5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5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For the month of August 2025</w:t>
      </w:r>
    </w:p>
    <w:p>
      <w:pPr>
        <w:spacing w:after="0" w:line="16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Commission File Number: 001-41613</w:t>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Enlight Renewable Energy Ltd.</w:t>
      </w:r>
    </w:p>
    <w:p>
      <w:pPr>
        <w:spacing w:after="0" w:line="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13 Amal St., Afek Industrial Park</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Rosh Ha’ayin, Israel</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+ 972 (3) 900-8700</w:t>
      </w:r>
    </w:p>
    <w:p>
      <w:pPr>
        <w:spacing w:after="0" w:line="1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(Address of principal executive office)</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1" w:lineRule="exact"/>
        <w:rPr>
          <w:sz w:val="24"/>
          <w:szCs w:val="24"/>
          <w:color w:val="auto"/>
        </w:rPr>
      </w:pPr>
    </w:p>
    <w:p>
      <w:pPr>
        <w:ind w:left="4900"/>
        <w:spacing w:after="0" w:line="138" w:lineRule="exact"/>
        <w:tabs>
          <w:tab w:leader="none" w:pos="572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Form 40-F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205740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53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EXPLANATORY NOTE</w:t>
      </w:r>
    </w:p>
    <w:p>
      <w:pPr>
        <w:spacing w:after="0" w:line="1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2"/>
          <w:szCs w:val="12"/>
          <w:color w:val="auto"/>
        </w:rPr>
        <w:t>On August 6, 2025, Enlight Renewable Energy Ltd.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issued a press release titled: “Enlight Renewable Energy Reports Second Quarter 2025 Financial Results” and will conduct a conference call using a presentation titled: “Enlight Earnings Presentation Second Quarter 2025.” Details of the conference call are provided in the press release. A copy of the press release, as well as supplemental appendices containing further information regarding the Company’s financial results for the six-month period ended June 30, 2025, and other operational updates, is furnished as Exhibit 99.1 herewith and a copy of the presentation is furnished as Exhibit 99.2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Incorporation by Reference</w:t>
      </w:r>
    </w:p>
    <w:p>
      <w:pPr>
        <w:spacing w:after="0" w:line="15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2"/>
          <w:szCs w:val="12"/>
          <w:color w:val="auto"/>
        </w:rPr>
        <w:t>Other than as indicated below, the information in this Form 6-K (including in Exhibits 99.1 and 99.2)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nor shall it be deemed incorporated by reference in any filing under the Securities Act of 1933, as amended, or the Exchange Act.</w:t>
      </w:r>
    </w:p>
    <w:p>
      <w:pPr>
        <w:spacing w:after="0" w:line="10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2"/>
          <w:szCs w:val="12"/>
          <w:color w:val="auto"/>
        </w:rPr>
        <w:t>The IFRS financial information contained in the (i) consolidated statements of financial position, (ii) consolidated statements of income and (iii) consolidated statements of cash flows included in the press release attached as Exhibit 99.1 to this Report on Form 6-K is hereby incorporated by reference into the Company’s Registration Statement on Form S-8 (File No. 333-271297).</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INDEX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 is furnished as part of this Form 6-K:</w:t>
      </w:r>
    </w:p>
    <w:p>
      <w:pPr>
        <w:spacing w:after="0" w:line="15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u w:val="single" w:color="auto"/>
          <w:color w:val="auto"/>
        </w:rPr>
        <w:t>Exhibit</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1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2"/>
          <w:szCs w:val="12"/>
          <w:u w:val="single" w:color="auto"/>
          <w:color w:val="0000EE"/>
        </w:rPr>
        <w:t>Press Release of Enlight Renewable Energy Ltd., dated August 6, 2025, titled: “Enlight Renewable Energy Reports Second Quarter 2025 Financial Results”.</w:t>
      </w:r>
    </w:p>
    <w:p>
      <w:pPr>
        <w:spacing w:after="0" w:line="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u w:val="single" w:color="auto"/>
          <w:color w:val="0000EE"/>
        </w:rPr>
        <w:t>99.2</w:t>
      </w:r>
      <w:r>
        <w:rPr>
          <w:sz w:val="20"/>
          <w:szCs w:val="20"/>
          <w:color w:val="auto"/>
        </w:rPr>
        <w:tab/>
      </w:r>
      <w:r>
        <w:rPr>
          <w:rFonts w:ascii="Times New Roman" w:cs="Times New Roman" w:eastAsia="Times New Roman" w:hAnsi="Times New Roman"/>
          <w:sz w:val="12"/>
          <w:szCs w:val="12"/>
          <w:u w:val="single" w:color="auto"/>
          <w:color w:val="0000EE"/>
        </w:rPr>
        <w:t>Enlight Earnings Presentation Second Quarter 2025.</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80" w:type="dxa"/>
            <w:vAlign w:val="bottom"/>
          </w:tcPr>
          <w:p>
            <w:pPr>
              <w:spacing w:after="0"/>
              <w:rPr>
                <w:sz w:val="13"/>
                <w:szCs w:val="13"/>
                <w:color w:val="auto"/>
              </w:rPr>
            </w:pPr>
          </w:p>
        </w:tc>
        <w:tc>
          <w:tcPr>
            <w:tcW w:w="8120" w:type="dxa"/>
            <w:vAlign w:val="bottom"/>
            <w:gridSpan w:val="3"/>
          </w:tcPr>
          <w:p>
            <w:pPr>
              <w:ind w:left="2180"/>
              <w:spacing w:after="0"/>
              <w:rPr>
                <w:sz w:val="20"/>
                <w:szCs w:val="20"/>
                <w:color w:val="auto"/>
              </w:rPr>
            </w:pPr>
            <w:r>
              <w:rPr>
                <w:rFonts w:ascii="Times New Roman" w:cs="Times New Roman" w:eastAsia="Times New Roman" w:hAnsi="Times New Roman"/>
                <w:sz w:val="12"/>
                <w:szCs w:val="12"/>
                <w:b w:val="1"/>
                <w:bCs w:val="1"/>
                <w:color w:val="auto"/>
              </w:rPr>
              <w:t>Enlight Renewable Energy Ltd.</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Date: August 6, 2025</w:t>
            </w:r>
          </w:p>
        </w:tc>
        <w:tc>
          <w:tcPr>
            <w:tcW w:w="2400" w:type="dxa"/>
            <w:vAlign w:val="bottom"/>
          </w:tcPr>
          <w:p>
            <w:pPr>
              <w:ind w:left="2180"/>
              <w:spacing w:after="0"/>
              <w:rPr>
                <w:sz w:val="20"/>
                <w:szCs w:val="20"/>
                <w:color w:val="auto"/>
              </w:rPr>
            </w:pPr>
            <w:r>
              <w:rPr>
                <w:rFonts w:ascii="Times New Roman" w:cs="Times New Roman" w:eastAsia="Times New Roman" w:hAnsi="Times New Roman"/>
                <w:sz w:val="12"/>
                <w:szCs w:val="12"/>
                <w:color w:val="auto"/>
              </w:rPr>
              <w:t>By:</w:t>
            </w:r>
          </w:p>
        </w:tc>
        <w:tc>
          <w:tcPr>
            <w:tcW w:w="28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Lisa Haimovitz</w:t>
            </w:r>
          </w:p>
        </w:tc>
      </w:tr>
      <w:tr>
        <w:trPr>
          <w:trHeight w:val="140"/>
        </w:trPr>
        <w:tc>
          <w:tcPr>
            <w:tcW w:w="3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Lisa Haimovitz</w:t>
            </w:r>
          </w:p>
        </w:tc>
      </w:tr>
      <w:tr>
        <w:trPr>
          <w:trHeight w:val="155"/>
        </w:trPr>
        <w:tc>
          <w:tcPr>
            <w:tcW w:w="3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VP GC</w:t>
            </w:r>
          </w:p>
        </w:tc>
      </w:tr>
      <w:tr>
        <w:trPr>
          <w:trHeight w:val="297"/>
        </w:trPr>
        <w:tc>
          <w:tcPr>
            <w:tcW w:w="3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3</w:t>
            </w:r>
          </w:p>
        </w:tc>
        <w:tc>
          <w:tcPr>
            <w:tcW w:w="5440" w:type="dxa"/>
            <w:vAlign w:val="bottom"/>
          </w:tcPr>
          <w:p>
            <w:pPr>
              <w:spacing w:after="0"/>
              <w:rPr>
                <w:sz w:val="24"/>
                <w:szCs w:val="24"/>
                <w:color w:val="auto"/>
              </w:rPr>
            </w:pPr>
          </w:p>
        </w:tc>
      </w:tr>
      <w:tr>
        <w:trPr>
          <w:trHeight w:val="54"/>
        </w:trPr>
        <w:tc>
          <w:tcPr>
            <w:tcW w:w="31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r>
      <w:tr>
        <w:trPr>
          <w:trHeight w:val="95"/>
        </w:trPr>
        <w:tc>
          <w:tcPr>
            <w:tcW w:w="318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r>
    </w:tbl>
    <w:p>
      <w:pPr>
        <w:sectPr>
          <w:pgSz w:w="11900" w:h="16838" w:orient="portrait"/>
          <w:cols w:equalWidth="0" w:num="1">
            <w:col w:w="11300"/>
          </w:cols>
          <w:pgMar w:left="300" w:top="125"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104775</wp:posOffset>
            </wp:positionV>
            <wp:extent cx="760095" cy="302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0095" cy="302895"/>
                    </a:xfrm>
                    <a:prstGeom prst="rect">
                      <a:avLst/>
                    </a:prstGeom>
                    <a:noFill/>
                  </pic:spPr>
                </pic:pic>
              </a:graphicData>
            </a:graphic>
          </wp:anchor>
        </w:drawing>
      </w:r>
    </w:p>
    <w:p>
      <w:pPr>
        <w:spacing w:after="0" w:line="27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ENLIGHT RENEWABLE ENERGY REPORTS</w:t>
      </w:r>
    </w:p>
    <w:p>
      <w:pPr>
        <w:spacing w:after="0" w:line="35"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SECOND QUARTER 2025 FINANCIAL RESULTS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All of the amounts disclosed in this press release are in U.S. dollars unless otherwise noted</w:t>
      </w:r>
    </w:p>
    <w:p>
      <w:pPr>
        <w:spacing w:after="0" w:line="157" w:lineRule="exact"/>
        <w:rPr>
          <w:sz w:val="20"/>
          <w:szCs w:val="20"/>
          <w:color w:val="auto"/>
        </w:rPr>
      </w:pPr>
    </w:p>
    <w:p>
      <w:pPr>
        <w:ind w:left="8"/>
        <w:spacing w:after="0" w:line="317" w:lineRule="auto"/>
        <w:rPr>
          <w:sz w:val="20"/>
          <w:szCs w:val="20"/>
          <w:color w:val="auto"/>
        </w:rPr>
      </w:pPr>
      <w:r>
        <w:rPr>
          <w:rFonts w:ascii="Arial" w:cs="Arial" w:eastAsia="Arial" w:hAnsi="Arial"/>
          <w:sz w:val="12"/>
          <w:szCs w:val="12"/>
          <w:color w:val="auto"/>
        </w:rPr>
        <w:t>TEL AVIV, ISRAEL, August 6, 2025 – Enlight Renewable Energy (NASDAQ: ENLT, TASE: ENLT) today reported financial results for the second quarter of 2025 ending June 30, 2025. Registration links for the Company’s earnings English and Hebrew conference call and webcasts can be found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85025" cy="235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5025" cy="235585"/>
                    </a:xfrm>
                    <a:prstGeom prst="rect">
                      <a:avLst/>
                    </a:prstGeom>
                    <a:noFill/>
                  </pic:spPr>
                </pic:pic>
              </a:graphicData>
            </a:graphic>
          </wp:anchor>
        </w:drawing>
      </w:r>
    </w:p>
    <w:p>
      <w:pPr>
        <w:spacing w:after="0" w:line="182" w:lineRule="exact"/>
        <w:rPr>
          <w:sz w:val="20"/>
          <w:szCs w:val="20"/>
          <w:color w:val="auto"/>
        </w:rPr>
      </w:pPr>
    </w:p>
    <w:p>
      <w:pPr>
        <w:ind w:left="108"/>
        <w:spacing w:after="0"/>
        <w:rPr>
          <w:sz w:val="20"/>
          <w:szCs w:val="20"/>
          <w:color w:val="auto"/>
        </w:rPr>
      </w:pPr>
      <w:r>
        <w:rPr>
          <w:rFonts w:ascii="Arial" w:cs="Arial" w:eastAsia="Arial" w:hAnsi="Arial"/>
          <w:sz w:val="12"/>
          <w:szCs w:val="12"/>
          <w:b w:val="1"/>
          <w:bCs w:val="1"/>
          <w:color w:val="auto"/>
        </w:rPr>
        <w:t xml:space="preserve">The entire suite of the Company’s 2Q25 financial results can be found on our IR website at </w:t>
      </w:r>
      <w:r>
        <w:rPr>
          <w:rFonts w:ascii="Arial" w:cs="Arial" w:eastAsia="Arial" w:hAnsi="Arial"/>
          <w:sz w:val="12"/>
          <w:szCs w:val="12"/>
          <w:b w:val="1"/>
          <w:bCs w:val="1"/>
          <w:color w:val="0563C1"/>
        </w:rPr>
        <w:t>https://enlightenergy.co.il/data/financial-reports/</w:t>
      </w:r>
    </w:p>
    <w:p>
      <w:pPr>
        <w:spacing w:after="0" w:line="27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Highlights</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6 months ending June 30, 2025</w:t>
      </w:r>
    </w:p>
    <w:p>
      <w:pPr>
        <w:spacing w:after="0" w:line="157" w:lineRule="exact"/>
        <w:rPr>
          <w:sz w:val="20"/>
          <w:szCs w:val="20"/>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color w:val="auto"/>
        </w:rPr>
        <w:t>Revenue and income of $265m, up 46% year over year</w:t>
      </w:r>
    </w:p>
    <w:p>
      <w:pPr>
        <w:spacing w:after="0" w:line="15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color w:val="auto"/>
        </w:rPr>
        <w:t>Net income of $107m, up 216% year over year</w:t>
      </w:r>
    </w:p>
    <w:p>
      <w:pPr>
        <w:spacing w:after="0" w:line="142"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color w:val="auto"/>
        </w:rPr>
        <w:t>Adjusted EBITDA</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of $227, up 71% year over year</w:t>
      </w:r>
    </w:p>
    <w:p>
      <w:pPr>
        <w:spacing w:after="0" w:line="8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color w:val="auto"/>
        </w:rPr>
        <w:t>Cash flow from operations of $91m, unchanged year over year</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3 months ending June 30, 2025</w:t>
      </w:r>
    </w:p>
    <w:p>
      <w:pPr>
        <w:spacing w:after="0" w:line="157"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Revenues and income of $135m, up 53% year over year</w:t>
      </w:r>
    </w:p>
    <w:p>
      <w:pPr>
        <w:spacing w:after="0" w:line="15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Net Income of $6m, down 41% year over year</w:t>
      </w:r>
      <w:r>
        <w:rPr>
          <w:rFonts w:ascii="Arial" w:cs="Arial" w:eastAsia="Arial" w:hAnsi="Arial"/>
          <w:sz w:val="19"/>
          <w:szCs w:val="19"/>
          <w:color w:val="auto"/>
          <w:vertAlign w:val="superscript"/>
        </w:rPr>
        <w:t>1</w:t>
      </w:r>
    </w:p>
    <w:p>
      <w:pPr>
        <w:spacing w:after="0" w:line="6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Adjusted EBITDA</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of $96m, up 57% year over year</w:t>
      </w:r>
    </w:p>
    <w:p>
      <w:pPr>
        <w:spacing w:after="0" w:line="85"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Cash flow from operations of $48m, down 15%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9899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9965" cy="57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8" w:hanging="88"/>
        <w:spacing w:after="0"/>
        <w:tabs>
          <w:tab w:leader="none" w:pos="88"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An accounting reduction of $12m due to the impact of foreign exchange differentials on a dollar-denominated loan to a subsidiary, with no economic or cashflow effects on the Company.</w:t>
      </w:r>
    </w:p>
    <w:p>
      <w:pPr>
        <w:spacing w:after="0" w:line="103" w:lineRule="exact"/>
        <w:rPr>
          <w:sz w:val="20"/>
          <w:szCs w:val="20"/>
          <w:color w:val="auto"/>
        </w:rPr>
      </w:pPr>
    </w:p>
    <w:p>
      <w:pPr>
        <w:ind w:left="8" w:hanging="8"/>
        <w:spacing w:after="0" w:line="195" w:lineRule="auto"/>
        <w:tabs>
          <w:tab w:leader="none" w:pos="85" w:val="left"/>
        </w:tabs>
        <w:numPr>
          <w:ilvl w:val="0"/>
          <w:numId w:val="4"/>
        </w:numPr>
        <w:rPr>
          <w:rFonts w:ascii="Calibri" w:cs="Calibri" w:eastAsia="Calibri" w:hAnsi="Calibri"/>
          <w:sz w:val="20"/>
          <w:szCs w:val="20"/>
          <w:color w:val="auto"/>
          <w:vertAlign w:val="superscript"/>
        </w:rPr>
      </w:pPr>
      <w:r>
        <w:rPr>
          <w:rFonts w:ascii="Arial" w:cs="Arial" w:eastAsia="Arial" w:hAnsi="Arial"/>
          <w:sz w:val="12"/>
          <w:szCs w:val="12"/>
          <w:color w:val="auto"/>
        </w:rPr>
        <w:t>The Company is unable to provide a reconciliation of Adjusted EBITDA to Net Income on a forward-looking basis without unreasonable effort because items that impact this IFRS financial measure are not within the Company’s control and/or cannot be reasonably predicted. Please refer to the reconciliation table in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23" w:right="299" w:bottom="1440" w:gutter="0" w:footer="0" w:header="0"/>
        </w:sectPr>
      </w:pPr>
    </w:p>
    <w:bookmarkStart w:id="4" w:name="page5"/>
    <w:bookmarkEnd w:id="4"/>
    <w:p>
      <w:pPr>
        <w:ind w:left="8"/>
        <w:spacing w:after="0"/>
        <w:rPr>
          <w:sz w:val="20"/>
          <w:szCs w:val="20"/>
          <w:color w:val="auto"/>
        </w:rPr>
      </w:pPr>
      <w:r>
        <w:rPr>
          <w:rFonts w:ascii="Arial" w:cs="Arial" w:eastAsia="Arial" w:hAnsi="Arial"/>
          <w:sz w:val="12"/>
          <w:szCs w:val="12"/>
          <w:b w:val="1"/>
          <w:bCs w:val="1"/>
          <w:color w:val="auto"/>
        </w:rPr>
        <w:t>Summary of key financial results for 2Q25 and 1H25</w:t>
      </w:r>
    </w:p>
    <w:p>
      <w:pPr>
        <w:spacing w:after="0" w:line="161" w:lineRule="exact"/>
        <w:rPr>
          <w:sz w:val="20"/>
          <w:szCs w:val="20"/>
          <w:color w:val="auto"/>
        </w:rPr>
      </w:pPr>
    </w:p>
    <w:tbl>
      <w:tblPr>
        <w:tblLayout w:type="fixed"/>
        <w:tblInd w:w="18" w:type="dxa"/>
        <w:tblCellMar>
          <w:top w:w="0" w:type="dxa"/>
          <w:left w:w="0" w:type="dxa"/>
          <w:bottom w:w="0" w:type="dxa"/>
          <w:right w:w="0" w:type="dxa"/>
        </w:tblCellMar>
      </w:tblPr>
      <w:tr>
        <w:trPr>
          <w:trHeight w:val="230"/>
        </w:trPr>
        <w:tc>
          <w:tcPr>
            <w:tcW w:w="2480" w:type="dxa"/>
            <w:vAlign w:val="bottom"/>
            <w:tcBorders>
              <w:top w:val="single" w:sz="8" w:color="auto"/>
              <w:left w:val="single" w:sz="8" w:color="auto"/>
              <w:bottom w:val="single" w:sz="8" w:color="E7E6E6"/>
            </w:tcBorders>
            <w:shd w:val="clear" w:color="auto" w:fill="E7E6E6"/>
          </w:tcPr>
          <w:p>
            <w:pPr>
              <w:spacing w:after="0"/>
              <w:rPr>
                <w:sz w:val="19"/>
                <w:szCs w:val="19"/>
                <w:color w:val="auto"/>
              </w:rPr>
            </w:pPr>
          </w:p>
        </w:tc>
        <w:tc>
          <w:tcPr>
            <w:tcW w:w="1240" w:type="dxa"/>
            <w:vAlign w:val="bottom"/>
            <w:tcBorders>
              <w:top w:val="single" w:sz="8" w:color="auto"/>
              <w:bottom w:val="single" w:sz="8" w:color="E7E6E6"/>
            </w:tcBorders>
            <w:shd w:val="clear" w:color="auto" w:fill="E7E6E6"/>
          </w:tcPr>
          <w:p>
            <w:pPr>
              <w:spacing w:after="0"/>
              <w:rPr>
                <w:sz w:val="19"/>
                <w:szCs w:val="19"/>
                <w:color w:val="auto"/>
              </w:rPr>
            </w:pPr>
          </w:p>
        </w:tc>
        <w:tc>
          <w:tcPr>
            <w:tcW w:w="1980" w:type="dxa"/>
            <w:vAlign w:val="bottom"/>
            <w:tcBorders>
              <w:top w:val="single" w:sz="8" w:color="auto"/>
              <w:bottom w:val="single" w:sz="8" w:color="E7E6E6"/>
            </w:tcBorders>
            <w:shd w:val="clear" w:color="auto" w:fill="E7E6E6"/>
          </w:tcPr>
          <w:p>
            <w:pPr>
              <w:jc w:val="center"/>
              <w:spacing w:after="0"/>
              <w:rPr>
                <w:sz w:val="20"/>
                <w:szCs w:val="20"/>
                <w:color w:val="auto"/>
              </w:rPr>
            </w:pPr>
            <w:r>
              <w:rPr>
                <w:rFonts w:ascii="Arial" w:cs="Arial" w:eastAsia="Arial" w:hAnsi="Arial"/>
                <w:sz w:val="12"/>
                <w:szCs w:val="12"/>
                <w:b w:val="1"/>
                <w:bCs w:val="1"/>
                <w:color w:val="auto"/>
                <w:w w:val="99"/>
              </w:rPr>
              <w:t>For the three months ended</w:t>
            </w:r>
          </w:p>
        </w:tc>
        <w:tc>
          <w:tcPr>
            <w:tcW w:w="1220" w:type="dxa"/>
            <w:vAlign w:val="bottom"/>
            <w:tcBorders>
              <w:top w:val="single" w:sz="8" w:color="auto"/>
              <w:bottom w:val="single" w:sz="8" w:color="E7E6E6"/>
            </w:tcBorders>
            <w:shd w:val="clear" w:color="auto" w:fill="E7E6E6"/>
          </w:tcPr>
          <w:p>
            <w:pPr>
              <w:spacing w:after="0"/>
              <w:rPr>
                <w:sz w:val="19"/>
                <w:szCs w:val="19"/>
                <w:color w:val="auto"/>
              </w:rPr>
            </w:pPr>
          </w:p>
        </w:tc>
        <w:tc>
          <w:tcPr>
            <w:tcW w:w="1280" w:type="dxa"/>
            <w:vAlign w:val="bottom"/>
            <w:tcBorders>
              <w:top w:val="single" w:sz="8" w:color="auto"/>
              <w:bottom w:val="single" w:sz="8" w:color="E7E6E6"/>
            </w:tcBorders>
            <w:shd w:val="clear" w:color="auto" w:fill="E7E6E6"/>
          </w:tcPr>
          <w:p>
            <w:pPr>
              <w:spacing w:after="0"/>
              <w:rPr>
                <w:sz w:val="19"/>
                <w:szCs w:val="19"/>
                <w:color w:val="auto"/>
              </w:rPr>
            </w:pPr>
          </w:p>
        </w:tc>
        <w:tc>
          <w:tcPr>
            <w:tcW w:w="1880" w:type="dxa"/>
            <w:vAlign w:val="bottom"/>
            <w:tcBorders>
              <w:top w:val="single" w:sz="8" w:color="auto"/>
              <w:bottom w:val="single" w:sz="8" w:color="E7E6E6"/>
            </w:tcBorders>
            <w:shd w:val="clear" w:color="auto" w:fill="E7E6E6"/>
          </w:tcPr>
          <w:p>
            <w:pPr>
              <w:jc w:val="right"/>
              <w:ind w:right="140"/>
              <w:spacing w:after="0"/>
              <w:rPr>
                <w:sz w:val="20"/>
                <w:szCs w:val="20"/>
                <w:color w:val="auto"/>
              </w:rPr>
            </w:pPr>
            <w:r>
              <w:rPr>
                <w:rFonts w:ascii="Arial" w:cs="Arial" w:eastAsia="Arial" w:hAnsi="Arial"/>
                <w:sz w:val="12"/>
                <w:szCs w:val="12"/>
                <w:b w:val="1"/>
                <w:bCs w:val="1"/>
                <w:color w:val="auto"/>
              </w:rPr>
              <w:t>For the six months ended</w:t>
            </w:r>
          </w:p>
        </w:tc>
        <w:tc>
          <w:tcPr>
            <w:tcW w:w="1220" w:type="dxa"/>
            <w:vAlign w:val="bottom"/>
            <w:tcBorders>
              <w:top w:val="single" w:sz="8" w:color="auto"/>
              <w:bottom w:val="single" w:sz="8" w:color="E7E6E6"/>
              <w:right w:val="single" w:sz="8" w:color="auto"/>
            </w:tcBorders>
            <w:shd w:val="clear" w:color="auto" w:fill="E7E6E6"/>
          </w:tcPr>
          <w:p>
            <w:pPr>
              <w:spacing w:after="0"/>
              <w:rPr>
                <w:sz w:val="19"/>
                <w:szCs w:val="19"/>
                <w:color w:val="auto"/>
              </w:rPr>
            </w:pPr>
          </w:p>
        </w:tc>
      </w:tr>
      <w:tr>
        <w:trPr>
          <w:trHeight w:val="219"/>
        </w:trPr>
        <w:tc>
          <w:tcPr>
            <w:tcW w:w="2480" w:type="dxa"/>
            <w:vAlign w:val="bottom"/>
            <w:tcBorders>
              <w:top w:val="single" w:sz="8" w:color="auto"/>
              <w:left w:val="single" w:sz="8" w:color="auto"/>
              <w:bottom w:val="single" w:sz="8" w:color="E7E6E6"/>
            </w:tcBorders>
            <w:shd w:val="clear" w:color="auto" w:fill="E7E6E6"/>
          </w:tcPr>
          <w:p>
            <w:pPr>
              <w:ind w:left="940"/>
              <w:spacing w:after="0"/>
              <w:rPr>
                <w:sz w:val="20"/>
                <w:szCs w:val="20"/>
                <w:color w:val="auto"/>
              </w:rPr>
            </w:pPr>
            <w:r>
              <w:rPr>
                <w:rFonts w:ascii="Arial" w:cs="Arial" w:eastAsia="Arial" w:hAnsi="Arial"/>
                <w:sz w:val="12"/>
                <w:szCs w:val="12"/>
                <w:b w:val="1"/>
                <w:bCs w:val="1"/>
                <w:color w:val="auto"/>
              </w:rPr>
              <w:t>($ millions)</w:t>
            </w:r>
          </w:p>
        </w:tc>
        <w:tc>
          <w:tcPr>
            <w:tcW w:w="1240" w:type="dxa"/>
            <w:vAlign w:val="bottom"/>
            <w:tcBorders>
              <w:top w:val="single" w:sz="8" w:color="auto"/>
              <w:bottom w:val="single" w:sz="8" w:color="E7E6E6"/>
            </w:tcBorders>
            <w:shd w:val="clear" w:color="auto" w:fill="E7E6E6"/>
          </w:tcPr>
          <w:p>
            <w:pPr>
              <w:jc w:val="center"/>
              <w:ind w:left="180"/>
              <w:spacing w:after="0"/>
              <w:rPr>
                <w:sz w:val="20"/>
                <w:szCs w:val="20"/>
                <w:color w:val="auto"/>
              </w:rPr>
            </w:pPr>
            <w:r>
              <w:rPr>
                <w:rFonts w:ascii="Arial" w:cs="Arial" w:eastAsia="Arial" w:hAnsi="Arial"/>
                <w:sz w:val="12"/>
                <w:szCs w:val="12"/>
                <w:b w:val="1"/>
                <w:bCs w:val="1"/>
                <w:color w:val="auto"/>
                <w:w w:val="99"/>
              </w:rPr>
              <w:t>30/06/2025</w:t>
            </w:r>
          </w:p>
        </w:tc>
        <w:tc>
          <w:tcPr>
            <w:tcW w:w="1980" w:type="dxa"/>
            <w:vAlign w:val="bottom"/>
            <w:tcBorders>
              <w:top w:val="single" w:sz="8" w:color="auto"/>
              <w:bottom w:val="single" w:sz="8" w:color="E7E6E6"/>
            </w:tcBorders>
            <w:shd w:val="clear" w:color="auto" w:fill="E7E6E6"/>
          </w:tcPr>
          <w:p>
            <w:pPr>
              <w:jc w:val="right"/>
              <w:ind w:right="640"/>
              <w:spacing w:after="0"/>
              <w:rPr>
                <w:sz w:val="20"/>
                <w:szCs w:val="20"/>
                <w:color w:val="auto"/>
              </w:rPr>
            </w:pPr>
            <w:r>
              <w:rPr>
                <w:rFonts w:ascii="Arial" w:cs="Arial" w:eastAsia="Arial" w:hAnsi="Arial"/>
                <w:sz w:val="12"/>
                <w:szCs w:val="12"/>
                <w:b w:val="1"/>
                <w:bCs w:val="1"/>
                <w:color w:val="auto"/>
              </w:rPr>
              <w:t>30/06/2024</w:t>
            </w:r>
          </w:p>
        </w:tc>
        <w:tc>
          <w:tcPr>
            <w:tcW w:w="1220" w:type="dxa"/>
            <w:vAlign w:val="bottom"/>
            <w:tcBorders>
              <w:top w:val="single" w:sz="8" w:color="auto"/>
              <w:bottom w:val="single" w:sz="8" w:color="E7E6E6"/>
            </w:tcBorders>
            <w:shd w:val="clear" w:color="auto" w:fill="E7E6E6"/>
          </w:tcPr>
          <w:p>
            <w:pPr>
              <w:jc w:val="right"/>
              <w:ind w:right="400"/>
              <w:spacing w:after="0"/>
              <w:rPr>
                <w:sz w:val="20"/>
                <w:szCs w:val="20"/>
                <w:color w:val="auto"/>
              </w:rPr>
            </w:pPr>
            <w:r>
              <w:rPr>
                <w:rFonts w:ascii="Arial" w:cs="Arial" w:eastAsia="Arial" w:hAnsi="Arial"/>
                <w:sz w:val="12"/>
                <w:szCs w:val="12"/>
                <w:b w:val="1"/>
                <w:bCs w:val="1"/>
                <w:color w:val="auto"/>
              </w:rPr>
              <w:t>% change</w:t>
            </w:r>
          </w:p>
        </w:tc>
        <w:tc>
          <w:tcPr>
            <w:tcW w:w="1280" w:type="dxa"/>
            <w:vAlign w:val="bottom"/>
            <w:tcBorders>
              <w:top w:val="single" w:sz="8" w:color="auto"/>
              <w:bottom w:val="single" w:sz="8" w:color="E7E6E6"/>
            </w:tcBorders>
            <w:shd w:val="clear" w:color="auto" w:fill="E7E6E6"/>
          </w:tcPr>
          <w:p>
            <w:pPr>
              <w:jc w:val="right"/>
              <w:ind w:right="180"/>
              <w:spacing w:after="0"/>
              <w:rPr>
                <w:sz w:val="20"/>
                <w:szCs w:val="20"/>
                <w:color w:val="auto"/>
              </w:rPr>
            </w:pPr>
            <w:r>
              <w:rPr>
                <w:rFonts w:ascii="Arial" w:cs="Arial" w:eastAsia="Arial" w:hAnsi="Arial"/>
                <w:sz w:val="12"/>
                <w:szCs w:val="12"/>
                <w:b w:val="1"/>
                <w:bCs w:val="1"/>
                <w:color w:val="auto"/>
              </w:rPr>
              <w:t>30/06/2025</w:t>
            </w:r>
          </w:p>
        </w:tc>
        <w:tc>
          <w:tcPr>
            <w:tcW w:w="1880" w:type="dxa"/>
            <w:vAlign w:val="bottom"/>
            <w:tcBorders>
              <w:top w:val="single" w:sz="8" w:color="auto"/>
              <w:bottom w:val="single" w:sz="8" w:color="E7E6E6"/>
            </w:tcBorders>
            <w:shd w:val="clear" w:color="auto" w:fill="E7E6E6"/>
          </w:tcPr>
          <w:p>
            <w:pPr>
              <w:jc w:val="right"/>
              <w:ind w:right="580"/>
              <w:spacing w:after="0"/>
              <w:rPr>
                <w:sz w:val="20"/>
                <w:szCs w:val="20"/>
                <w:color w:val="auto"/>
              </w:rPr>
            </w:pPr>
            <w:r>
              <w:rPr>
                <w:rFonts w:ascii="Arial" w:cs="Arial" w:eastAsia="Arial" w:hAnsi="Arial"/>
                <w:sz w:val="12"/>
                <w:szCs w:val="12"/>
                <w:b w:val="1"/>
                <w:bCs w:val="1"/>
                <w:color w:val="auto"/>
              </w:rPr>
              <w:t>30/06/2024</w:t>
            </w:r>
          </w:p>
        </w:tc>
        <w:tc>
          <w:tcPr>
            <w:tcW w:w="1220" w:type="dxa"/>
            <w:vAlign w:val="bottom"/>
            <w:tcBorders>
              <w:top w:val="single" w:sz="8" w:color="auto"/>
              <w:bottom w:val="single" w:sz="8" w:color="E7E6E6"/>
              <w:right w:val="single" w:sz="8" w:color="auto"/>
            </w:tcBorders>
            <w:shd w:val="clear" w:color="auto" w:fill="E7E6E6"/>
          </w:tcPr>
          <w:p>
            <w:pPr>
              <w:ind w:left="220"/>
              <w:spacing w:after="0"/>
              <w:rPr>
                <w:sz w:val="20"/>
                <w:szCs w:val="20"/>
                <w:color w:val="auto"/>
              </w:rPr>
            </w:pPr>
            <w:r>
              <w:rPr>
                <w:rFonts w:ascii="Arial" w:cs="Arial" w:eastAsia="Arial" w:hAnsi="Arial"/>
                <w:sz w:val="12"/>
                <w:szCs w:val="12"/>
                <w:b w:val="1"/>
                <w:bCs w:val="1"/>
                <w:color w:val="auto"/>
              </w:rPr>
              <w:t>% change</w:t>
            </w:r>
          </w:p>
        </w:tc>
      </w:tr>
      <w:tr>
        <w:trPr>
          <w:trHeight w:val="171"/>
        </w:trPr>
        <w:tc>
          <w:tcPr>
            <w:tcW w:w="24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2"/>
                <w:szCs w:val="12"/>
                <w:color w:val="auto"/>
              </w:rPr>
              <w:t>Revenues and Income</w:t>
            </w:r>
          </w:p>
        </w:tc>
        <w:tc>
          <w:tcPr>
            <w:tcW w:w="1240" w:type="dxa"/>
            <w:vAlign w:val="bottom"/>
            <w:tcBorders>
              <w:top w:val="single" w:sz="8" w:color="auto"/>
            </w:tcBorders>
          </w:tcPr>
          <w:p>
            <w:pPr>
              <w:jc w:val="center"/>
              <w:ind w:left="180"/>
              <w:spacing w:after="0"/>
              <w:rPr>
                <w:sz w:val="20"/>
                <w:szCs w:val="20"/>
                <w:color w:val="auto"/>
              </w:rPr>
            </w:pPr>
            <w:r>
              <w:rPr>
                <w:rFonts w:ascii="Arial" w:cs="Arial" w:eastAsia="Arial" w:hAnsi="Arial"/>
                <w:sz w:val="12"/>
                <w:szCs w:val="12"/>
                <w:color w:val="auto"/>
                <w:w w:val="99"/>
              </w:rPr>
              <w:t>135</w:t>
            </w: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88</w:t>
            </w:r>
          </w:p>
        </w:tc>
        <w:tc>
          <w:tcPr>
            <w:tcW w:w="1220" w:type="dxa"/>
            <w:vAlign w:val="bottom"/>
            <w:tcBorders>
              <w:top w:val="single" w:sz="8" w:color="auto"/>
            </w:tcBorders>
          </w:tcPr>
          <w:p>
            <w:pPr>
              <w:jc w:val="right"/>
              <w:ind w:right="540"/>
              <w:spacing w:after="0"/>
              <w:rPr>
                <w:sz w:val="20"/>
                <w:szCs w:val="20"/>
                <w:color w:val="auto"/>
              </w:rPr>
            </w:pPr>
            <w:r>
              <w:rPr>
                <w:rFonts w:ascii="Arial" w:cs="Arial" w:eastAsia="Arial" w:hAnsi="Arial"/>
                <w:sz w:val="12"/>
                <w:szCs w:val="12"/>
                <w:color w:val="auto"/>
              </w:rPr>
              <w:t>53%</w:t>
            </w:r>
          </w:p>
        </w:tc>
        <w:tc>
          <w:tcPr>
            <w:tcW w:w="1280" w:type="dxa"/>
            <w:vAlign w:val="bottom"/>
            <w:tcBorders>
              <w:top w:val="single" w:sz="8" w:color="auto"/>
            </w:tcBorders>
          </w:tcPr>
          <w:p>
            <w:pPr>
              <w:jc w:val="center"/>
              <w:ind w:left="180"/>
              <w:spacing w:after="0"/>
              <w:rPr>
                <w:sz w:val="20"/>
                <w:szCs w:val="20"/>
                <w:color w:val="auto"/>
              </w:rPr>
            </w:pPr>
            <w:r>
              <w:rPr>
                <w:rFonts w:ascii="Arial" w:cs="Arial" w:eastAsia="Arial" w:hAnsi="Arial"/>
                <w:sz w:val="12"/>
                <w:szCs w:val="12"/>
                <w:color w:val="auto"/>
                <w:w w:val="99"/>
              </w:rPr>
              <w:t>265</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182</w:t>
            </w:r>
          </w:p>
        </w:tc>
        <w:tc>
          <w:tcPr>
            <w:tcW w:w="1220" w:type="dxa"/>
            <w:vAlign w:val="bottom"/>
            <w:tcBorders>
              <w:top w:val="single" w:sz="8" w:color="auto"/>
              <w:right w:val="single" w:sz="8" w:color="auto"/>
            </w:tcBorders>
          </w:tcPr>
          <w:p>
            <w:pPr>
              <w:jc w:val="center"/>
              <w:ind w:right="120"/>
              <w:spacing w:after="0"/>
              <w:rPr>
                <w:sz w:val="20"/>
                <w:szCs w:val="20"/>
                <w:color w:val="auto"/>
              </w:rPr>
            </w:pPr>
            <w:r>
              <w:rPr>
                <w:rFonts w:ascii="Arial" w:cs="Arial" w:eastAsia="Arial" w:hAnsi="Arial"/>
                <w:sz w:val="12"/>
                <w:szCs w:val="12"/>
                <w:color w:val="auto"/>
                <w:w w:val="99"/>
              </w:rPr>
              <w:t>46%</w:t>
            </w:r>
          </w:p>
        </w:tc>
      </w:tr>
      <w:tr>
        <w:trPr>
          <w:trHeight w:val="207"/>
        </w:trPr>
        <w:tc>
          <w:tcPr>
            <w:tcW w:w="248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Net Income</w:t>
            </w:r>
          </w:p>
        </w:tc>
        <w:tc>
          <w:tcPr>
            <w:tcW w:w="1240" w:type="dxa"/>
            <w:vAlign w:val="bottom"/>
          </w:tcPr>
          <w:p>
            <w:pPr>
              <w:jc w:val="center"/>
              <w:ind w:left="180"/>
              <w:spacing w:after="0"/>
              <w:rPr>
                <w:sz w:val="20"/>
                <w:szCs w:val="20"/>
                <w:color w:val="auto"/>
              </w:rPr>
            </w:pPr>
            <w:r>
              <w:rPr>
                <w:rFonts w:ascii="Arial" w:cs="Arial" w:eastAsia="Arial" w:hAnsi="Arial"/>
                <w:sz w:val="12"/>
                <w:szCs w:val="12"/>
                <w:color w:val="auto"/>
              </w:rPr>
              <w:t>6</w:t>
            </w:r>
          </w:p>
        </w:tc>
        <w:tc>
          <w:tcPr>
            <w:tcW w:w="1980" w:type="dxa"/>
            <w:vAlign w:val="bottom"/>
          </w:tcPr>
          <w:p>
            <w:pPr>
              <w:jc w:val="center"/>
              <w:spacing w:after="0"/>
              <w:rPr>
                <w:sz w:val="20"/>
                <w:szCs w:val="20"/>
                <w:color w:val="auto"/>
              </w:rPr>
            </w:pPr>
            <w:r>
              <w:rPr>
                <w:rFonts w:ascii="Arial" w:cs="Arial" w:eastAsia="Arial" w:hAnsi="Arial"/>
                <w:sz w:val="12"/>
                <w:szCs w:val="12"/>
                <w:color w:val="auto"/>
                <w:w w:val="89"/>
              </w:rPr>
              <w:t>9</w:t>
            </w:r>
          </w:p>
        </w:tc>
        <w:tc>
          <w:tcPr>
            <w:tcW w:w="1220" w:type="dxa"/>
            <w:vAlign w:val="bottom"/>
          </w:tcPr>
          <w:p>
            <w:pPr>
              <w:jc w:val="right"/>
              <w:ind w:right="500"/>
              <w:spacing w:after="0"/>
              <w:rPr>
                <w:sz w:val="20"/>
                <w:szCs w:val="20"/>
                <w:color w:val="auto"/>
              </w:rPr>
            </w:pPr>
            <w:r>
              <w:rPr>
                <w:rFonts w:ascii="Arial" w:cs="Arial" w:eastAsia="Arial" w:hAnsi="Arial"/>
                <w:sz w:val="12"/>
                <w:szCs w:val="12"/>
                <w:color w:val="auto"/>
              </w:rPr>
              <w:t>(41)%</w:t>
            </w:r>
          </w:p>
        </w:tc>
        <w:tc>
          <w:tcPr>
            <w:tcW w:w="1280" w:type="dxa"/>
            <w:vAlign w:val="bottom"/>
          </w:tcPr>
          <w:p>
            <w:pPr>
              <w:jc w:val="center"/>
              <w:ind w:left="180"/>
              <w:spacing w:after="0"/>
              <w:rPr>
                <w:sz w:val="20"/>
                <w:szCs w:val="20"/>
                <w:color w:val="auto"/>
              </w:rPr>
            </w:pPr>
            <w:r>
              <w:rPr>
                <w:rFonts w:ascii="Arial" w:cs="Arial" w:eastAsia="Arial" w:hAnsi="Arial"/>
                <w:sz w:val="12"/>
                <w:szCs w:val="12"/>
                <w:color w:val="auto"/>
                <w:w w:val="99"/>
              </w:rPr>
              <w:t>107</w:t>
            </w:r>
          </w:p>
        </w:tc>
        <w:tc>
          <w:tcPr>
            <w:tcW w:w="1880" w:type="dxa"/>
            <w:vAlign w:val="bottom"/>
          </w:tcPr>
          <w:p>
            <w:pPr>
              <w:jc w:val="center"/>
              <w:spacing w:after="0"/>
              <w:rPr>
                <w:sz w:val="20"/>
                <w:szCs w:val="20"/>
                <w:color w:val="auto"/>
              </w:rPr>
            </w:pPr>
            <w:r>
              <w:rPr>
                <w:rFonts w:ascii="Arial" w:cs="Arial" w:eastAsia="Arial" w:hAnsi="Arial"/>
                <w:sz w:val="12"/>
                <w:szCs w:val="12"/>
                <w:color w:val="auto"/>
              </w:rPr>
              <w:t>34</w:t>
            </w:r>
          </w:p>
        </w:tc>
        <w:tc>
          <w:tcPr>
            <w:tcW w:w="1220" w:type="dxa"/>
            <w:vAlign w:val="bottom"/>
            <w:tcBorders>
              <w:right w:val="single" w:sz="8" w:color="auto"/>
            </w:tcBorders>
          </w:tcPr>
          <w:p>
            <w:pPr>
              <w:jc w:val="center"/>
              <w:ind w:right="140"/>
              <w:spacing w:after="0"/>
              <w:rPr>
                <w:sz w:val="20"/>
                <w:szCs w:val="20"/>
                <w:color w:val="auto"/>
              </w:rPr>
            </w:pPr>
            <w:r>
              <w:rPr>
                <w:rFonts w:ascii="Arial" w:cs="Arial" w:eastAsia="Arial" w:hAnsi="Arial"/>
                <w:sz w:val="12"/>
                <w:szCs w:val="12"/>
                <w:color w:val="auto"/>
                <w:w w:val="97"/>
              </w:rPr>
              <w:t>216%</w:t>
            </w:r>
          </w:p>
        </w:tc>
      </w:tr>
      <w:tr>
        <w:trPr>
          <w:trHeight w:val="207"/>
        </w:trPr>
        <w:tc>
          <w:tcPr>
            <w:tcW w:w="248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Adjusted EBITDA</w:t>
            </w:r>
          </w:p>
        </w:tc>
        <w:tc>
          <w:tcPr>
            <w:tcW w:w="1240" w:type="dxa"/>
            <w:vAlign w:val="bottom"/>
          </w:tcPr>
          <w:p>
            <w:pPr>
              <w:jc w:val="center"/>
              <w:ind w:left="180"/>
              <w:spacing w:after="0"/>
              <w:rPr>
                <w:sz w:val="20"/>
                <w:szCs w:val="20"/>
                <w:color w:val="auto"/>
              </w:rPr>
            </w:pPr>
            <w:r>
              <w:rPr>
                <w:rFonts w:ascii="Arial" w:cs="Arial" w:eastAsia="Arial" w:hAnsi="Arial"/>
                <w:sz w:val="12"/>
                <w:szCs w:val="12"/>
                <w:color w:val="auto"/>
                <w:w w:val="89"/>
              </w:rPr>
              <w:t>96</w:t>
            </w:r>
          </w:p>
        </w:tc>
        <w:tc>
          <w:tcPr>
            <w:tcW w:w="1980" w:type="dxa"/>
            <w:vAlign w:val="bottom"/>
          </w:tcPr>
          <w:p>
            <w:pPr>
              <w:jc w:val="center"/>
              <w:spacing w:after="0"/>
              <w:rPr>
                <w:sz w:val="20"/>
                <w:szCs w:val="20"/>
                <w:color w:val="auto"/>
              </w:rPr>
            </w:pPr>
            <w:r>
              <w:rPr>
                <w:rFonts w:ascii="Arial" w:cs="Arial" w:eastAsia="Arial" w:hAnsi="Arial"/>
                <w:sz w:val="12"/>
                <w:szCs w:val="12"/>
                <w:color w:val="auto"/>
              </w:rPr>
              <w:t>61</w:t>
            </w:r>
          </w:p>
        </w:tc>
        <w:tc>
          <w:tcPr>
            <w:tcW w:w="1220" w:type="dxa"/>
            <w:vAlign w:val="bottom"/>
          </w:tcPr>
          <w:p>
            <w:pPr>
              <w:jc w:val="right"/>
              <w:ind w:right="540"/>
              <w:spacing w:after="0"/>
              <w:rPr>
                <w:sz w:val="20"/>
                <w:szCs w:val="20"/>
                <w:color w:val="auto"/>
              </w:rPr>
            </w:pPr>
            <w:r>
              <w:rPr>
                <w:rFonts w:ascii="Arial" w:cs="Arial" w:eastAsia="Arial" w:hAnsi="Arial"/>
                <w:sz w:val="12"/>
                <w:szCs w:val="12"/>
                <w:color w:val="auto"/>
              </w:rPr>
              <w:t>57%</w:t>
            </w:r>
          </w:p>
        </w:tc>
        <w:tc>
          <w:tcPr>
            <w:tcW w:w="1280" w:type="dxa"/>
            <w:vAlign w:val="bottom"/>
          </w:tcPr>
          <w:p>
            <w:pPr>
              <w:jc w:val="center"/>
              <w:ind w:left="180"/>
              <w:spacing w:after="0"/>
              <w:rPr>
                <w:sz w:val="20"/>
                <w:szCs w:val="20"/>
                <w:color w:val="auto"/>
              </w:rPr>
            </w:pPr>
            <w:r>
              <w:rPr>
                <w:rFonts w:ascii="Arial" w:cs="Arial" w:eastAsia="Arial" w:hAnsi="Arial"/>
                <w:sz w:val="12"/>
                <w:szCs w:val="12"/>
                <w:color w:val="auto"/>
                <w:w w:val="99"/>
              </w:rPr>
              <w:t>227</w:t>
            </w:r>
          </w:p>
        </w:tc>
        <w:tc>
          <w:tcPr>
            <w:tcW w:w="1880" w:type="dxa"/>
            <w:vAlign w:val="bottom"/>
          </w:tcPr>
          <w:p>
            <w:pPr>
              <w:jc w:val="center"/>
              <w:spacing w:after="0"/>
              <w:rPr>
                <w:sz w:val="20"/>
                <w:szCs w:val="20"/>
                <w:color w:val="auto"/>
              </w:rPr>
            </w:pPr>
            <w:r>
              <w:rPr>
                <w:rFonts w:ascii="Arial" w:cs="Arial" w:eastAsia="Arial" w:hAnsi="Arial"/>
                <w:sz w:val="12"/>
                <w:szCs w:val="12"/>
                <w:color w:val="auto"/>
                <w:w w:val="99"/>
              </w:rPr>
              <w:t>133</w:t>
            </w:r>
          </w:p>
        </w:tc>
        <w:tc>
          <w:tcPr>
            <w:tcW w:w="1220" w:type="dxa"/>
            <w:vAlign w:val="bottom"/>
            <w:tcBorders>
              <w:right w:val="single" w:sz="8" w:color="auto"/>
            </w:tcBorders>
          </w:tcPr>
          <w:p>
            <w:pPr>
              <w:jc w:val="center"/>
              <w:ind w:right="120"/>
              <w:spacing w:after="0"/>
              <w:rPr>
                <w:sz w:val="20"/>
                <w:szCs w:val="20"/>
                <w:color w:val="auto"/>
              </w:rPr>
            </w:pPr>
            <w:r>
              <w:rPr>
                <w:rFonts w:ascii="Arial" w:cs="Arial" w:eastAsia="Arial" w:hAnsi="Arial"/>
                <w:sz w:val="12"/>
                <w:szCs w:val="12"/>
                <w:color w:val="auto"/>
                <w:w w:val="99"/>
              </w:rPr>
              <w:t>71%</w:t>
            </w:r>
          </w:p>
        </w:tc>
      </w:tr>
      <w:tr>
        <w:trPr>
          <w:trHeight w:val="207"/>
        </w:trPr>
        <w:tc>
          <w:tcPr>
            <w:tcW w:w="248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Cash Flow from Operating Activities</w:t>
            </w:r>
          </w:p>
        </w:tc>
        <w:tc>
          <w:tcPr>
            <w:tcW w:w="1240" w:type="dxa"/>
            <w:vAlign w:val="bottom"/>
          </w:tcPr>
          <w:p>
            <w:pPr>
              <w:jc w:val="center"/>
              <w:ind w:left="180"/>
              <w:spacing w:after="0"/>
              <w:rPr>
                <w:sz w:val="20"/>
                <w:szCs w:val="20"/>
                <w:color w:val="auto"/>
              </w:rPr>
            </w:pPr>
            <w:r>
              <w:rPr>
                <w:rFonts w:ascii="Arial" w:cs="Arial" w:eastAsia="Arial" w:hAnsi="Arial"/>
                <w:sz w:val="12"/>
                <w:szCs w:val="12"/>
                <w:color w:val="auto"/>
                <w:w w:val="89"/>
              </w:rPr>
              <w:t>48</w:t>
            </w:r>
          </w:p>
        </w:tc>
        <w:tc>
          <w:tcPr>
            <w:tcW w:w="1980" w:type="dxa"/>
            <w:vAlign w:val="bottom"/>
          </w:tcPr>
          <w:p>
            <w:pPr>
              <w:jc w:val="center"/>
              <w:spacing w:after="0"/>
              <w:rPr>
                <w:sz w:val="20"/>
                <w:szCs w:val="20"/>
                <w:color w:val="auto"/>
              </w:rPr>
            </w:pPr>
            <w:r>
              <w:rPr>
                <w:rFonts w:ascii="Arial" w:cs="Arial" w:eastAsia="Arial" w:hAnsi="Arial"/>
                <w:sz w:val="12"/>
                <w:szCs w:val="12"/>
                <w:color w:val="auto"/>
              </w:rPr>
              <w:t>56</w:t>
            </w:r>
          </w:p>
        </w:tc>
        <w:tc>
          <w:tcPr>
            <w:tcW w:w="1220" w:type="dxa"/>
            <w:vAlign w:val="bottom"/>
          </w:tcPr>
          <w:p>
            <w:pPr>
              <w:jc w:val="right"/>
              <w:ind w:right="500"/>
              <w:spacing w:after="0"/>
              <w:rPr>
                <w:sz w:val="20"/>
                <w:szCs w:val="20"/>
                <w:color w:val="auto"/>
              </w:rPr>
            </w:pPr>
            <w:r>
              <w:rPr>
                <w:rFonts w:ascii="Arial" w:cs="Arial" w:eastAsia="Arial" w:hAnsi="Arial"/>
                <w:sz w:val="12"/>
                <w:szCs w:val="12"/>
                <w:color w:val="auto"/>
              </w:rPr>
              <w:t>(15)%</w:t>
            </w:r>
          </w:p>
        </w:tc>
        <w:tc>
          <w:tcPr>
            <w:tcW w:w="1280" w:type="dxa"/>
            <w:vAlign w:val="bottom"/>
          </w:tcPr>
          <w:p>
            <w:pPr>
              <w:jc w:val="center"/>
              <w:ind w:left="180"/>
              <w:spacing w:after="0"/>
              <w:rPr>
                <w:sz w:val="20"/>
                <w:szCs w:val="20"/>
                <w:color w:val="auto"/>
              </w:rPr>
            </w:pPr>
            <w:r>
              <w:rPr>
                <w:rFonts w:ascii="Arial" w:cs="Arial" w:eastAsia="Arial" w:hAnsi="Arial"/>
                <w:sz w:val="12"/>
                <w:szCs w:val="12"/>
                <w:color w:val="auto"/>
                <w:w w:val="89"/>
              </w:rPr>
              <w:t>91</w:t>
            </w:r>
          </w:p>
        </w:tc>
        <w:tc>
          <w:tcPr>
            <w:tcW w:w="1880" w:type="dxa"/>
            <w:vAlign w:val="bottom"/>
          </w:tcPr>
          <w:p>
            <w:pPr>
              <w:jc w:val="center"/>
              <w:spacing w:after="0"/>
              <w:rPr>
                <w:sz w:val="20"/>
                <w:szCs w:val="20"/>
                <w:color w:val="auto"/>
              </w:rPr>
            </w:pPr>
            <w:r>
              <w:rPr>
                <w:rFonts w:ascii="Arial" w:cs="Arial" w:eastAsia="Arial" w:hAnsi="Arial"/>
                <w:sz w:val="12"/>
                <w:szCs w:val="12"/>
                <w:color w:val="auto"/>
              </w:rPr>
              <w:t>91</w:t>
            </w:r>
          </w:p>
        </w:tc>
        <w:tc>
          <w:tcPr>
            <w:tcW w:w="1220" w:type="dxa"/>
            <w:vAlign w:val="bottom"/>
            <w:tcBorders>
              <w:right w:val="single" w:sz="8" w:color="auto"/>
            </w:tcBorders>
          </w:tcPr>
          <w:p>
            <w:pPr>
              <w:jc w:val="center"/>
              <w:ind w:right="140"/>
              <w:spacing w:after="0"/>
              <w:rPr>
                <w:sz w:val="20"/>
                <w:szCs w:val="20"/>
                <w:color w:val="auto"/>
              </w:rPr>
            </w:pPr>
            <w:r>
              <w:rPr>
                <w:rFonts w:ascii="Arial" w:cs="Arial" w:eastAsia="Arial" w:hAnsi="Arial"/>
                <w:sz w:val="12"/>
                <w:szCs w:val="12"/>
                <w:color w:val="auto"/>
              </w:rPr>
              <w:t>0%</w:t>
            </w:r>
          </w:p>
        </w:tc>
      </w:tr>
      <w:tr>
        <w:trPr>
          <w:trHeight w:val="34"/>
        </w:trPr>
        <w:tc>
          <w:tcPr>
            <w:tcW w:w="248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bl>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Raising full year guidance ranges</w:t>
      </w:r>
    </w:p>
    <w:p>
      <w:pPr>
        <w:spacing w:after="0" w:line="168" w:lineRule="exact"/>
        <w:rPr>
          <w:sz w:val="20"/>
          <w:szCs w:val="20"/>
          <w:color w:val="auto"/>
        </w:rPr>
      </w:pPr>
    </w:p>
    <w:p>
      <w:pPr>
        <w:ind w:left="208" w:hanging="208"/>
        <w:spacing w:after="0" w:line="244" w:lineRule="auto"/>
        <w:tabs>
          <w:tab w:leader="none" w:pos="208"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On the back of strong 1H25 results, we are increasing full year 2025 guidance ranges. Revenue guidance rises to $520-535 million from $490-510 million previously, and Adjusted EBITDA guidance rises to $385-400 million from $360-380 million previously. This represents a 5.5% and 6.0% increase at the midpoint for both metrics, respectively.</w:t>
      </w: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A detailed analysis of financial results appears below.</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Executive Leadership Changes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color w:val="auto"/>
        </w:rPr>
        <w:t>On October 1, 2025, Adi Leviatan will become the Company’s Chief Executive Officer, succeeding Gilad Yavetz who was appointed as Enlight’s full-time Executive Chairman of the Board. Yair Seroussi, our current Chairman of the Board, will serve as Vice Chairman of the Board.</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Positive and more certain environment across all geographies</w:t>
      </w:r>
    </w:p>
    <w:p>
      <w:pPr>
        <w:spacing w:after="0" w:line="159"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We believe that the terms of the recently passed reconciliation bill are favorable for the utility scale solar and storage segments, providing the large companies such as Enlight a window of significant growth opportunities. This is especially significant for our extensive portfolio of energy storage projects, which received longer eligibility for tax credits in the new bill. Europe and MENA markets continue to grow, with strong demand to both renewable energy generation and energy storage.</w:t>
      </w:r>
    </w:p>
    <w:p>
      <w:pPr>
        <w:spacing w:after="0" w:line="118"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color w:val="auto"/>
        </w:rPr>
        <w:t>The roadmap which we first presented in May has begun to take shape, and the Company is advancing toward the start of construction of an additional 2 to 4 FGW for COD by the end of 2028. These projects are not currently included in our mature portfolio. Of these, between 1 to 2 FGW are expected to be built in the U.S. By the end of 2028, the total annual revenue run rate is expected to reach $1.9-2.2 billion.</w:t>
      </w:r>
    </w:p>
    <w:p>
      <w:pPr>
        <w:spacing w:after="0" w:line="104" w:lineRule="exact"/>
        <w:rPr>
          <w:sz w:val="20"/>
          <w:szCs w:val="20"/>
          <w:color w:val="auto"/>
        </w:rPr>
      </w:pPr>
    </w:p>
    <w:p>
      <w:pPr>
        <w:jc w:val="both"/>
        <w:ind w:left="8"/>
        <w:spacing w:after="0" w:line="284" w:lineRule="auto"/>
        <w:rPr>
          <w:sz w:val="20"/>
          <w:szCs w:val="20"/>
          <w:color w:val="auto"/>
        </w:rPr>
      </w:pPr>
      <w:r>
        <w:rPr>
          <w:rFonts w:ascii="Arial" w:cs="Arial" w:eastAsia="Arial" w:hAnsi="Arial"/>
          <w:sz w:val="12"/>
          <w:szCs w:val="12"/>
          <w:color w:val="auto"/>
        </w:rPr>
        <w:t>“We are very pleased with another quarter of extremely strong results in our financial and operational results,” said Gilad Yavetz, CEO of Enlight Renewable Energy. “The combination of strong execution, coupled with un-compromised business innovation, continues to bear fruit. In parallel we keep on strengthening our management infrastructure. We welcome Adi Leviatan to our strong and well-balanced leadership team. I’m honored and excited to take the role of executive chairman of the board as of October 1st. I’m confident that with Adi as the new CEO, Enlight will continue to break new 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24" w:right="299" w:bottom="1440" w:gutter="0" w:footer="0" w:header="0"/>
        </w:sectPr>
      </w:pPr>
    </w:p>
    <w:bookmarkStart w:id="5" w:name="page6"/>
    <w:bookmarkEnd w:id="5"/>
    <w:p>
      <w:pPr>
        <w:ind w:left="8"/>
        <w:spacing w:after="0"/>
        <w:rPr>
          <w:sz w:val="20"/>
          <w:szCs w:val="20"/>
          <w:color w:val="auto"/>
        </w:rPr>
      </w:pPr>
      <w:r>
        <w:rPr>
          <w:rFonts w:ascii="Arial" w:cs="Arial" w:eastAsia="Arial" w:hAnsi="Arial"/>
          <w:sz w:val="12"/>
          <w:szCs w:val="12"/>
          <w:b w:val="1"/>
          <w:bCs w:val="1"/>
          <w:color w:val="auto"/>
        </w:rPr>
        <w:t>Portfolio Review</w:t>
      </w:r>
    </w:p>
    <w:p>
      <w:pPr>
        <w:spacing w:after="0" w:line="158" w:lineRule="exact"/>
        <w:rPr>
          <w:sz w:val="20"/>
          <w:szCs w:val="20"/>
          <w:color w:val="auto"/>
        </w:rPr>
      </w:pPr>
    </w:p>
    <w:p>
      <w:pPr>
        <w:jc w:val="both"/>
        <w:ind w:left="8"/>
        <w:spacing w:after="0" w:line="230" w:lineRule="auto"/>
        <w:rPr>
          <w:sz w:val="20"/>
          <w:szCs w:val="20"/>
          <w:color w:val="auto"/>
        </w:rPr>
      </w:pPr>
      <w:r>
        <w:rPr>
          <w:rFonts w:ascii="Arial" w:cs="Arial" w:eastAsia="Arial" w:hAnsi="Arial"/>
          <w:sz w:val="12"/>
          <w:szCs w:val="12"/>
          <w:color w:val="auto"/>
        </w:rPr>
        <w:t>This quarter we continued substantial advancement of projects through the various phases of our portfolio. Enlight’s total portfolio is comprised of 20.0 GW of generation capacity and 53.4 GWh energy storage (totaling 35.3 FGW</w:t>
      </w:r>
      <w:r>
        <w:rPr>
          <w:rFonts w:ascii="Arial" w:cs="Arial" w:eastAsia="Arial" w:hAnsi="Arial"/>
          <w:sz w:val="19"/>
          <w:szCs w:val="19"/>
          <w:b w:val="1"/>
          <w:bCs w:val="1"/>
          <w:color w:val="auto"/>
          <w:vertAlign w:val="superscript"/>
        </w:rPr>
        <w:t>3</w:t>
      </w:r>
      <w:r>
        <w:rPr>
          <w:rFonts w:ascii="Arial" w:cs="Arial" w:eastAsia="Arial" w:hAnsi="Arial"/>
          <w:sz w:val="12"/>
          <w:szCs w:val="12"/>
          <w:color w:val="auto"/>
        </w:rPr>
        <w:t>), an increase of 17% from the total portfolio of 30.2 FGW at the end of 2024. Of this, the Mature portfolio component (including operating projects, projects under construction or pre-construction) contains 6.2 GW generation capacity and 10.3 GWh of storage (9.2 FGW), an increase of 7% from the Mature portfolio of 8.6 FGW at the end of 2024. The full composition of the portfolio appears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178040" cy="1108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08710"/>
                    </a:xfrm>
                    <a:prstGeom prst="rect">
                      <a:avLst/>
                    </a:prstGeom>
                    <a:noFill/>
                  </pic:spPr>
                </pic:pic>
              </a:graphicData>
            </a:graphic>
          </wp:anchor>
        </w:drawing>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218"/>
        </w:trPr>
        <w:tc>
          <w:tcPr>
            <w:tcW w:w="1900" w:type="dxa"/>
            <w:vAlign w:val="bottom"/>
            <w:tcBorders>
              <w:bottom w:val="single" w:sz="8" w:color="auto"/>
            </w:tcBorders>
            <w:shd w:val="clear" w:color="auto" w:fill="E7E6E6"/>
          </w:tcPr>
          <w:p>
            <w:pPr>
              <w:ind w:left="40"/>
              <w:spacing w:after="0"/>
              <w:rPr>
                <w:sz w:val="20"/>
                <w:szCs w:val="20"/>
                <w:color w:val="auto"/>
              </w:rPr>
            </w:pPr>
            <w:r>
              <w:rPr>
                <w:rFonts w:ascii="Arial" w:cs="Arial" w:eastAsia="Arial" w:hAnsi="Arial"/>
                <w:sz w:val="12"/>
                <w:szCs w:val="12"/>
                <w:b w:val="1"/>
                <w:bCs w:val="1"/>
                <w:color w:val="auto"/>
              </w:rPr>
              <w:t>Component</w:t>
            </w:r>
          </w:p>
        </w:tc>
        <w:tc>
          <w:tcPr>
            <w:tcW w:w="4120" w:type="dxa"/>
            <w:vAlign w:val="bottom"/>
            <w:tcBorders>
              <w:bottom w:val="single" w:sz="8" w:color="auto"/>
            </w:tcBorders>
            <w:shd w:val="clear" w:color="auto" w:fill="E7E6E6"/>
          </w:tcPr>
          <w:p>
            <w:pPr>
              <w:ind w:left="820"/>
              <w:spacing w:after="0"/>
              <w:rPr>
                <w:sz w:val="20"/>
                <w:szCs w:val="20"/>
                <w:color w:val="auto"/>
              </w:rPr>
            </w:pPr>
            <w:r>
              <w:rPr>
                <w:rFonts w:ascii="Arial" w:cs="Arial" w:eastAsia="Arial" w:hAnsi="Arial"/>
                <w:sz w:val="12"/>
                <w:szCs w:val="12"/>
                <w:b w:val="1"/>
                <w:bCs w:val="1"/>
                <w:color w:val="auto"/>
              </w:rPr>
              <w:t>Status</w:t>
            </w:r>
          </w:p>
        </w:tc>
        <w:tc>
          <w:tcPr>
            <w:tcW w:w="2280" w:type="dxa"/>
            <w:vAlign w:val="bottom"/>
            <w:tcBorders>
              <w:bottom w:val="single" w:sz="8" w:color="auto"/>
            </w:tcBorders>
            <w:shd w:val="clear" w:color="auto" w:fill="E7E6E6"/>
          </w:tcPr>
          <w:p>
            <w:pPr>
              <w:jc w:val="center"/>
              <w:ind w:left="800"/>
              <w:spacing w:after="0"/>
              <w:rPr>
                <w:sz w:val="20"/>
                <w:szCs w:val="20"/>
                <w:color w:val="auto"/>
              </w:rPr>
            </w:pPr>
            <w:r>
              <w:rPr>
                <w:rFonts w:ascii="Arial" w:cs="Arial" w:eastAsia="Arial" w:hAnsi="Arial"/>
                <w:sz w:val="12"/>
                <w:szCs w:val="12"/>
                <w:b w:val="1"/>
                <w:bCs w:val="1"/>
                <w:color w:val="auto"/>
                <w:w w:val="96"/>
              </w:rPr>
              <w:t>FGW</w:t>
            </w:r>
            <w:r>
              <w:rPr>
                <w:rFonts w:ascii="Arial" w:cs="Arial" w:eastAsia="Arial" w:hAnsi="Arial"/>
                <w:sz w:val="19"/>
                <w:szCs w:val="19"/>
                <w:b w:val="1"/>
                <w:bCs w:val="1"/>
                <w:color w:val="auto"/>
                <w:w w:val="96"/>
                <w:vertAlign w:val="superscript"/>
              </w:rPr>
              <w:t>1</w:t>
            </w:r>
          </w:p>
        </w:tc>
        <w:tc>
          <w:tcPr>
            <w:tcW w:w="2980" w:type="dxa"/>
            <w:vAlign w:val="bottom"/>
            <w:tcBorders>
              <w:bottom w:val="single" w:sz="8" w:color="auto"/>
            </w:tcBorders>
            <w:shd w:val="clear" w:color="auto" w:fill="E7E6E6"/>
          </w:tcPr>
          <w:p>
            <w:pPr>
              <w:ind w:left="520"/>
              <w:spacing w:after="0"/>
              <w:rPr>
                <w:sz w:val="20"/>
                <w:szCs w:val="20"/>
                <w:color w:val="auto"/>
              </w:rPr>
            </w:pPr>
            <w:r>
              <w:rPr>
                <w:rFonts w:ascii="Arial" w:cs="Arial" w:eastAsia="Arial" w:hAnsi="Arial"/>
                <w:sz w:val="12"/>
                <w:szCs w:val="12"/>
                <w:b w:val="1"/>
                <w:bCs w:val="1"/>
                <w:color w:val="auto"/>
              </w:rPr>
              <w:t>Annual revenues &amp; income run rate ($m)</w:t>
            </w:r>
          </w:p>
        </w:tc>
        <w:tc>
          <w:tcPr>
            <w:tcW w:w="20" w:type="dxa"/>
            <w:vAlign w:val="bottom"/>
            <w:tcBorders>
              <w:bottom w:val="single" w:sz="8" w:color="auto"/>
            </w:tcBorders>
          </w:tcPr>
          <w:p>
            <w:pPr>
              <w:spacing w:after="0"/>
              <w:rPr>
                <w:sz w:val="18"/>
                <w:szCs w:val="18"/>
                <w:color w:val="auto"/>
              </w:rPr>
            </w:pPr>
          </w:p>
        </w:tc>
      </w:tr>
      <w:tr>
        <w:trPr>
          <w:trHeight w:val="219"/>
        </w:trPr>
        <w:tc>
          <w:tcPr>
            <w:tcW w:w="1900" w:type="dxa"/>
            <w:vAlign w:val="bottom"/>
          </w:tcPr>
          <w:p>
            <w:pPr>
              <w:ind w:left="40"/>
              <w:spacing w:after="0"/>
              <w:rPr>
                <w:sz w:val="20"/>
                <w:szCs w:val="20"/>
                <w:color w:val="auto"/>
              </w:rPr>
            </w:pPr>
            <w:r>
              <w:rPr>
                <w:rFonts w:ascii="Arial" w:cs="Arial" w:eastAsia="Arial" w:hAnsi="Arial"/>
                <w:sz w:val="12"/>
                <w:szCs w:val="12"/>
                <w:color w:val="auto"/>
              </w:rPr>
              <w:t>Operating</w:t>
            </w:r>
          </w:p>
        </w:tc>
        <w:tc>
          <w:tcPr>
            <w:tcW w:w="4120" w:type="dxa"/>
            <w:vAlign w:val="bottom"/>
          </w:tcPr>
          <w:p>
            <w:pPr>
              <w:ind w:left="820"/>
              <w:spacing w:after="0"/>
              <w:rPr>
                <w:sz w:val="20"/>
                <w:szCs w:val="20"/>
                <w:color w:val="auto"/>
              </w:rPr>
            </w:pPr>
            <w:r>
              <w:rPr>
                <w:rFonts w:ascii="Arial" w:cs="Arial" w:eastAsia="Arial" w:hAnsi="Arial"/>
                <w:sz w:val="12"/>
                <w:szCs w:val="12"/>
                <w:color w:val="auto"/>
              </w:rPr>
              <w:t>Commercial operation</w:t>
            </w:r>
          </w:p>
        </w:tc>
        <w:tc>
          <w:tcPr>
            <w:tcW w:w="2280" w:type="dxa"/>
            <w:vAlign w:val="bottom"/>
          </w:tcPr>
          <w:p>
            <w:pPr>
              <w:jc w:val="center"/>
              <w:ind w:left="780"/>
              <w:spacing w:after="0"/>
              <w:rPr>
                <w:sz w:val="20"/>
                <w:szCs w:val="20"/>
                <w:color w:val="auto"/>
              </w:rPr>
            </w:pPr>
            <w:r>
              <w:rPr>
                <w:rFonts w:ascii="Arial" w:cs="Arial" w:eastAsia="Arial" w:hAnsi="Arial"/>
                <w:sz w:val="12"/>
                <w:szCs w:val="12"/>
                <w:color w:val="auto"/>
                <w:w w:val="95"/>
              </w:rPr>
              <w:t>3.1</w:t>
            </w:r>
          </w:p>
        </w:tc>
        <w:tc>
          <w:tcPr>
            <w:tcW w:w="2980" w:type="dxa"/>
            <w:vAlign w:val="bottom"/>
          </w:tcPr>
          <w:p>
            <w:pPr>
              <w:jc w:val="center"/>
              <w:ind w:left="320"/>
              <w:spacing w:after="0"/>
              <w:rPr>
                <w:sz w:val="20"/>
                <w:szCs w:val="20"/>
                <w:color w:val="auto"/>
              </w:rPr>
            </w:pPr>
            <w:r>
              <w:rPr>
                <w:rFonts w:ascii="Arial" w:cs="Arial" w:eastAsia="Arial" w:hAnsi="Arial"/>
                <w:sz w:val="12"/>
                <w:szCs w:val="12"/>
                <w:color w:val="auto"/>
                <w:w w:val="93"/>
              </w:rPr>
              <w:t>~527</w:t>
            </w:r>
            <w:r>
              <w:rPr>
                <w:rFonts w:ascii="Arial" w:cs="Arial" w:eastAsia="Arial" w:hAnsi="Arial"/>
                <w:sz w:val="19"/>
                <w:szCs w:val="19"/>
                <w:color w:val="auto"/>
                <w:w w:val="93"/>
                <w:vertAlign w:val="superscript"/>
              </w:rPr>
              <w:t>4</w:t>
            </w:r>
          </w:p>
        </w:tc>
        <w:tc>
          <w:tcPr>
            <w:tcW w:w="20" w:type="dxa"/>
            <w:vAlign w:val="bottom"/>
          </w:tcPr>
          <w:p>
            <w:pPr>
              <w:spacing w:after="0"/>
              <w:rPr>
                <w:sz w:val="19"/>
                <w:szCs w:val="19"/>
                <w:color w:val="auto"/>
              </w:rPr>
            </w:pPr>
          </w:p>
        </w:tc>
      </w:tr>
      <w:tr>
        <w:trPr>
          <w:trHeight w:val="159"/>
        </w:trPr>
        <w:tc>
          <w:tcPr>
            <w:tcW w:w="1900" w:type="dxa"/>
            <w:vAlign w:val="bottom"/>
          </w:tcPr>
          <w:p>
            <w:pPr>
              <w:ind w:left="40"/>
              <w:spacing w:after="0"/>
              <w:rPr>
                <w:sz w:val="20"/>
                <w:szCs w:val="20"/>
                <w:color w:val="auto"/>
              </w:rPr>
            </w:pPr>
            <w:r>
              <w:rPr>
                <w:rFonts w:ascii="Arial" w:cs="Arial" w:eastAsia="Arial" w:hAnsi="Arial"/>
                <w:sz w:val="12"/>
                <w:szCs w:val="12"/>
                <w:color w:val="auto"/>
              </w:rPr>
              <w:t>Under Construction</w:t>
            </w:r>
          </w:p>
        </w:tc>
        <w:tc>
          <w:tcPr>
            <w:tcW w:w="4120" w:type="dxa"/>
            <w:vAlign w:val="bottom"/>
          </w:tcPr>
          <w:p>
            <w:pPr>
              <w:ind w:left="820"/>
              <w:spacing w:after="0"/>
              <w:rPr>
                <w:sz w:val="20"/>
                <w:szCs w:val="20"/>
                <w:color w:val="auto"/>
              </w:rPr>
            </w:pPr>
            <w:r>
              <w:rPr>
                <w:rFonts w:ascii="Arial" w:cs="Arial" w:eastAsia="Arial" w:hAnsi="Arial"/>
                <w:sz w:val="12"/>
                <w:szCs w:val="12"/>
                <w:color w:val="auto"/>
              </w:rPr>
              <w:t>Under construction</w:t>
            </w:r>
          </w:p>
        </w:tc>
        <w:tc>
          <w:tcPr>
            <w:tcW w:w="2280" w:type="dxa"/>
            <w:vAlign w:val="bottom"/>
          </w:tcPr>
          <w:p>
            <w:pPr>
              <w:jc w:val="center"/>
              <w:ind w:left="780"/>
              <w:spacing w:after="0"/>
              <w:rPr>
                <w:sz w:val="20"/>
                <w:szCs w:val="20"/>
                <w:color w:val="auto"/>
              </w:rPr>
            </w:pPr>
            <w:r>
              <w:rPr>
                <w:rFonts w:ascii="Arial" w:cs="Arial" w:eastAsia="Arial" w:hAnsi="Arial"/>
                <w:sz w:val="12"/>
                <w:szCs w:val="12"/>
                <w:color w:val="auto"/>
                <w:w w:val="95"/>
              </w:rPr>
              <w:t>2.9</w:t>
            </w:r>
          </w:p>
        </w:tc>
        <w:tc>
          <w:tcPr>
            <w:tcW w:w="2980" w:type="dxa"/>
            <w:vAlign w:val="bottom"/>
          </w:tcPr>
          <w:p>
            <w:pPr>
              <w:jc w:val="center"/>
              <w:ind w:left="320"/>
              <w:spacing w:after="0"/>
              <w:rPr>
                <w:sz w:val="20"/>
                <w:szCs w:val="20"/>
                <w:color w:val="auto"/>
              </w:rPr>
            </w:pPr>
            <w:r>
              <w:rPr>
                <w:rFonts w:ascii="Arial" w:cs="Arial" w:eastAsia="Arial" w:hAnsi="Arial"/>
                <w:sz w:val="12"/>
                <w:szCs w:val="12"/>
                <w:color w:val="auto"/>
              </w:rPr>
              <w:t>~550</w:t>
            </w:r>
          </w:p>
        </w:tc>
        <w:tc>
          <w:tcPr>
            <w:tcW w:w="20" w:type="dxa"/>
            <w:vAlign w:val="bottom"/>
          </w:tcPr>
          <w:p>
            <w:pPr>
              <w:spacing w:after="0"/>
              <w:rPr>
                <w:sz w:val="13"/>
                <w:szCs w:val="13"/>
                <w:color w:val="auto"/>
              </w:rPr>
            </w:pPr>
          </w:p>
        </w:tc>
      </w:tr>
      <w:tr>
        <w:trPr>
          <w:trHeight w:val="207"/>
        </w:trPr>
        <w:tc>
          <w:tcPr>
            <w:tcW w:w="1900" w:type="dxa"/>
            <w:vAlign w:val="bottom"/>
          </w:tcPr>
          <w:p>
            <w:pPr>
              <w:ind w:left="40"/>
              <w:spacing w:after="0"/>
              <w:rPr>
                <w:sz w:val="20"/>
                <w:szCs w:val="20"/>
                <w:color w:val="auto"/>
              </w:rPr>
            </w:pPr>
            <w:r>
              <w:rPr>
                <w:rFonts w:ascii="Arial" w:cs="Arial" w:eastAsia="Arial" w:hAnsi="Arial"/>
                <w:sz w:val="12"/>
                <w:szCs w:val="12"/>
                <w:color w:val="auto"/>
              </w:rPr>
              <w:t>Pre-Construction</w:t>
            </w:r>
          </w:p>
        </w:tc>
        <w:tc>
          <w:tcPr>
            <w:tcW w:w="4120" w:type="dxa"/>
            <w:vAlign w:val="bottom"/>
          </w:tcPr>
          <w:p>
            <w:pPr>
              <w:ind w:left="820"/>
              <w:spacing w:after="0"/>
              <w:rPr>
                <w:sz w:val="20"/>
                <w:szCs w:val="20"/>
                <w:color w:val="auto"/>
              </w:rPr>
            </w:pPr>
            <w:r>
              <w:rPr>
                <w:rFonts w:ascii="Arial" w:cs="Arial" w:eastAsia="Arial" w:hAnsi="Arial"/>
                <w:sz w:val="12"/>
                <w:szCs w:val="12"/>
                <w:color w:val="auto"/>
              </w:rPr>
              <w:t>0-12 months to start of construction</w:t>
            </w:r>
          </w:p>
        </w:tc>
        <w:tc>
          <w:tcPr>
            <w:tcW w:w="2280" w:type="dxa"/>
            <w:vAlign w:val="bottom"/>
          </w:tcPr>
          <w:p>
            <w:pPr>
              <w:jc w:val="center"/>
              <w:ind w:left="780"/>
              <w:spacing w:after="0"/>
              <w:rPr>
                <w:sz w:val="20"/>
                <w:szCs w:val="20"/>
                <w:color w:val="auto"/>
              </w:rPr>
            </w:pPr>
            <w:r>
              <w:rPr>
                <w:rFonts w:ascii="Arial" w:cs="Arial" w:eastAsia="Arial" w:hAnsi="Arial"/>
                <w:sz w:val="12"/>
                <w:szCs w:val="12"/>
                <w:color w:val="auto"/>
                <w:w w:val="95"/>
              </w:rPr>
              <w:t>3.2</w:t>
            </w:r>
          </w:p>
        </w:tc>
        <w:tc>
          <w:tcPr>
            <w:tcW w:w="2980" w:type="dxa"/>
            <w:vAlign w:val="bottom"/>
          </w:tcPr>
          <w:p>
            <w:pPr>
              <w:jc w:val="center"/>
              <w:ind w:left="320"/>
              <w:spacing w:after="0"/>
              <w:rPr>
                <w:sz w:val="20"/>
                <w:szCs w:val="20"/>
                <w:color w:val="auto"/>
              </w:rPr>
            </w:pPr>
            <w:r>
              <w:rPr>
                <w:rFonts w:ascii="Arial" w:cs="Arial" w:eastAsia="Arial" w:hAnsi="Arial"/>
                <w:sz w:val="12"/>
                <w:szCs w:val="12"/>
                <w:color w:val="auto"/>
              </w:rPr>
              <w:t>~450</w:t>
            </w:r>
          </w:p>
        </w:tc>
        <w:tc>
          <w:tcPr>
            <w:tcW w:w="20" w:type="dxa"/>
            <w:vAlign w:val="bottom"/>
          </w:tcPr>
          <w:p>
            <w:pPr>
              <w:spacing w:after="0"/>
              <w:rPr>
                <w:sz w:val="18"/>
                <w:szCs w:val="18"/>
                <w:color w:val="auto"/>
              </w:rPr>
            </w:pPr>
          </w:p>
        </w:tc>
      </w:tr>
    </w:tbl>
    <w:p>
      <w:pPr>
        <w:spacing w:after="0" w:line="43" w:lineRule="exact"/>
        <w:rPr>
          <w:sz w:val="20"/>
          <w:szCs w:val="20"/>
          <w:color w:val="auto"/>
        </w:rPr>
      </w:pPr>
    </w:p>
    <w:tbl>
      <w:tblPr>
        <w:tblLayout w:type="fixed"/>
        <w:tblInd w:w="8" w:type="dxa"/>
        <w:tblCellMar>
          <w:top w:w="0" w:type="dxa"/>
          <w:left w:w="0" w:type="dxa"/>
          <w:bottom w:w="0" w:type="dxa"/>
          <w:right w:w="0" w:type="dxa"/>
        </w:tblCellMar>
      </w:tblPr>
      <w:tr>
        <w:trPr>
          <w:trHeight w:val="196"/>
        </w:trPr>
        <w:tc>
          <w:tcPr>
            <w:tcW w:w="2020" w:type="dxa"/>
            <w:vAlign w:val="bottom"/>
            <w:tcBorders>
              <w:bottom w:val="single" w:sz="8" w:color="E7E6E6"/>
            </w:tcBorders>
            <w:shd w:val="clear" w:color="auto" w:fill="E7E6E6"/>
          </w:tcPr>
          <w:p>
            <w:pPr>
              <w:ind w:left="40"/>
              <w:spacing w:after="0"/>
              <w:rPr>
                <w:sz w:val="20"/>
                <w:szCs w:val="20"/>
                <w:color w:val="auto"/>
              </w:rPr>
            </w:pPr>
            <w:r>
              <w:rPr>
                <w:rFonts w:ascii="Arial" w:cs="Arial" w:eastAsia="Arial" w:hAnsi="Arial"/>
                <w:sz w:val="12"/>
                <w:szCs w:val="12"/>
                <w:b w:val="1"/>
                <w:bCs w:val="1"/>
                <w:color w:val="auto"/>
              </w:rPr>
              <w:t>Total Mature Portfolio</w:t>
            </w:r>
          </w:p>
        </w:tc>
        <w:tc>
          <w:tcPr>
            <w:tcW w:w="4060" w:type="dxa"/>
            <w:vAlign w:val="bottom"/>
            <w:tcBorders>
              <w:bottom w:val="single" w:sz="8" w:color="E7E6E6"/>
            </w:tcBorders>
            <w:shd w:val="clear" w:color="auto" w:fill="E7E6E6"/>
          </w:tcPr>
          <w:p>
            <w:pPr>
              <w:ind w:left="700"/>
              <w:spacing w:after="0"/>
              <w:rPr>
                <w:sz w:val="20"/>
                <w:szCs w:val="20"/>
                <w:color w:val="auto"/>
              </w:rPr>
            </w:pPr>
            <w:r>
              <w:rPr>
                <w:rFonts w:ascii="Arial" w:cs="Arial" w:eastAsia="Arial" w:hAnsi="Arial"/>
                <w:sz w:val="12"/>
                <w:szCs w:val="12"/>
                <w:b w:val="1"/>
                <w:bCs w:val="1"/>
                <w:color w:val="auto"/>
              </w:rPr>
              <w:t>Mature</w:t>
            </w:r>
          </w:p>
        </w:tc>
        <w:tc>
          <w:tcPr>
            <w:tcW w:w="2660" w:type="dxa"/>
            <w:vAlign w:val="bottom"/>
            <w:tcBorders>
              <w:bottom w:val="single" w:sz="8" w:color="E7E6E6"/>
            </w:tcBorders>
            <w:shd w:val="clear" w:color="auto" w:fill="E7E6E6"/>
          </w:tcPr>
          <w:p>
            <w:pPr>
              <w:jc w:val="center"/>
              <w:ind w:left="280"/>
              <w:spacing w:after="0"/>
              <w:rPr>
                <w:sz w:val="20"/>
                <w:szCs w:val="20"/>
                <w:color w:val="auto"/>
              </w:rPr>
            </w:pPr>
            <w:r>
              <w:rPr>
                <w:rFonts w:ascii="Arial" w:cs="Arial" w:eastAsia="Arial" w:hAnsi="Arial"/>
                <w:sz w:val="12"/>
                <w:szCs w:val="12"/>
                <w:b w:val="1"/>
                <w:bCs w:val="1"/>
                <w:color w:val="auto"/>
                <w:w w:val="95"/>
              </w:rPr>
              <w:t>9.2</w:t>
            </w:r>
          </w:p>
        </w:tc>
        <w:tc>
          <w:tcPr>
            <w:tcW w:w="2540" w:type="dxa"/>
            <w:vAlign w:val="bottom"/>
            <w:tcBorders>
              <w:bottom w:val="single" w:sz="8" w:color="E7E6E6"/>
            </w:tcBorders>
            <w:shd w:val="clear" w:color="auto" w:fill="E7E6E6"/>
          </w:tcPr>
          <w:p>
            <w:pPr>
              <w:jc w:val="center"/>
              <w:spacing w:after="0"/>
              <w:rPr>
                <w:sz w:val="20"/>
                <w:szCs w:val="20"/>
                <w:color w:val="auto"/>
              </w:rPr>
            </w:pPr>
            <w:r>
              <w:rPr>
                <w:rFonts w:ascii="Arial" w:cs="Arial" w:eastAsia="Arial" w:hAnsi="Arial"/>
                <w:sz w:val="12"/>
                <w:szCs w:val="12"/>
                <w:b w:val="1"/>
                <w:bCs w:val="1"/>
                <w:color w:val="auto"/>
                <w:w w:val="97"/>
              </w:rPr>
              <w:t>~1,500</w:t>
            </w:r>
          </w:p>
        </w:tc>
        <w:tc>
          <w:tcPr>
            <w:tcW w:w="20" w:type="dxa"/>
            <w:vAlign w:val="bottom"/>
          </w:tcPr>
          <w:p>
            <w:pPr>
              <w:spacing w:after="0"/>
              <w:rPr>
                <w:sz w:val="17"/>
                <w:szCs w:val="17"/>
                <w:color w:val="auto"/>
              </w:rPr>
            </w:pPr>
          </w:p>
        </w:tc>
      </w:tr>
      <w:tr>
        <w:trPr>
          <w:trHeight w:val="173"/>
        </w:trPr>
        <w:tc>
          <w:tcPr>
            <w:tcW w:w="2020" w:type="dxa"/>
            <w:vAlign w:val="bottom"/>
          </w:tcPr>
          <w:p>
            <w:pPr>
              <w:ind w:left="40"/>
              <w:spacing w:after="0"/>
              <w:rPr>
                <w:sz w:val="20"/>
                <w:szCs w:val="20"/>
                <w:color w:val="auto"/>
              </w:rPr>
            </w:pPr>
            <w:r>
              <w:rPr>
                <w:rFonts w:ascii="Arial" w:cs="Arial" w:eastAsia="Arial" w:hAnsi="Arial"/>
                <w:sz w:val="12"/>
                <w:szCs w:val="12"/>
                <w:color w:val="auto"/>
              </w:rPr>
              <w:t>Advanced Development</w:t>
            </w:r>
          </w:p>
        </w:tc>
        <w:tc>
          <w:tcPr>
            <w:tcW w:w="4060" w:type="dxa"/>
            <w:vAlign w:val="bottom"/>
          </w:tcPr>
          <w:p>
            <w:pPr>
              <w:ind w:left="700"/>
              <w:spacing w:after="0"/>
              <w:rPr>
                <w:sz w:val="20"/>
                <w:szCs w:val="20"/>
                <w:color w:val="auto"/>
              </w:rPr>
            </w:pPr>
            <w:r>
              <w:rPr>
                <w:rFonts w:ascii="Arial" w:cs="Arial" w:eastAsia="Arial" w:hAnsi="Arial"/>
                <w:sz w:val="12"/>
                <w:szCs w:val="12"/>
                <w:color w:val="auto"/>
              </w:rPr>
              <w:t>13-24 months to start of construction</w:t>
            </w:r>
          </w:p>
        </w:tc>
        <w:tc>
          <w:tcPr>
            <w:tcW w:w="2660" w:type="dxa"/>
            <w:vAlign w:val="bottom"/>
          </w:tcPr>
          <w:p>
            <w:pPr>
              <w:jc w:val="center"/>
              <w:ind w:left="280"/>
              <w:spacing w:after="0"/>
              <w:rPr>
                <w:sz w:val="20"/>
                <w:szCs w:val="20"/>
                <w:color w:val="auto"/>
              </w:rPr>
            </w:pPr>
            <w:r>
              <w:rPr>
                <w:rFonts w:ascii="Arial" w:cs="Arial" w:eastAsia="Arial" w:hAnsi="Arial"/>
                <w:sz w:val="12"/>
                <w:szCs w:val="12"/>
                <w:color w:val="auto"/>
                <w:w w:val="95"/>
              </w:rPr>
              <w:t>6.0</w:t>
            </w:r>
          </w:p>
        </w:tc>
        <w:tc>
          <w:tcPr>
            <w:tcW w:w="25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20" w:type="dxa"/>
            <w:vAlign w:val="bottom"/>
          </w:tcPr>
          <w:p>
            <w:pPr>
              <w:spacing w:after="0"/>
              <w:rPr>
                <w:sz w:val="15"/>
                <w:szCs w:val="15"/>
                <w:color w:val="auto"/>
              </w:rPr>
            </w:pPr>
          </w:p>
        </w:tc>
      </w:tr>
      <w:tr>
        <w:trPr>
          <w:trHeight w:val="207"/>
        </w:trPr>
        <w:tc>
          <w:tcPr>
            <w:tcW w:w="2020" w:type="dxa"/>
            <w:vAlign w:val="bottom"/>
          </w:tcPr>
          <w:p>
            <w:pPr>
              <w:ind w:left="40"/>
              <w:spacing w:after="0"/>
              <w:rPr>
                <w:sz w:val="20"/>
                <w:szCs w:val="20"/>
                <w:color w:val="auto"/>
              </w:rPr>
            </w:pPr>
            <w:r>
              <w:rPr>
                <w:rFonts w:ascii="Arial" w:cs="Arial" w:eastAsia="Arial" w:hAnsi="Arial"/>
                <w:sz w:val="12"/>
                <w:szCs w:val="12"/>
                <w:color w:val="auto"/>
              </w:rPr>
              <w:t>Development</w:t>
            </w:r>
          </w:p>
        </w:tc>
        <w:tc>
          <w:tcPr>
            <w:tcW w:w="4060" w:type="dxa"/>
            <w:vAlign w:val="bottom"/>
          </w:tcPr>
          <w:p>
            <w:pPr>
              <w:ind w:left="700"/>
              <w:spacing w:after="0"/>
              <w:rPr>
                <w:sz w:val="20"/>
                <w:szCs w:val="20"/>
                <w:color w:val="auto"/>
              </w:rPr>
            </w:pPr>
            <w:r>
              <w:rPr>
                <w:rFonts w:ascii="Arial" w:cs="Arial" w:eastAsia="Arial" w:hAnsi="Arial"/>
                <w:sz w:val="12"/>
                <w:szCs w:val="12"/>
                <w:color w:val="auto"/>
              </w:rPr>
              <w:t>2+ years to start of construction</w:t>
            </w:r>
          </w:p>
        </w:tc>
        <w:tc>
          <w:tcPr>
            <w:tcW w:w="2660" w:type="dxa"/>
            <w:vAlign w:val="bottom"/>
          </w:tcPr>
          <w:p>
            <w:pPr>
              <w:jc w:val="center"/>
              <w:ind w:left="280"/>
              <w:spacing w:after="0"/>
              <w:rPr>
                <w:sz w:val="20"/>
                <w:szCs w:val="20"/>
                <w:color w:val="auto"/>
              </w:rPr>
            </w:pPr>
            <w:r>
              <w:rPr>
                <w:rFonts w:ascii="Arial" w:cs="Arial" w:eastAsia="Arial" w:hAnsi="Arial"/>
                <w:sz w:val="12"/>
                <w:szCs w:val="12"/>
                <w:color w:val="auto"/>
              </w:rPr>
              <w:t>20.1</w:t>
            </w:r>
          </w:p>
        </w:tc>
        <w:tc>
          <w:tcPr>
            <w:tcW w:w="25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20" w:type="dxa"/>
            <w:vAlign w:val="bottom"/>
          </w:tcPr>
          <w:p>
            <w:pPr>
              <w:spacing w:after="0"/>
              <w:rPr>
                <w:sz w:val="18"/>
                <w:szCs w:val="18"/>
                <w:color w:val="auto"/>
              </w:rPr>
            </w:pPr>
          </w:p>
        </w:tc>
      </w:tr>
      <w:tr>
        <w:trPr>
          <w:trHeight w:val="34"/>
        </w:trPr>
        <w:tc>
          <w:tcPr>
            <w:tcW w:w="20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7"/>
        </w:trPr>
        <w:tc>
          <w:tcPr>
            <w:tcW w:w="2020" w:type="dxa"/>
            <w:vAlign w:val="bottom"/>
            <w:shd w:val="clear" w:color="auto" w:fill="E7E6E6"/>
          </w:tcPr>
          <w:p>
            <w:pPr>
              <w:ind w:left="40"/>
              <w:spacing w:after="0"/>
              <w:rPr>
                <w:sz w:val="20"/>
                <w:szCs w:val="20"/>
                <w:color w:val="auto"/>
              </w:rPr>
            </w:pPr>
            <w:r>
              <w:rPr>
                <w:rFonts w:ascii="Arial" w:cs="Arial" w:eastAsia="Arial" w:hAnsi="Arial"/>
                <w:sz w:val="12"/>
                <w:szCs w:val="12"/>
                <w:b w:val="1"/>
                <w:bCs w:val="1"/>
                <w:color w:val="auto"/>
              </w:rPr>
              <w:t>Total Portfolio</w:t>
            </w:r>
          </w:p>
        </w:tc>
        <w:tc>
          <w:tcPr>
            <w:tcW w:w="4060" w:type="dxa"/>
            <w:vAlign w:val="bottom"/>
            <w:shd w:val="clear" w:color="auto" w:fill="E7E6E6"/>
          </w:tcPr>
          <w:p>
            <w:pPr>
              <w:spacing w:after="0"/>
              <w:rPr>
                <w:sz w:val="15"/>
                <w:szCs w:val="15"/>
                <w:color w:val="auto"/>
              </w:rPr>
            </w:pPr>
          </w:p>
        </w:tc>
        <w:tc>
          <w:tcPr>
            <w:tcW w:w="2660" w:type="dxa"/>
            <w:vAlign w:val="bottom"/>
            <w:shd w:val="clear" w:color="auto" w:fill="E7E6E6"/>
          </w:tcPr>
          <w:p>
            <w:pPr>
              <w:jc w:val="center"/>
              <w:ind w:left="280"/>
              <w:spacing w:after="0"/>
              <w:rPr>
                <w:sz w:val="20"/>
                <w:szCs w:val="20"/>
                <w:color w:val="auto"/>
              </w:rPr>
            </w:pPr>
            <w:r>
              <w:rPr>
                <w:rFonts w:ascii="Arial" w:cs="Arial" w:eastAsia="Arial" w:hAnsi="Arial"/>
                <w:sz w:val="12"/>
                <w:szCs w:val="12"/>
                <w:b w:val="1"/>
                <w:bCs w:val="1"/>
                <w:color w:val="auto"/>
              </w:rPr>
              <w:t>35.3</w:t>
            </w:r>
          </w:p>
        </w:tc>
        <w:tc>
          <w:tcPr>
            <w:tcW w:w="2540" w:type="dxa"/>
            <w:vAlign w:val="bottom"/>
            <w:shd w:val="clear" w:color="auto" w:fill="E7E6E6"/>
          </w:tcPr>
          <w:p>
            <w:pPr>
              <w:jc w:val="center"/>
              <w:spacing w:after="0"/>
              <w:rPr>
                <w:sz w:val="20"/>
                <w:szCs w:val="20"/>
                <w:color w:val="auto"/>
              </w:rPr>
            </w:pPr>
            <w:r>
              <w:rPr>
                <w:rFonts w:ascii="Arial" w:cs="Arial" w:eastAsia="Arial" w:hAnsi="Arial"/>
                <w:sz w:val="12"/>
                <w:szCs w:val="12"/>
                <w:b w:val="1"/>
                <w:bCs w:val="1"/>
                <w:color w:val="auto"/>
                <w:w w:val="98"/>
              </w:rPr>
              <w:t>-</w:t>
            </w:r>
          </w:p>
        </w:tc>
        <w:tc>
          <w:tcPr>
            <w:tcW w:w="20" w:type="dxa"/>
            <w:vAlign w:val="bottom"/>
          </w:tcPr>
          <w:p>
            <w:pPr>
              <w:spacing w:after="0"/>
              <w:rPr>
                <w:sz w:val="15"/>
                <w:szCs w:val="15"/>
                <w:color w:val="auto"/>
              </w:rPr>
            </w:pPr>
          </w:p>
        </w:tc>
      </w:tr>
      <w:tr>
        <w:trPr>
          <w:trHeight w:val="37"/>
        </w:trPr>
        <w:tc>
          <w:tcPr>
            <w:tcW w:w="2020" w:type="dxa"/>
            <w:vAlign w:val="bottom"/>
            <w:shd w:val="clear" w:color="auto" w:fill="E7E6E6"/>
          </w:tcPr>
          <w:p>
            <w:pPr>
              <w:spacing w:after="0"/>
              <w:rPr>
                <w:sz w:val="3"/>
                <w:szCs w:val="3"/>
                <w:color w:val="auto"/>
              </w:rPr>
            </w:pPr>
          </w:p>
        </w:tc>
        <w:tc>
          <w:tcPr>
            <w:tcW w:w="4060" w:type="dxa"/>
            <w:vAlign w:val="bottom"/>
            <w:shd w:val="clear" w:color="auto" w:fill="E7E6E6"/>
          </w:tcPr>
          <w:p>
            <w:pPr>
              <w:spacing w:after="0"/>
              <w:rPr>
                <w:sz w:val="3"/>
                <w:szCs w:val="3"/>
                <w:color w:val="auto"/>
              </w:rPr>
            </w:pPr>
          </w:p>
        </w:tc>
        <w:tc>
          <w:tcPr>
            <w:tcW w:w="2660" w:type="dxa"/>
            <w:vAlign w:val="bottom"/>
            <w:shd w:val="clear" w:color="auto" w:fill="E7E6E6"/>
          </w:tcPr>
          <w:p>
            <w:pPr>
              <w:spacing w:after="0"/>
              <w:rPr>
                <w:sz w:val="3"/>
                <w:szCs w:val="3"/>
                <w:color w:val="auto"/>
              </w:rPr>
            </w:pPr>
          </w:p>
        </w:tc>
        <w:tc>
          <w:tcPr>
            <w:tcW w:w="2540" w:type="dxa"/>
            <w:vAlign w:val="bottom"/>
            <w:shd w:val="clear" w:color="auto" w:fill="E7E6E6"/>
          </w:tcPr>
          <w:p>
            <w:pPr>
              <w:spacing w:after="0"/>
              <w:rPr>
                <w:sz w:val="3"/>
                <w:szCs w:val="3"/>
                <w:color w:val="auto"/>
              </w:rPr>
            </w:pPr>
          </w:p>
        </w:tc>
        <w:tc>
          <w:tcPr>
            <w:tcW w:w="20" w:type="dxa"/>
            <w:vAlign w:val="bottom"/>
          </w:tcPr>
          <w:p>
            <w:pPr>
              <w:spacing w:after="0"/>
              <w:rPr>
                <w:sz w:val="3"/>
                <w:szCs w:val="3"/>
                <w:color w:val="auto"/>
              </w:rPr>
            </w:pPr>
          </w:p>
        </w:tc>
      </w:tr>
    </w:tbl>
    <w:p>
      <w:pPr>
        <w:spacing w:after="0" w:line="140" w:lineRule="exact"/>
        <w:rPr>
          <w:sz w:val="20"/>
          <w:szCs w:val="20"/>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Arial" w:cs="Arial" w:eastAsia="Arial" w:hAnsi="Arial"/>
          <w:sz w:val="12"/>
          <w:szCs w:val="12"/>
          <w:b w:val="1"/>
          <w:bCs w:val="1"/>
          <w:color w:val="auto"/>
        </w:rPr>
        <w:t>Operating component of the portfolio: 3.1 FGW</w:t>
      </w:r>
    </w:p>
    <w:p>
      <w:pPr>
        <w:spacing w:after="0" w:line="158" w:lineRule="exact"/>
        <w:rPr>
          <w:sz w:val="20"/>
          <w:szCs w:val="20"/>
          <w:color w:val="auto"/>
        </w:rPr>
      </w:pPr>
    </w:p>
    <w:p>
      <w:pPr>
        <w:ind w:left="968" w:hanging="212"/>
        <w:spacing w:after="0"/>
        <w:tabs>
          <w:tab w:leader="none" w:pos="968" w:val="left"/>
        </w:tabs>
        <w:numPr>
          <w:ilvl w:val="1"/>
          <w:numId w:val="7"/>
        </w:numPr>
        <w:rPr>
          <w:rFonts w:ascii="Courier New" w:cs="Courier New" w:eastAsia="Courier New" w:hAnsi="Courier New"/>
          <w:sz w:val="12"/>
          <w:szCs w:val="12"/>
          <w:color w:val="auto"/>
        </w:rPr>
      </w:pPr>
      <w:r>
        <w:rPr>
          <w:rFonts w:ascii="Arial" w:cs="Arial" w:eastAsia="Arial" w:hAnsi="Arial"/>
          <w:sz w:val="12"/>
          <w:szCs w:val="12"/>
          <w:color w:val="auto"/>
        </w:rPr>
        <w:t>During the second quarter, Bar-On floating PV and storage (67 FMW), located in Israel, entered into operation.</w:t>
      </w:r>
    </w:p>
    <w:p>
      <w:pPr>
        <w:spacing w:after="0" w:line="148" w:lineRule="exact"/>
        <w:rPr>
          <w:rFonts w:ascii="Courier New" w:cs="Courier New" w:eastAsia="Courier New" w:hAnsi="Courier New"/>
          <w:sz w:val="12"/>
          <w:szCs w:val="12"/>
          <w:color w:val="auto"/>
        </w:rPr>
      </w:pPr>
    </w:p>
    <w:p>
      <w:pPr>
        <w:ind w:left="968" w:hanging="212"/>
        <w:spacing w:after="0"/>
        <w:tabs>
          <w:tab w:leader="none" w:pos="968" w:val="left"/>
        </w:tabs>
        <w:numPr>
          <w:ilvl w:val="1"/>
          <w:numId w:val="7"/>
        </w:numPr>
        <w:rPr>
          <w:rFonts w:ascii="Courier New" w:cs="Courier New" w:eastAsia="Courier New" w:hAnsi="Courier New"/>
          <w:sz w:val="12"/>
          <w:szCs w:val="12"/>
          <w:color w:val="auto"/>
        </w:rPr>
      </w:pPr>
      <w:r>
        <w:rPr>
          <w:rFonts w:ascii="Arial" w:cs="Arial" w:eastAsia="Arial" w:hAnsi="Arial"/>
          <w:sz w:val="12"/>
          <w:szCs w:val="12"/>
          <w:color w:val="auto"/>
        </w:rPr>
        <w:t>The operational portfolio generates annualized revenues and income of approximately $527 million, based on the midpoint rage of the 2025 guidance.</w:t>
      </w:r>
    </w:p>
    <w:p>
      <w:pPr>
        <w:spacing w:after="0" w:line="139" w:lineRule="exact"/>
        <w:rPr>
          <w:rFonts w:ascii="Courier New" w:cs="Courier New" w:eastAsia="Courier New" w:hAnsi="Courier New"/>
          <w:sz w:val="12"/>
          <w:szCs w:val="12"/>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Arial" w:cs="Arial" w:eastAsia="Arial" w:hAnsi="Arial"/>
          <w:sz w:val="12"/>
          <w:szCs w:val="12"/>
          <w:b w:val="1"/>
          <w:bCs w:val="1"/>
          <w:color w:val="auto"/>
        </w:rPr>
        <w:t>Under Construction component of the portfolio: 2.9 FGW</w:t>
      </w:r>
    </w:p>
    <w:p>
      <w:pPr>
        <w:spacing w:after="0" w:line="149" w:lineRule="exact"/>
        <w:rPr>
          <w:rFonts w:ascii="Times New Roman" w:cs="Times New Roman" w:eastAsia="Times New Roman" w:hAnsi="Times New Roman"/>
          <w:sz w:val="12"/>
          <w:szCs w:val="12"/>
          <w:color w:val="auto"/>
        </w:rPr>
      </w:pPr>
    </w:p>
    <w:p>
      <w:pPr>
        <w:ind w:left="968" w:hanging="212"/>
        <w:spacing w:after="0"/>
        <w:tabs>
          <w:tab w:leader="none" w:pos="968" w:val="left"/>
        </w:tabs>
        <w:numPr>
          <w:ilvl w:val="1"/>
          <w:numId w:val="7"/>
        </w:numPr>
        <w:rPr>
          <w:rFonts w:ascii="Courier New" w:cs="Courier New" w:eastAsia="Courier New" w:hAnsi="Courier New"/>
          <w:sz w:val="12"/>
          <w:szCs w:val="12"/>
          <w:color w:val="auto"/>
        </w:rPr>
      </w:pPr>
      <w:r>
        <w:rPr>
          <w:rFonts w:ascii="Arial" w:cs="Arial" w:eastAsia="Arial" w:hAnsi="Arial"/>
          <w:sz w:val="12"/>
          <w:szCs w:val="12"/>
          <w:color w:val="auto"/>
        </w:rPr>
        <w:t>Consists mostly of four projects in the U.S. with a total capacity of 2.5 FGW.</w:t>
      </w:r>
    </w:p>
    <w:p>
      <w:pPr>
        <w:spacing w:after="0" w:line="148" w:lineRule="exact"/>
        <w:rPr>
          <w:rFonts w:ascii="Courier New" w:cs="Courier New" w:eastAsia="Courier New" w:hAnsi="Courier New"/>
          <w:sz w:val="12"/>
          <w:szCs w:val="12"/>
          <w:color w:val="auto"/>
        </w:rPr>
      </w:pPr>
    </w:p>
    <w:p>
      <w:pPr>
        <w:ind w:left="968" w:hanging="212"/>
        <w:spacing w:after="0"/>
        <w:tabs>
          <w:tab w:leader="none" w:pos="968" w:val="left"/>
        </w:tabs>
        <w:numPr>
          <w:ilvl w:val="1"/>
          <w:numId w:val="7"/>
        </w:numPr>
        <w:rPr>
          <w:rFonts w:ascii="Courier New" w:cs="Courier New" w:eastAsia="Courier New" w:hAnsi="Courier New"/>
          <w:sz w:val="12"/>
          <w:szCs w:val="12"/>
          <w:color w:val="auto"/>
        </w:rPr>
      </w:pPr>
      <w:r>
        <w:rPr>
          <w:rFonts w:ascii="Arial" w:cs="Arial" w:eastAsia="Arial" w:hAnsi="Arial"/>
          <w:sz w:val="12"/>
          <w:szCs w:val="12"/>
          <w:color w:val="auto"/>
        </w:rPr>
        <w:t>During the second quarter, Snowflake A (1.1 FGW), located in Arizona, entered into under construction status.</w:t>
      </w:r>
    </w:p>
    <w:p>
      <w:pPr>
        <w:spacing w:after="0" w:line="148" w:lineRule="exact"/>
        <w:rPr>
          <w:rFonts w:ascii="Courier New" w:cs="Courier New" w:eastAsia="Courier New" w:hAnsi="Courier New"/>
          <w:sz w:val="12"/>
          <w:szCs w:val="12"/>
          <w:color w:val="auto"/>
        </w:rPr>
      </w:pPr>
    </w:p>
    <w:p>
      <w:pPr>
        <w:ind w:left="968" w:hanging="212"/>
        <w:spacing w:after="0"/>
        <w:tabs>
          <w:tab w:leader="none" w:pos="968" w:val="left"/>
        </w:tabs>
        <w:numPr>
          <w:ilvl w:val="1"/>
          <w:numId w:val="7"/>
        </w:numPr>
        <w:rPr>
          <w:rFonts w:ascii="Courier New" w:cs="Courier New" w:eastAsia="Courier New" w:hAnsi="Courier New"/>
          <w:sz w:val="12"/>
          <w:szCs w:val="12"/>
          <w:color w:val="auto"/>
        </w:rPr>
      </w:pPr>
      <w:r>
        <w:rPr>
          <w:rFonts w:ascii="Arial" w:cs="Arial" w:eastAsia="Arial" w:hAnsi="Arial"/>
          <w:sz w:val="12"/>
          <w:szCs w:val="12"/>
          <w:color w:val="auto"/>
        </w:rPr>
        <w:t>Projects under construction are expected to contribute ~$550m to the annual revenues and income run rate during their first full year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222250</wp:posOffset>
            </wp:positionV>
            <wp:extent cx="10972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389" w:lineRule="exact"/>
        <w:rPr>
          <w:sz w:val="20"/>
          <w:szCs w:val="20"/>
          <w:color w:val="auto"/>
        </w:rPr>
      </w:pPr>
    </w:p>
    <w:p>
      <w:pPr>
        <w:ind w:left="8" w:right="100" w:hanging="8"/>
        <w:spacing w:after="0" w:line="201" w:lineRule="auto"/>
        <w:tabs>
          <w:tab w:leader="none" w:pos="97"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FGW (Factored GW) is a consolidated metric combining generation and storage capacity into a uniform figure based on the ratio of construction costs. The company’s current weighted average construction cost ratio is 3.5 GWh of storage per 1 GW of generation: FGW = GW + GWh / 3.5</w:t>
      </w:r>
    </w:p>
    <w:p>
      <w:pPr>
        <w:ind w:left="8"/>
        <w:spacing w:after="0"/>
        <w:rPr>
          <w:rFonts w:ascii="Arial" w:cs="Arial" w:eastAsia="Arial" w:hAnsi="Arial"/>
          <w:sz w:val="20"/>
          <w:szCs w:val="20"/>
          <w:color w:val="auto"/>
          <w:vertAlign w:val="superscript"/>
        </w:rPr>
      </w:pPr>
      <w:r>
        <w:rPr>
          <w:rFonts w:ascii="Arial" w:cs="Arial" w:eastAsia="Arial" w:hAnsi="Arial"/>
          <w:sz w:val="19"/>
          <w:szCs w:val="19"/>
          <w:color w:val="auto"/>
          <w:vertAlign w:val="superscript"/>
        </w:rPr>
        <w:t>4</w:t>
      </w:r>
      <w:r>
        <w:rPr>
          <w:rFonts w:ascii="Arial" w:cs="Arial" w:eastAsia="Arial" w:hAnsi="Arial"/>
          <w:sz w:val="12"/>
          <w:szCs w:val="12"/>
          <w:color w:val="auto"/>
        </w:rPr>
        <w:t xml:space="preserve"> Based on the midpoint of 2025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6" w:name="page7"/>
    <w:bookmarkEnd w:id="6"/>
    <w:p>
      <w:pPr>
        <w:ind w:left="220" w:hanging="212"/>
        <w:spacing w:after="0"/>
        <w:tabs>
          <w:tab w:leader="none" w:pos="220" w:val="left"/>
        </w:tabs>
        <w:numPr>
          <w:ilvl w:val="0"/>
          <w:numId w:val="9"/>
        </w:numPr>
        <w:rPr>
          <w:rFonts w:ascii="Times New Roman" w:cs="Times New Roman" w:eastAsia="Times New Roman" w:hAnsi="Times New Roman"/>
          <w:sz w:val="12"/>
          <w:szCs w:val="12"/>
          <w:color w:val="auto"/>
        </w:rPr>
      </w:pPr>
      <w:r>
        <w:rPr>
          <w:rFonts w:ascii="Arial" w:cs="Arial" w:eastAsia="Arial" w:hAnsi="Arial"/>
          <w:sz w:val="12"/>
          <w:szCs w:val="12"/>
          <w:b w:val="1"/>
          <w:bCs w:val="1"/>
          <w:color w:val="auto"/>
        </w:rPr>
        <w:t>Pre-construction component of the portfolio: 3.2 FGW</w:t>
      </w:r>
    </w:p>
    <w:p>
      <w:pPr>
        <w:spacing w:after="0" w:line="158" w:lineRule="exact"/>
        <w:rPr>
          <w:sz w:val="20"/>
          <w:szCs w:val="20"/>
          <w:color w:val="auto"/>
        </w:rPr>
      </w:pPr>
    </w:p>
    <w:p>
      <w:pPr>
        <w:ind w:left="760" w:hanging="212"/>
        <w:spacing w:after="0" w:line="252" w:lineRule="auto"/>
        <w:tabs>
          <w:tab w:leader="none" w:pos="760" w:val="left"/>
        </w:tabs>
        <w:numPr>
          <w:ilvl w:val="0"/>
          <w:numId w:val="10"/>
        </w:numPr>
        <w:rPr>
          <w:rFonts w:ascii="Courier New" w:cs="Courier New" w:eastAsia="Courier New" w:hAnsi="Courier New"/>
          <w:sz w:val="12"/>
          <w:szCs w:val="12"/>
          <w:color w:val="auto"/>
        </w:rPr>
      </w:pPr>
      <w:r>
        <w:rPr>
          <w:rFonts w:ascii="Arial" w:cs="Arial" w:eastAsia="Arial" w:hAnsi="Arial"/>
          <w:sz w:val="12"/>
          <w:szCs w:val="12"/>
          <w:color w:val="auto"/>
        </w:rPr>
        <w:t>Significant new additions include Iftah HV (184 FMW), a stand alone storage project in Israel, and the expansion of the solar generation as well as the battery capacity at Nardo in Italy (192 FMW).</w:t>
      </w:r>
    </w:p>
    <w:p>
      <w:pPr>
        <w:spacing w:after="0" w:line="113" w:lineRule="exact"/>
        <w:rPr>
          <w:rFonts w:ascii="Courier New" w:cs="Courier New" w:eastAsia="Courier New" w:hAnsi="Courier New"/>
          <w:sz w:val="12"/>
          <w:szCs w:val="12"/>
          <w:color w:val="auto"/>
        </w:rPr>
      </w:pPr>
    </w:p>
    <w:p>
      <w:pPr>
        <w:ind w:left="760" w:hanging="212"/>
        <w:spacing w:after="0"/>
        <w:tabs>
          <w:tab w:leader="none" w:pos="760" w:val="left"/>
        </w:tabs>
        <w:numPr>
          <w:ilvl w:val="0"/>
          <w:numId w:val="10"/>
        </w:numPr>
        <w:rPr>
          <w:rFonts w:ascii="Courier New" w:cs="Courier New" w:eastAsia="Courier New" w:hAnsi="Courier New"/>
          <w:sz w:val="12"/>
          <w:szCs w:val="12"/>
          <w:color w:val="auto"/>
        </w:rPr>
      </w:pPr>
      <w:r>
        <w:rPr>
          <w:rFonts w:ascii="Arial" w:cs="Arial" w:eastAsia="Arial" w:hAnsi="Arial"/>
          <w:sz w:val="12"/>
          <w:szCs w:val="12"/>
          <w:color w:val="auto"/>
        </w:rPr>
        <w:t>Pre-construction projects are expected to contribute ~$450m in revenues and income in their first full year of operations.</w:t>
      </w:r>
    </w:p>
    <w:p>
      <w:pPr>
        <w:spacing w:after="0" w:line="148" w:lineRule="exact"/>
        <w:rPr>
          <w:sz w:val="20"/>
          <w:szCs w:val="20"/>
          <w:color w:val="auto"/>
        </w:rPr>
      </w:pPr>
    </w:p>
    <w:p>
      <w:pPr>
        <w:spacing w:after="0" w:line="312" w:lineRule="auto"/>
        <w:rPr>
          <w:sz w:val="20"/>
          <w:szCs w:val="20"/>
          <w:color w:val="auto"/>
        </w:rPr>
      </w:pPr>
      <w:r>
        <w:rPr>
          <w:rFonts w:ascii="Arial" w:cs="Arial" w:eastAsia="Arial" w:hAnsi="Arial"/>
          <w:sz w:val="12"/>
          <w:szCs w:val="12"/>
          <w:b w:val="1"/>
          <w:bCs w:val="1"/>
          <w:color w:val="auto"/>
        </w:rPr>
        <w:t>With the completion of the current Mature portfolio’s pre-construction and under construction projects, Enlight’s Mature portfolio operating capacity is expected to rise to 9.2 FGW and to generate an annualized revenue and income run rate of $1.5bn by 2028.</w:t>
      </w:r>
    </w:p>
    <w:p>
      <w:pPr>
        <w:spacing w:after="0" w:line="91"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12"/>
          <w:szCs w:val="12"/>
          <w:color w:val="auto"/>
        </w:rPr>
      </w:pPr>
      <w:r>
        <w:rPr>
          <w:rFonts w:ascii="Arial" w:cs="Arial" w:eastAsia="Arial" w:hAnsi="Arial"/>
          <w:sz w:val="12"/>
          <w:szCs w:val="12"/>
          <w:b w:val="1"/>
          <w:bCs w:val="1"/>
          <w:color w:val="auto"/>
        </w:rPr>
        <w:t>Advanced Development component of the portfolio component: 6.0 FGW</w:t>
      </w:r>
    </w:p>
    <w:p>
      <w:pPr>
        <w:spacing w:after="0" w:line="158" w:lineRule="exact"/>
        <w:rPr>
          <w:sz w:val="20"/>
          <w:szCs w:val="20"/>
          <w:color w:val="auto"/>
        </w:rPr>
      </w:pPr>
    </w:p>
    <w:p>
      <w:pPr>
        <w:ind w:left="760" w:right="240" w:hanging="212"/>
        <w:spacing w:after="0" w:line="252" w:lineRule="auto"/>
        <w:tabs>
          <w:tab w:leader="none" w:pos="760" w:val="left"/>
        </w:tabs>
        <w:numPr>
          <w:ilvl w:val="1"/>
          <w:numId w:val="12"/>
        </w:numPr>
        <w:rPr>
          <w:rFonts w:ascii="Courier New" w:cs="Courier New" w:eastAsia="Courier New" w:hAnsi="Courier New"/>
          <w:sz w:val="12"/>
          <w:szCs w:val="12"/>
          <w:color w:val="auto"/>
        </w:rPr>
      </w:pPr>
      <w:r>
        <w:rPr>
          <w:rFonts w:ascii="Arial" w:cs="Arial" w:eastAsia="Arial" w:hAnsi="Arial"/>
          <w:sz w:val="12"/>
          <w:szCs w:val="12"/>
          <w:color w:val="auto"/>
        </w:rPr>
        <w:t>5.1 FGW in the U.S., with 100% of the capacity having passed completion of the System Impact Study. The advanced development portfolio also includes 0.5 FGW in Europe and 0.4 FGW in MENA.</w:t>
      </w:r>
    </w:p>
    <w:p>
      <w:pPr>
        <w:spacing w:after="0" w:line="113" w:lineRule="exact"/>
        <w:rPr>
          <w:rFonts w:ascii="Courier New" w:cs="Courier New" w:eastAsia="Courier New" w:hAnsi="Courier New"/>
          <w:sz w:val="12"/>
          <w:szCs w:val="12"/>
          <w:color w:val="auto"/>
        </w:rPr>
      </w:pPr>
    </w:p>
    <w:p>
      <w:pPr>
        <w:ind w:left="220" w:hanging="212"/>
        <w:spacing w:after="0"/>
        <w:tabs>
          <w:tab w:leader="none" w:pos="22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b w:val="1"/>
          <w:bCs w:val="1"/>
          <w:color w:val="auto"/>
        </w:rPr>
        <w:t>Development component of the portfolio: 20.1 FGW</w:t>
      </w:r>
    </w:p>
    <w:p>
      <w:pPr>
        <w:spacing w:after="0" w:line="158" w:lineRule="exact"/>
        <w:rPr>
          <w:rFonts w:ascii="Times New Roman" w:cs="Times New Roman" w:eastAsia="Times New Roman" w:hAnsi="Times New Roman"/>
          <w:sz w:val="12"/>
          <w:szCs w:val="12"/>
          <w:color w:val="auto"/>
        </w:rPr>
      </w:pPr>
    </w:p>
    <w:p>
      <w:pPr>
        <w:ind w:left="760" w:hanging="212"/>
        <w:spacing w:after="0"/>
        <w:tabs>
          <w:tab w:leader="none" w:pos="760" w:val="left"/>
        </w:tabs>
        <w:numPr>
          <w:ilvl w:val="1"/>
          <w:numId w:val="12"/>
        </w:numPr>
        <w:rPr>
          <w:rFonts w:ascii="Courier New" w:cs="Courier New" w:eastAsia="Courier New" w:hAnsi="Courier New"/>
          <w:sz w:val="12"/>
          <w:szCs w:val="12"/>
          <w:color w:val="auto"/>
        </w:rPr>
      </w:pPr>
      <w:r>
        <w:rPr>
          <w:rFonts w:ascii="Arial" w:cs="Arial" w:eastAsia="Arial" w:hAnsi="Arial"/>
          <w:sz w:val="12"/>
          <w:szCs w:val="12"/>
          <w:color w:val="auto"/>
        </w:rPr>
        <w:t>13.0 FGW in the U.S. with broad geographic presence, including the PJM, WECC, SPP and MISO regions. The development portfolio also includes 3.4 FGW in Europe and 3.7 FGW in MENA.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176530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80"/>
          </w:cols>
          <w:pgMar w:left="500" w:top="128" w:right="319" w:bottom="1440" w:gutter="0" w:footer="0" w:header="0"/>
        </w:sectPr>
      </w:pPr>
    </w:p>
    <w:bookmarkStart w:id="7" w:name="page8"/>
    <w:bookmarkEnd w:id="7"/>
    <w:p>
      <w:pPr>
        <w:jc w:val="center"/>
        <w:ind w:right="-7"/>
        <w:spacing w:after="0"/>
        <w:rPr>
          <w:sz w:val="20"/>
          <w:szCs w:val="20"/>
          <w:color w:val="auto"/>
        </w:rPr>
      </w:pPr>
      <w:r>
        <w:rPr>
          <w:rFonts w:ascii="Arial" w:cs="Arial" w:eastAsia="Arial" w:hAnsi="Arial"/>
          <w:sz w:val="12"/>
          <w:szCs w:val="12"/>
          <w:b w:val="1"/>
          <w:bCs w:val="1"/>
          <w:color w:val="auto"/>
        </w:rPr>
        <w:t>Roadmap to Revenues and Income Run-Rate of ~$2.0bn by 2028</w:t>
      </w:r>
      <w:r>
        <w:rPr>
          <w:rFonts w:ascii="Arial" w:cs="Arial" w:eastAsia="Arial" w:hAnsi="Arial"/>
          <w:sz w:val="19"/>
          <w:szCs w:val="19"/>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-29210</wp:posOffset>
            </wp:positionV>
            <wp:extent cx="5034915" cy="1811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34915" cy="181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Project and Corporate Finance</w:t>
      </w:r>
    </w:p>
    <w:p>
      <w:pPr>
        <w:spacing w:after="0" w:line="168" w:lineRule="exact"/>
        <w:rPr>
          <w:sz w:val="20"/>
          <w:szCs w:val="20"/>
          <w:color w:val="auto"/>
        </w:rPr>
      </w:pPr>
    </w:p>
    <w:p>
      <w:pPr>
        <w:ind w:left="428" w:right="20" w:hanging="212"/>
        <w:spacing w:after="0" w:line="269" w:lineRule="auto"/>
        <w:tabs>
          <w:tab w:leader="none" w:pos="428" w:val="left"/>
        </w:tabs>
        <w:numPr>
          <w:ilvl w:val="0"/>
          <w:numId w:val="13"/>
        </w:numPr>
        <w:rPr>
          <w:rFonts w:ascii="Times New Roman" w:cs="Times New Roman" w:eastAsia="Times New Roman" w:hAnsi="Times New Roman"/>
          <w:sz w:val="12"/>
          <w:szCs w:val="12"/>
          <w:color w:val="auto"/>
        </w:rPr>
      </w:pPr>
      <w:r>
        <w:rPr>
          <w:rFonts w:ascii="Arial" w:cs="Arial" w:eastAsia="Arial" w:hAnsi="Arial"/>
          <w:sz w:val="12"/>
          <w:szCs w:val="12"/>
          <w:color w:val="auto"/>
        </w:rPr>
        <w:t>During the quarter, the Company secured $310m in financial closings for the Gecama hybridization project in Spain, which will add 225 MW solar generation and 220 MWh of energy storage capacity to the existing 329 MW wind farm.</w:t>
      </w:r>
    </w:p>
    <w:p>
      <w:pPr>
        <w:spacing w:after="0" w:line="104" w:lineRule="exact"/>
        <w:rPr>
          <w:rFonts w:ascii="Times New Roman" w:cs="Times New Roman" w:eastAsia="Times New Roman" w:hAnsi="Times New Roman"/>
          <w:sz w:val="12"/>
          <w:szCs w:val="12"/>
          <w:color w:val="auto"/>
        </w:rPr>
      </w:pPr>
    </w:p>
    <w:p>
      <w:pPr>
        <w:ind w:left="428" w:right="20" w:hanging="212"/>
        <w:spacing w:after="0" w:line="269" w:lineRule="auto"/>
        <w:tabs>
          <w:tab w:leader="none" w:pos="428" w:val="left"/>
        </w:tabs>
        <w:numPr>
          <w:ilvl w:val="0"/>
          <w:numId w:val="13"/>
        </w:numPr>
        <w:rPr>
          <w:rFonts w:ascii="Times New Roman" w:cs="Times New Roman" w:eastAsia="Times New Roman" w:hAnsi="Times New Roman"/>
          <w:sz w:val="12"/>
          <w:szCs w:val="12"/>
          <w:color w:val="auto"/>
        </w:rPr>
      </w:pPr>
      <w:r>
        <w:rPr>
          <w:rFonts w:ascii="Arial" w:cs="Arial" w:eastAsia="Arial" w:hAnsi="Arial"/>
          <w:sz w:val="12"/>
          <w:szCs w:val="12"/>
          <w:color w:val="auto"/>
        </w:rPr>
        <w:t>As at the balance sheet date, the Company maintained $525m of credit facilities, of which $9m have been drawn. Cash and cash equivalents on our balance sheet rose to $480m from $387m at the end of 2024. In addition, we have approximately $1bn of LC and surety bond facilities supporting our global expansion, of which half was available for use at end of the quarter.</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2025 Guidance</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Construction and commissioning</w:t>
      </w:r>
    </w:p>
    <w:p>
      <w:pPr>
        <w:spacing w:after="0" w:line="168" w:lineRule="exact"/>
        <w:rPr>
          <w:sz w:val="20"/>
          <w:szCs w:val="20"/>
          <w:color w:val="auto"/>
        </w:rPr>
      </w:pPr>
    </w:p>
    <w:p>
      <w:pPr>
        <w:ind w:left="428" w:hanging="212"/>
        <w:spacing w:after="0" w:line="269" w:lineRule="auto"/>
        <w:tabs>
          <w:tab w:leader="none" w:pos="428" w:val="left"/>
        </w:tabs>
        <w:numPr>
          <w:ilvl w:val="0"/>
          <w:numId w:val="14"/>
        </w:numPr>
        <w:rPr>
          <w:rFonts w:ascii="Times New Roman" w:cs="Times New Roman" w:eastAsia="Times New Roman" w:hAnsi="Times New Roman"/>
          <w:sz w:val="12"/>
          <w:szCs w:val="12"/>
          <w:color w:val="auto"/>
        </w:rPr>
      </w:pPr>
      <w:r>
        <w:rPr>
          <w:rFonts w:ascii="Arial" w:cs="Arial" w:eastAsia="Arial" w:hAnsi="Arial"/>
          <w:sz w:val="12"/>
          <w:szCs w:val="12"/>
          <w:color w:val="auto"/>
        </w:rPr>
        <w:t>Commencing construction on 4.8 FGW of capacity during 2025, (of which 2.9 FGW has already begun), and is expected to add approximately $827-869m in revenues and income run rate and approximately $726-763m in annualized EBITDA gradually through 2025-2028.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0972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363" w:lineRule="exact"/>
        <w:rPr>
          <w:sz w:val="20"/>
          <w:szCs w:val="20"/>
          <w:color w:val="auto"/>
        </w:rPr>
      </w:pPr>
    </w:p>
    <w:p>
      <w:pPr>
        <w:ind w:left="8" w:right="60" w:hanging="8"/>
        <w:spacing w:after="0" w:line="230" w:lineRule="auto"/>
        <w:tabs>
          <w:tab w:leader="none" w:pos="97" w:val="left"/>
        </w:tabs>
        <w:numPr>
          <w:ilvl w:val="0"/>
          <w:numId w:val="15"/>
        </w:numPr>
        <w:rPr>
          <w:rFonts w:ascii="Arial" w:cs="Arial" w:eastAsia="Arial" w:hAnsi="Arial"/>
          <w:sz w:val="20"/>
          <w:szCs w:val="20"/>
          <w:color w:val="auto"/>
          <w:vertAlign w:val="superscript"/>
        </w:rPr>
      </w:pPr>
      <w:r>
        <w:rPr>
          <w:rFonts w:ascii="Arial" w:cs="Arial" w:eastAsia="Arial" w:hAnsi="Arial"/>
          <w:sz w:val="12"/>
          <w:szCs w:val="12"/>
          <w:color w:val="auto"/>
        </w:rPr>
        <w:t>Expected Adjusted EBITDA margin of approximately 70%-80% for the years shown. FGW (Factored GW) is a consolidated metric combining generation and storage capacity into a uniform figure based on the ratio of construction costs. The company’s current weighted average construction cost ratio is 3.5 GWh of storage per 1 GW of generation: FGW = GW + GWh / 3.5. The expected growth in 2028 encompasses the Company’s operations in all geographies. Expected growth relies on business plans which rely on development conditions and assumptions regarding electricity prices, and are contingent on current trends known to the Company at this time. The company's revenues from tax benefits are estimated at approximately 20-24% of the total revenue run rate for December 2025; approximately 22-26% of the total revenue run rate for December 2026, and approximately 28-33% of the total revenue run rate for December 2027 and December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8" w:name="page9"/>
    <w:bookmarkEnd w:id="8"/>
    <w:p>
      <w:pPr>
        <w:ind w:left="428" w:hanging="212"/>
        <w:spacing w:after="0"/>
        <w:tabs>
          <w:tab w:leader="none" w:pos="428" w:val="left"/>
        </w:tabs>
        <w:numPr>
          <w:ilvl w:val="0"/>
          <w:numId w:val="16"/>
        </w:numPr>
        <w:rPr>
          <w:rFonts w:ascii="Times New Roman" w:cs="Times New Roman" w:eastAsia="Times New Roman" w:hAnsi="Times New Roman"/>
          <w:sz w:val="12"/>
          <w:szCs w:val="12"/>
          <w:color w:val="auto"/>
        </w:rPr>
      </w:pPr>
      <w:r>
        <w:rPr>
          <w:rFonts w:ascii="Arial" w:cs="Arial" w:eastAsia="Arial" w:hAnsi="Arial"/>
          <w:sz w:val="12"/>
          <w:szCs w:val="12"/>
          <w:color w:val="auto"/>
        </w:rPr>
        <w:t>Out of the 4.8 FGW, we expect commissioning of 0.8 FGW toward the end of 2025, which is expected to add approximately $142-150m to annualized revenues and income and $123-129m to annualized</w:t>
      </w:r>
    </w:p>
    <w:p>
      <w:pPr>
        <w:spacing w:after="0" w:line="8"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Arial" w:cs="Arial" w:eastAsia="Arial" w:hAnsi="Arial"/>
          <w:sz w:val="12"/>
          <w:szCs w:val="12"/>
          <w:color w:val="auto"/>
        </w:rPr>
        <w:t>EBITDA.</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Raising financial guidance ranges</w:t>
      </w:r>
    </w:p>
    <w:p>
      <w:pPr>
        <w:spacing w:after="0" w:line="161" w:lineRule="exact"/>
        <w:rPr>
          <w:sz w:val="20"/>
          <w:szCs w:val="20"/>
          <w:color w:val="auto"/>
        </w:rPr>
      </w:pPr>
    </w:p>
    <w:p>
      <w:pPr>
        <w:ind w:left="428" w:hanging="212"/>
        <w:spacing w:after="0"/>
        <w:tabs>
          <w:tab w:leader="none" w:pos="42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Total revenues and income</w:t>
      </w:r>
      <w:r>
        <w:rPr>
          <w:rFonts w:ascii="Arial" w:cs="Arial" w:eastAsia="Arial" w:hAnsi="Arial"/>
          <w:sz w:val="19"/>
          <w:szCs w:val="19"/>
          <w:color w:val="auto"/>
          <w:vertAlign w:val="superscript"/>
        </w:rPr>
        <w:t>6</w:t>
      </w:r>
      <w:r>
        <w:rPr>
          <w:rFonts w:ascii="Arial" w:cs="Arial" w:eastAsia="Arial" w:hAnsi="Arial"/>
          <w:sz w:val="12"/>
          <w:szCs w:val="12"/>
          <w:color w:val="auto"/>
        </w:rPr>
        <w:t xml:space="preserve"> for 2025 are now expected to range between $520m and $535m, up 5.5% at the midpoint from the previous range of $490m to $510m.</w:t>
      </w:r>
    </w:p>
    <w:p>
      <w:pPr>
        <w:spacing w:after="0" w:line="6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Adjusted EBITDA</w:t>
      </w:r>
      <w:r>
        <w:rPr>
          <w:rFonts w:ascii="Arial" w:cs="Arial" w:eastAsia="Arial" w:hAnsi="Arial"/>
          <w:sz w:val="19"/>
          <w:szCs w:val="19"/>
          <w:color w:val="auto"/>
          <w:vertAlign w:val="superscript"/>
        </w:rPr>
        <w:t>7</w:t>
      </w:r>
      <w:r>
        <w:rPr>
          <w:rFonts w:ascii="Arial" w:cs="Arial" w:eastAsia="Arial" w:hAnsi="Arial"/>
          <w:sz w:val="12"/>
          <w:szCs w:val="12"/>
          <w:color w:val="auto"/>
        </w:rPr>
        <w:t xml:space="preserve"> for 2025 is expected to range between $385m and $400m, up 6% at the midpoint from the previous range of $360m to $380m.</w:t>
      </w:r>
    </w:p>
    <w:p>
      <w:pPr>
        <w:spacing w:after="0" w:line="85"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Approximately 90% of the electricity volumes expected to be generated in 2025 will be sold at fixed prices through PPAs or hedges.</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Results Analysis</w:t>
      </w:r>
    </w:p>
    <w:p>
      <w:pPr>
        <w:spacing w:after="0" w:line="152" w:lineRule="exact"/>
        <w:rPr>
          <w:sz w:val="20"/>
          <w:szCs w:val="20"/>
          <w:color w:val="auto"/>
        </w:rPr>
      </w:pPr>
    </w:p>
    <w:tbl>
      <w:tblPr>
        <w:tblLayout w:type="fixed"/>
        <w:tblInd w:w="18" w:type="dxa"/>
        <w:tblCellMar>
          <w:top w:w="0" w:type="dxa"/>
          <w:left w:w="0" w:type="dxa"/>
          <w:bottom w:w="0" w:type="dxa"/>
          <w:right w:w="0" w:type="dxa"/>
        </w:tblCellMar>
      </w:tblPr>
      <w:tr>
        <w:trPr>
          <w:trHeight w:val="197"/>
        </w:trPr>
        <w:tc>
          <w:tcPr>
            <w:tcW w:w="2120" w:type="dxa"/>
            <w:vAlign w:val="bottom"/>
            <w:tcBorders>
              <w:top w:val="single" w:sz="8" w:color="auto"/>
              <w:left w:val="single" w:sz="8" w:color="auto"/>
            </w:tcBorders>
            <w:shd w:val="clear" w:color="auto" w:fill="E7E6E6"/>
          </w:tcPr>
          <w:p>
            <w:pPr>
              <w:spacing w:after="0"/>
              <w:rPr>
                <w:sz w:val="17"/>
                <w:szCs w:val="17"/>
                <w:color w:val="auto"/>
              </w:rPr>
            </w:pPr>
          </w:p>
        </w:tc>
        <w:tc>
          <w:tcPr>
            <w:tcW w:w="1420" w:type="dxa"/>
            <w:vAlign w:val="bottom"/>
            <w:tcBorders>
              <w:top w:val="single" w:sz="8" w:color="auto"/>
            </w:tcBorders>
            <w:shd w:val="clear" w:color="auto" w:fill="E7E6E6"/>
          </w:tcPr>
          <w:p>
            <w:pPr>
              <w:spacing w:after="0"/>
              <w:rPr>
                <w:sz w:val="17"/>
                <w:szCs w:val="17"/>
                <w:color w:val="auto"/>
              </w:rPr>
            </w:pPr>
          </w:p>
        </w:tc>
        <w:tc>
          <w:tcPr>
            <w:tcW w:w="1120" w:type="dxa"/>
            <w:vAlign w:val="bottom"/>
            <w:tcBorders>
              <w:top w:val="single" w:sz="8" w:color="auto"/>
            </w:tcBorders>
            <w:shd w:val="clear" w:color="auto" w:fill="E7E6E6"/>
          </w:tcPr>
          <w:p>
            <w:pPr>
              <w:spacing w:after="0"/>
              <w:rPr>
                <w:sz w:val="17"/>
                <w:szCs w:val="17"/>
                <w:color w:val="auto"/>
              </w:rPr>
            </w:pPr>
          </w:p>
        </w:tc>
        <w:tc>
          <w:tcPr>
            <w:tcW w:w="2180" w:type="dxa"/>
            <w:vAlign w:val="bottom"/>
            <w:tcBorders>
              <w:top w:val="single" w:sz="8" w:color="auto"/>
            </w:tcBorders>
            <w:shd w:val="clear" w:color="auto" w:fill="E7E6E6"/>
          </w:tcPr>
          <w:p>
            <w:pPr>
              <w:ind w:left="60"/>
              <w:spacing w:after="0"/>
              <w:rPr>
                <w:sz w:val="20"/>
                <w:szCs w:val="20"/>
                <w:color w:val="auto"/>
              </w:rPr>
            </w:pPr>
            <w:r>
              <w:rPr>
                <w:rFonts w:ascii="Arial" w:cs="Arial" w:eastAsia="Arial" w:hAnsi="Arial"/>
                <w:sz w:val="12"/>
                <w:szCs w:val="12"/>
                <w:b w:val="1"/>
                <w:bCs w:val="1"/>
                <w:color w:val="auto"/>
              </w:rPr>
              <w:t>Revenues &amp; Income by Segment</w:t>
            </w:r>
          </w:p>
        </w:tc>
        <w:tc>
          <w:tcPr>
            <w:tcW w:w="1320" w:type="dxa"/>
            <w:vAlign w:val="bottom"/>
            <w:tcBorders>
              <w:top w:val="single" w:sz="8" w:color="auto"/>
            </w:tcBorders>
            <w:shd w:val="clear" w:color="auto" w:fill="E7E6E6"/>
          </w:tcPr>
          <w:p>
            <w:pPr>
              <w:spacing w:after="0"/>
              <w:rPr>
                <w:sz w:val="17"/>
                <w:szCs w:val="17"/>
                <w:color w:val="auto"/>
              </w:rPr>
            </w:pPr>
          </w:p>
        </w:tc>
        <w:tc>
          <w:tcPr>
            <w:tcW w:w="1980" w:type="dxa"/>
            <w:vAlign w:val="bottom"/>
            <w:tcBorders>
              <w:top w:val="single" w:sz="8" w:color="auto"/>
            </w:tcBorders>
            <w:shd w:val="clear" w:color="auto" w:fill="E7E6E6"/>
          </w:tcPr>
          <w:p>
            <w:pPr>
              <w:spacing w:after="0"/>
              <w:rPr>
                <w:sz w:val="17"/>
                <w:szCs w:val="17"/>
                <w:color w:val="auto"/>
              </w:rPr>
            </w:pPr>
          </w:p>
        </w:tc>
        <w:tc>
          <w:tcPr>
            <w:tcW w:w="1160" w:type="dxa"/>
            <w:vAlign w:val="bottom"/>
            <w:tcBorders>
              <w:top w:val="single" w:sz="8" w:color="auto"/>
              <w:right w:val="single" w:sz="8" w:color="auto"/>
            </w:tcBorders>
            <w:shd w:val="clear" w:color="auto" w:fill="E7E6E6"/>
          </w:tcPr>
          <w:p>
            <w:pPr>
              <w:spacing w:after="0"/>
              <w:rPr>
                <w:sz w:val="17"/>
                <w:szCs w:val="17"/>
                <w:color w:val="auto"/>
              </w:rPr>
            </w:pPr>
          </w:p>
        </w:tc>
      </w:tr>
      <w:tr>
        <w:trPr>
          <w:trHeight w:val="240"/>
        </w:trPr>
        <w:tc>
          <w:tcPr>
            <w:tcW w:w="2120" w:type="dxa"/>
            <w:vAlign w:val="bottom"/>
            <w:tcBorders>
              <w:left w:val="single" w:sz="8" w:color="auto"/>
              <w:bottom w:val="single" w:sz="8" w:color="E7E6E6"/>
            </w:tcBorders>
            <w:shd w:val="clear" w:color="auto" w:fill="E7E6E6"/>
          </w:tcPr>
          <w:p>
            <w:pPr>
              <w:ind w:left="40"/>
              <w:spacing w:after="0"/>
              <w:rPr>
                <w:sz w:val="20"/>
                <w:szCs w:val="20"/>
                <w:color w:val="auto"/>
              </w:rPr>
            </w:pPr>
            <w:r>
              <w:rPr>
                <w:rFonts w:ascii="Arial" w:cs="Arial" w:eastAsia="Arial" w:hAnsi="Arial"/>
                <w:sz w:val="12"/>
                <w:szCs w:val="12"/>
                <w:b w:val="1"/>
                <w:bCs w:val="1"/>
                <w:color w:val="auto"/>
              </w:rPr>
              <w:t>($ millions)</w:t>
            </w:r>
          </w:p>
        </w:tc>
        <w:tc>
          <w:tcPr>
            <w:tcW w:w="1420" w:type="dxa"/>
            <w:vAlign w:val="bottom"/>
            <w:tcBorders>
              <w:bottom w:val="single" w:sz="8" w:color="E7E6E6"/>
            </w:tcBorders>
            <w:shd w:val="clear" w:color="auto" w:fill="E7E6E6"/>
          </w:tcPr>
          <w:p>
            <w:pPr>
              <w:spacing w:after="0"/>
              <w:rPr>
                <w:sz w:val="20"/>
                <w:szCs w:val="20"/>
                <w:color w:val="auto"/>
              </w:rPr>
            </w:pPr>
          </w:p>
        </w:tc>
        <w:tc>
          <w:tcPr>
            <w:tcW w:w="3300" w:type="dxa"/>
            <w:vAlign w:val="bottom"/>
            <w:tcBorders>
              <w:bottom w:val="single" w:sz="8" w:color="E7E6E6"/>
            </w:tcBorders>
            <w:gridSpan w:val="2"/>
            <w:shd w:val="clear" w:color="auto" w:fill="E7E6E6"/>
          </w:tcPr>
          <w:p>
            <w:pPr>
              <w:ind w:left="420"/>
              <w:spacing w:after="0"/>
              <w:rPr>
                <w:sz w:val="20"/>
                <w:szCs w:val="20"/>
                <w:color w:val="auto"/>
              </w:rPr>
            </w:pPr>
            <w:r>
              <w:rPr>
                <w:rFonts w:ascii="Arial" w:cs="Arial" w:eastAsia="Arial" w:hAnsi="Arial"/>
                <w:sz w:val="12"/>
                <w:szCs w:val="12"/>
                <w:b w:val="1"/>
                <w:bCs w:val="1"/>
                <w:color w:val="auto"/>
              </w:rPr>
              <w:t>For the three months ended</w:t>
            </w:r>
          </w:p>
        </w:tc>
        <w:tc>
          <w:tcPr>
            <w:tcW w:w="1320" w:type="dxa"/>
            <w:vAlign w:val="bottom"/>
            <w:tcBorders>
              <w:bottom w:val="single" w:sz="8" w:color="E7E6E6"/>
            </w:tcBorders>
            <w:shd w:val="clear" w:color="auto" w:fill="E7E6E6"/>
          </w:tcPr>
          <w:p>
            <w:pPr>
              <w:spacing w:after="0"/>
              <w:rPr>
                <w:sz w:val="20"/>
                <w:szCs w:val="20"/>
                <w:color w:val="auto"/>
              </w:rPr>
            </w:pPr>
          </w:p>
        </w:tc>
        <w:tc>
          <w:tcPr>
            <w:tcW w:w="1980" w:type="dxa"/>
            <w:vAlign w:val="bottom"/>
            <w:tcBorders>
              <w:bottom w:val="single" w:sz="8" w:color="E7E6E6"/>
            </w:tcBorders>
            <w:shd w:val="clear" w:color="auto" w:fill="E7E6E6"/>
          </w:tcPr>
          <w:p>
            <w:pPr>
              <w:ind w:left="460"/>
              <w:spacing w:after="0"/>
              <w:rPr>
                <w:sz w:val="20"/>
                <w:szCs w:val="20"/>
                <w:color w:val="auto"/>
              </w:rPr>
            </w:pPr>
            <w:r>
              <w:rPr>
                <w:rFonts w:ascii="Arial" w:cs="Arial" w:eastAsia="Arial" w:hAnsi="Arial"/>
                <w:sz w:val="12"/>
                <w:szCs w:val="12"/>
                <w:b w:val="1"/>
                <w:bCs w:val="1"/>
                <w:color w:val="auto"/>
              </w:rPr>
              <w:t>For the six months ended</w:t>
            </w:r>
          </w:p>
        </w:tc>
        <w:tc>
          <w:tcPr>
            <w:tcW w:w="1160" w:type="dxa"/>
            <w:vAlign w:val="bottom"/>
            <w:tcBorders>
              <w:bottom w:val="single" w:sz="8" w:color="E7E6E6"/>
              <w:right w:val="single" w:sz="8" w:color="auto"/>
            </w:tcBorders>
            <w:shd w:val="clear" w:color="auto" w:fill="E7E6E6"/>
          </w:tcPr>
          <w:p>
            <w:pPr>
              <w:spacing w:after="0"/>
              <w:rPr>
                <w:sz w:val="20"/>
                <w:szCs w:val="20"/>
                <w:color w:val="auto"/>
              </w:rPr>
            </w:pPr>
          </w:p>
        </w:tc>
      </w:tr>
      <w:tr>
        <w:trPr>
          <w:trHeight w:val="210"/>
        </w:trPr>
        <w:tc>
          <w:tcPr>
            <w:tcW w:w="2120" w:type="dxa"/>
            <w:vAlign w:val="bottom"/>
            <w:tcBorders>
              <w:top w:val="single" w:sz="8" w:color="auto"/>
              <w:left w:val="single" w:sz="8" w:color="auto"/>
              <w:bottom w:val="single" w:sz="8" w:color="E7E6E6"/>
            </w:tcBorders>
            <w:shd w:val="clear" w:color="auto" w:fill="E7E6E6"/>
          </w:tcPr>
          <w:p>
            <w:pPr>
              <w:ind w:left="40"/>
              <w:spacing w:after="0"/>
              <w:rPr>
                <w:sz w:val="20"/>
                <w:szCs w:val="20"/>
                <w:color w:val="auto"/>
              </w:rPr>
            </w:pPr>
            <w:r>
              <w:rPr>
                <w:rFonts w:ascii="Arial" w:cs="Arial" w:eastAsia="Arial" w:hAnsi="Arial"/>
                <w:sz w:val="12"/>
                <w:szCs w:val="12"/>
                <w:b w:val="1"/>
                <w:bCs w:val="1"/>
                <w:color w:val="auto"/>
              </w:rPr>
              <w:t>Segment</w:t>
            </w:r>
          </w:p>
        </w:tc>
        <w:tc>
          <w:tcPr>
            <w:tcW w:w="1420" w:type="dxa"/>
            <w:vAlign w:val="bottom"/>
            <w:tcBorders>
              <w:top w:val="single" w:sz="8" w:color="auto"/>
              <w:bottom w:val="single" w:sz="8" w:color="E7E6E6"/>
            </w:tcBorders>
            <w:shd w:val="clear" w:color="auto" w:fill="E7E6E6"/>
          </w:tcPr>
          <w:p>
            <w:pPr>
              <w:jc w:val="center"/>
              <w:spacing w:after="0"/>
              <w:rPr>
                <w:sz w:val="20"/>
                <w:szCs w:val="20"/>
                <w:color w:val="auto"/>
              </w:rPr>
            </w:pPr>
            <w:r>
              <w:rPr>
                <w:rFonts w:ascii="Arial" w:cs="Arial" w:eastAsia="Arial" w:hAnsi="Arial"/>
                <w:sz w:val="12"/>
                <w:szCs w:val="12"/>
                <w:b w:val="1"/>
                <w:bCs w:val="1"/>
                <w:color w:val="auto"/>
                <w:w w:val="99"/>
              </w:rPr>
              <w:t>30/06/2025</w:t>
            </w:r>
          </w:p>
        </w:tc>
        <w:tc>
          <w:tcPr>
            <w:tcW w:w="1120" w:type="dxa"/>
            <w:vAlign w:val="bottom"/>
            <w:tcBorders>
              <w:top w:val="single" w:sz="8" w:color="auto"/>
              <w:bottom w:val="single" w:sz="8" w:color="E7E6E6"/>
            </w:tcBorders>
            <w:shd w:val="clear" w:color="auto" w:fill="E7E6E6"/>
          </w:tcPr>
          <w:p>
            <w:pPr>
              <w:jc w:val="center"/>
              <w:ind w:left="340"/>
              <w:spacing w:after="0"/>
              <w:rPr>
                <w:sz w:val="20"/>
                <w:szCs w:val="20"/>
                <w:color w:val="auto"/>
              </w:rPr>
            </w:pPr>
            <w:r>
              <w:rPr>
                <w:rFonts w:ascii="Arial" w:cs="Arial" w:eastAsia="Arial" w:hAnsi="Arial"/>
                <w:sz w:val="12"/>
                <w:szCs w:val="12"/>
                <w:b w:val="1"/>
                <w:bCs w:val="1"/>
                <w:color w:val="auto"/>
                <w:w w:val="99"/>
              </w:rPr>
              <w:t>30/06/2024</w:t>
            </w:r>
          </w:p>
        </w:tc>
        <w:tc>
          <w:tcPr>
            <w:tcW w:w="2180" w:type="dxa"/>
            <w:vAlign w:val="bottom"/>
            <w:tcBorders>
              <w:top w:val="single" w:sz="8" w:color="auto"/>
              <w:bottom w:val="single" w:sz="8" w:color="E7E6E6"/>
            </w:tcBorders>
            <w:shd w:val="clear" w:color="auto" w:fill="E7E6E6"/>
          </w:tcPr>
          <w:p>
            <w:pPr>
              <w:ind w:left="920"/>
              <w:spacing w:after="0"/>
              <w:rPr>
                <w:sz w:val="20"/>
                <w:szCs w:val="20"/>
                <w:color w:val="auto"/>
              </w:rPr>
            </w:pPr>
            <w:r>
              <w:rPr>
                <w:rFonts w:ascii="Arial" w:cs="Arial" w:eastAsia="Arial" w:hAnsi="Arial"/>
                <w:sz w:val="12"/>
                <w:szCs w:val="12"/>
                <w:b w:val="1"/>
                <w:bCs w:val="1"/>
                <w:color w:val="auto"/>
              </w:rPr>
              <w:t>% change</w:t>
            </w:r>
          </w:p>
        </w:tc>
        <w:tc>
          <w:tcPr>
            <w:tcW w:w="1320" w:type="dxa"/>
            <w:vAlign w:val="bottom"/>
            <w:tcBorders>
              <w:top w:val="single" w:sz="8" w:color="auto"/>
              <w:bottom w:val="single" w:sz="8" w:color="E7E6E6"/>
            </w:tcBorders>
            <w:shd w:val="clear" w:color="auto" w:fill="E7E6E6"/>
          </w:tcPr>
          <w:p>
            <w:pPr>
              <w:jc w:val="center"/>
              <w:ind w:right="140"/>
              <w:spacing w:after="0"/>
              <w:rPr>
                <w:sz w:val="20"/>
                <w:szCs w:val="20"/>
                <w:color w:val="auto"/>
              </w:rPr>
            </w:pPr>
            <w:r>
              <w:rPr>
                <w:rFonts w:ascii="Arial" w:cs="Arial" w:eastAsia="Arial" w:hAnsi="Arial"/>
                <w:sz w:val="12"/>
                <w:szCs w:val="12"/>
                <w:b w:val="1"/>
                <w:bCs w:val="1"/>
                <w:color w:val="auto"/>
                <w:w w:val="99"/>
              </w:rPr>
              <w:t>30/06/2025</w:t>
            </w:r>
          </w:p>
        </w:tc>
        <w:tc>
          <w:tcPr>
            <w:tcW w:w="1980" w:type="dxa"/>
            <w:vAlign w:val="bottom"/>
            <w:tcBorders>
              <w:top w:val="single" w:sz="8" w:color="auto"/>
              <w:bottom w:val="single" w:sz="8" w:color="E7E6E6"/>
            </w:tcBorders>
            <w:shd w:val="clear" w:color="auto" w:fill="E7E6E6"/>
          </w:tcPr>
          <w:p>
            <w:pPr>
              <w:jc w:val="center"/>
              <w:ind w:right="360"/>
              <w:spacing w:after="0"/>
              <w:rPr>
                <w:sz w:val="20"/>
                <w:szCs w:val="20"/>
                <w:color w:val="auto"/>
              </w:rPr>
            </w:pPr>
            <w:r>
              <w:rPr>
                <w:rFonts w:ascii="Arial" w:cs="Arial" w:eastAsia="Arial" w:hAnsi="Arial"/>
                <w:sz w:val="12"/>
                <w:szCs w:val="12"/>
                <w:b w:val="1"/>
                <w:bCs w:val="1"/>
                <w:color w:val="auto"/>
                <w:w w:val="99"/>
              </w:rPr>
              <w:t>30/06/2024</w:t>
            </w:r>
          </w:p>
        </w:tc>
        <w:tc>
          <w:tcPr>
            <w:tcW w:w="1160" w:type="dxa"/>
            <w:vAlign w:val="bottom"/>
            <w:tcBorders>
              <w:top w:val="single" w:sz="8" w:color="auto"/>
              <w:bottom w:val="single" w:sz="8" w:color="E7E6E6"/>
              <w:right w:val="single" w:sz="8" w:color="auto"/>
            </w:tcBorders>
            <w:shd w:val="clear" w:color="auto" w:fill="E7E6E6"/>
          </w:tcPr>
          <w:p>
            <w:pPr>
              <w:ind w:left="80"/>
              <w:spacing w:after="0"/>
              <w:rPr>
                <w:sz w:val="20"/>
                <w:szCs w:val="20"/>
                <w:color w:val="auto"/>
              </w:rPr>
            </w:pPr>
            <w:r>
              <w:rPr>
                <w:rFonts w:ascii="Arial" w:cs="Arial" w:eastAsia="Arial" w:hAnsi="Arial"/>
                <w:sz w:val="12"/>
                <w:szCs w:val="12"/>
                <w:b w:val="1"/>
                <w:bCs w:val="1"/>
                <w:color w:val="auto"/>
              </w:rPr>
              <w:t>% change</w:t>
            </w:r>
          </w:p>
        </w:tc>
      </w:tr>
      <w:tr>
        <w:trPr>
          <w:trHeight w:val="171"/>
        </w:trPr>
        <w:tc>
          <w:tcPr>
            <w:tcW w:w="21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2"/>
                <w:szCs w:val="12"/>
                <w:color w:val="auto"/>
              </w:rPr>
              <w:t>MENA</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53</w:t>
            </w:r>
          </w:p>
        </w:tc>
        <w:tc>
          <w:tcPr>
            <w:tcW w:w="1120" w:type="dxa"/>
            <w:vAlign w:val="bottom"/>
            <w:tcBorders>
              <w:top w:val="single" w:sz="8" w:color="auto"/>
            </w:tcBorders>
          </w:tcPr>
          <w:p>
            <w:pPr>
              <w:jc w:val="center"/>
              <w:ind w:left="340"/>
              <w:spacing w:after="0"/>
              <w:rPr>
                <w:sz w:val="20"/>
                <w:szCs w:val="20"/>
                <w:color w:val="auto"/>
              </w:rPr>
            </w:pPr>
            <w:r>
              <w:rPr>
                <w:rFonts w:ascii="Arial" w:cs="Arial" w:eastAsia="Arial" w:hAnsi="Arial"/>
                <w:sz w:val="12"/>
                <w:szCs w:val="12"/>
                <w:color w:val="auto"/>
                <w:w w:val="89"/>
              </w:rPr>
              <w:t>38</w:t>
            </w:r>
          </w:p>
        </w:tc>
        <w:tc>
          <w:tcPr>
            <w:tcW w:w="2180" w:type="dxa"/>
            <w:vAlign w:val="bottom"/>
            <w:tcBorders>
              <w:top w:val="single" w:sz="8" w:color="auto"/>
            </w:tcBorders>
          </w:tcPr>
          <w:p>
            <w:pPr>
              <w:jc w:val="center"/>
              <w:ind w:left="160"/>
              <w:spacing w:after="0"/>
              <w:rPr>
                <w:sz w:val="20"/>
                <w:szCs w:val="20"/>
                <w:color w:val="auto"/>
              </w:rPr>
            </w:pPr>
            <w:r>
              <w:rPr>
                <w:rFonts w:ascii="Arial" w:cs="Arial" w:eastAsia="Arial" w:hAnsi="Arial"/>
                <w:sz w:val="12"/>
                <w:szCs w:val="12"/>
                <w:color w:val="auto"/>
                <w:w w:val="99"/>
              </w:rPr>
              <w:t>40%</w:t>
            </w:r>
          </w:p>
        </w:tc>
        <w:tc>
          <w:tcPr>
            <w:tcW w:w="1320" w:type="dxa"/>
            <w:vAlign w:val="bottom"/>
            <w:tcBorders>
              <w:top w:val="single" w:sz="8" w:color="auto"/>
            </w:tcBorders>
          </w:tcPr>
          <w:p>
            <w:pPr>
              <w:jc w:val="center"/>
              <w:ind w:right="120"/>
              <w:spacing w:after="0"/>
              <w:rPr>
                <w:sz w:val="20"/>
                <w:szCs w:val="20"/>
                <w:color w:val="auto"/>
              </w:rPr>
            </w:pPr>
            <w:r>
              <w:rPr>
                <w:rFonts w:ascii="Arial" w:cs="Arial" w:eastAsia="Arial" w:hAnsi="Arial"/>
                <w:sz w:val="12"/>
                <w:szCs w:val="12"/>
                <w:color w:val="auto"/>
              </w:rPr>
              <w:t>96</w:t>
            </w:r>
          </w:p>
        </w:tc>
        <w:tc>
          <w:tcPr>
            <w:tcW w:w="1980" w:type="dxa"/>
            <w:vAlign w:val="bottom"/>
            <w:tcBorders>
              <w:top w:val="single" w:sz="8" w:color="auto"/>
            </w:tcBorders>
          </w:tcPr>
          <w:p>
            <w:pPr>
              <w:jc w:val="center"/>
              <w:ind w:right="340"/>
              <w:spacing w:after="0"/>
              <w:rPr>
                <w:sz w:val="20"/>
                <w:szCs w:val="20"/>
                <w:color w:val="auto"/>
              </w:rPr>
            </w:pPr>
            <w:r>
              <w:rPr>
                <w:rFonts w:ascii="Arial" w:cs="Arial" w:eastAsia="Arial" w:hAnsi="Arial"/>
                <w:sz w:val="12"/>
                <w:szCs w:val="12"/>
                <w:color w:val="auto"/>
              </w:rPr>
              <w:t>66</w:t>
            </w:r>
          </w:p>
        </w:tc>
        <w:tc>
          <w:tcPr>
            <w:tcW w:w="1160" w:type="dxa"/>
            <w:vAlign w:val="bottom"/>
            <w:tcBorders>
              <w:top w:val="single" w:sz="8" w:color="auto"/>
              <w:right w:val="single" w:sz="8" w:color="auto"/>
            </w:tcBorders>
          </w:tcPr>
          <w:p>
            <w:pPr>
              <w:jc w:val="center"/>
              <w:ind w:right="380"/>
              <w:spacing w:after="0"/>
              <w:rPr>
                <w:sz w:val="20"/>
                <w:szCs w:val="20"/>
                <w:color w:val="auto"/>
              </w:rPr>
            </w:pPr>
            <w:r>
              <w:rPr>
                <w:rFonts w:ascii="Arial" w:cs="Arial" w:eastAsia="Arial" w:hAnsi="Arial"/>
                <w:sz w:val="12"/>
                <w:szCs w:val="12"/>
                <w:color w:val="auto"/>
                <w:w w:val="99"/>
              </w:rPr>
              <w:t>45%</w:t>
            </w:r>
          </w:p>
        </w:tc>
      </w:tr>
      <w:tr>
        <w:trPr>
          <w:trHeight w:val="207"/>
        </w:trPr>
        <w:tc>
          <w:tcPr>
            <w:tcW w:w="212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Europe</w:t>
            </w:r>
          </w:p>
        </w:tc>
        <w:tc>
          <w:tcPr>
            <w:tcW w:w="1420" w:type="dxa"/>
            <w:vAlign w:val="bottom"/>
          </w:tcPr>
          <w:p>
            <w:pPr>
              <w:jc w:val="center"/>
              <w:spacing w:after="0"/>
              <w:rPr>
                <w:sz w:val="20"/>
                <w:szCs w:val="20"/>
                <w:color w:val="auto"/>
              </w:rPr>
            </w:pPr>
            <w:r>
              <w:rPr>
                <w:rFonts w:ascii="Arial" w:cs="Arial" w:eastAsia="Arial" w:hAnsi="Arial"/>
                <w:sz w:val="12"/>
                <w:szCs w:val="12"/>
                <w:color w:val="auto"/>
              </w:rPr>
              <w:t>48</w:t>
            </w:r>
          </w:p>
        </w:tc>
        <w:tc>
          <w:tcPr>
            <w:tcW w:w="1120" w:type="dxa"/>
            <w:vAlign w:val="bottom"/>
          </w:tcPr>
          <w:p>
            <w:pPr>
              <w:jc w:val="center"/>
              <w:ind w:left="340"/>
              <w:spacing w:after="0"/>
              <w:rPr>
                <w:sz w:val="20"/>
                <w:szCs w:val="20"/>
                <w:color w:val="auto"/>
              </w:rPr>
            </w:pPr>
            <w:r>
              <w:rPr>
                <w:rFonts w:ascii="Arial" w:cs="Arial" w:eastAsia="Arial" w:hAnsi="Arial"/>
                <w:sz w:val="12"/>
                <w:szCs w:val="12"/>
                <w:color w:val="auto"/>
                <w:w w:val="89"/>
              </w:rPr>
              <w:t>42</w:t>
            </w:r>
          </w:p>
        </w:tc>
        <w:tc>
          <w:tcPr>
            <w:tcW w:w="2180" w:type="dxa"/>
            <w:vAlign w:val="bottom"/>
          </w:tcPr>
          <w:p>
            <w:pPr>
              <w:jc w:val="center"/>
              <w:ind w:left="160"/>
              <w:spacing w:after="0"/>
              <w:rPr>
                <w:sz w:val="20"/>
                <w:szCs w:val="20"/>
                <w:color w:val="auto"/>
              </w:rPr>
            </w:pPr>
            <w:r>
              <w:rPr>
                <w:rFonts w:ascii="Arial" w:cs="Arial" w:eastAsia="Arial" w:hAnsi="Arial"/>
                <w:sz w:val="12"/>
                <w:szCs w:val="12"/>
                <w:color w:val="auto"/>
                <w:w w:val="99"/>
              </w:rPr>
              <w:t>14%</w:t>
            </w:r>
          </w:p>
        </w:tc>
        <w:tc>
          <w:tcPr>
            <w:tcW w:w="1320" w:type="dxa"/>
            <w:vAlign w:val="bottom"/>
          </w:tcPr>
          <w:p>
            <w:pPr>
              <w:jc w:val="center"/>
              <w:ind w:right="120"/>
              <w:spacing w:after="0"/>
              <w:rPr>
                <w:sz w:val="20"/>
                <w:szCs w:val="20"/>
                <w:color w:val="auto"/>
              </w:rPr>
            </w:pPr>
            <w:r>
              <w:rPr>
                <w:rFonts w:ascii="Arial" w:cs="Arial" w:eastAsia="Arial" w:hAnsi="Arial"/>
                <w:sz w:val="12"/>
                <w:szCs w:val="12"/>
                <w:color w:val="auto"/>
              </w:rPr>
              <w:t>99</w:t>
            </w:r>
          </w:p>
        </w:tc>
        <w:tc>
          <w:tcPr>
            <w:tcW w:w="1980" w:type="dxa"/>
            <w:vAlign w:val="bottom"/>
          </w:tcPr>
          <w:p>
            <w:pPr>
              <w:jc w:val="center"/>
              <w:ind w:right="360"/>
              <w:spacing w:after="0"/>
              <w:rPr>
                <w:sz w:val="20"/>
                <w:szCs w:val="20"/>
                <w:color w:val="auto"/>
              </w:rPr>
            </w:pPr>
            <w:r>
              <w:rPr>
                <w:rFonts w:ascii="Arial" w:cs="Arial" w:eastAsia="Arial" w:hAnsi="Arial"/>
                <w:sz w:val="12"/>
                <w:szCs w:val="12"/>
                <w:color w:val="auto"/>
                <w:w w:val="99"/>
              </w:rPr>
              <w:t>101</w:t>
            </w:r>
          </w:p>
        </w:tc>
        <w:tc>
          <w:tcPr>
            <w:tcW w:w="1160" w:type="dxa"/>
            <w:vAlign w:val="bottom"/>
            <w:tcBorders>
              <w:right w:val="single" w:sz="8" w:color="auto"/>
            </w:tcBorders>
          </w:tcPr>
          <w:p>
            <w:pPr>
              <w:jc w:val="center"/>
              <w:ind w:right="360"/>
              <w:spacing w:after="0"/>
              <w:rPr>
                <w:sz w:val="20"/>
                <w:szCs w:val="20"/>
                <w:color w:val="auto"/>
              </w:rPr>
            </w:pPr>
            <w:r>
              <w:rPr>
                <w:rFonts w:ascii="Arial" w:cs="Arial" w:eastAsia="Arial" w:hAnsi="Arial"/>
                <w:sz w:val="12"/>
                <w:szCs w:val="12"/>
                <w:color w:val="auto"/>
              </w:rPr>
              <w:t>(2)%</w:t>
            </w:r>
          </w:p>
        </w:tc>
      </w:tr>
      <w:tr>
        <w:trPr>
          <w:trHeight w:val="207"/>
        </w:trPr>
        <w:tc>
          <w:tcPr>
            <w:tcW w:w="212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U.S.</w:t>
            </w:r>
          </w:p>
        </w:tc>
        <w:tc>
          <w:tcPr>
            <w:tcW w:w="1420" w:type="dxa"/>
            <w:vAlign w:val="bottom"/>
          </w:tcPr>
          <w:p>
            <w:pPr>
              <w:jc w:val="center"/>
              <w:spacing w:after="0"/>
              <w:rPr>
                <w:sz w:val="20"/>
                <w:szCs w:val="20"/>
                <w:color w:val="auto"/>
              </w:rPr>
            </w:pPr>
            <w:r>
              <w:rPr>
                <w:rFonts w:ascii="Arial" w:cs="Arial" w:eastAsia="Arial" w:hAnsi="Arial"/>
                <w:sz w:val="12"/>
                <w:szCs w:val="12"/>
                <w:color w:val="auto"/>
              </w:rPr>
              <w:t>34</w:t>
            </w:r>
          </w:p>
        </w:tc>
        <w:tc>
          <w:tcPr>
            <w:tcW w:w="1120" w:type="dxa"/>
            <w:vAlign w:val="bottom"/>
          </w:tcPr>
          <w:p>
            <w:pPr>
              <w:jc w:val="center"/>
              <w:ind w:left="340"/>
              <w:spacing w:after="0"/>
              <w:rPr>
                <w:sz w:val="20"/>
                <w:szCs w:val="20"/>
                <w:color w:val="auto"/>
              </w:rPr>
            </w:pPr>
            <w:r>
              <w:rPr>
                <w:rFonts w:ascii="Arial" w:cs="Arial" w:eastAsia="Arial" w:hAnsi="Arial"/>
                <w:sz w:val="12"/>
                <w:szCs w:val="12"/>
                <w:color w:val="auto"/>
              </w:rPr>
              <w:t>5</w:t>
            </w:r>
          </w:p>
        </w:tc>
        <w:tc>
          <w:tcPr>
            <w:tcW w:w="2180" w:type="dxa"/>
            <w:vAlign w:val="bottom"/>
          </w:tcPr>
          <w:p>
            <w:pPr>
              <w:jc w:val="center"/>
              <w:ind w:left="180"/>
              <w:spacing w:after="0"/>
              <w:rPr>
                <w:sz w:val="20"/>
                <w:szCs w:val="20"/>
                <w:color w:val="auto"/>
              </w:rPr>
            </w:pPr>
            <w:r>
              <w:rPr>
                <w:rFonts w:ascii="Arial" w:cs="Arial" w:eastAsia="Arial" w:hAnsi="Arial"/>
                <w:sz w:val="12"/>
                <w:szCs w:val="12"/>
                <w:color w:val="auto"/>
                <w:w w:val="97"/>
              </w:rPr>
              <w:t>526%</w:t>
            </w:r>
          </w:p>
        </w:tc>
        <w:tc>
          <w:tcPr>
            <w:tcW w:w="1320" w:type="dxa"/>
            <w:vAlign w:val="bottom"/>
          </w:tcPr>
          <w:p>
            <w:pPr>
              <w:jc w:val="center"/>
              <w:ind w:right="120"/>
              <w:spacing w:after="0"/>
              <w:rPr>
                <w:sz w:val="20"/>
                <w:szCs w:val="20"/>
                <w:color w:val="auto"/>
              </w:rPr>
            </w:pPr>
            <w:r>
              <w:rPr>
                <w:rFonts w:ascii="Arial" w:cs="Arial" w:eastAsia="Arial" w:hAnsi="Arial"/>
                <w:sz w:val="12"/>
                <w:szCs w:val="12"/>
                <w:color w:val="auto"/>
              </w:rPr>
              <w:t>69</w:t>
            </w:r>
          </w:p>
        </w:tc>
        <w:tc>
          <w:tcPr>
            <w:tcW w:w="1980" w:type="dxa"/>
            <w:vAlign w:val="bottom"/>
          </w:tcPr>
          <w:p>
            <w:pPr>
              <w:jc w:val="center"/>
              <w:ind w:right="340"/>
              <w:spacing w:after="0"/>
              <w:rPr>
                <w:sz w:val="20"/>
                <w:szCs w:val="20"/>
                <w:color w:val="auto"/>
              </w:rPr>
            </w:pPr>
            <w:r>
              <w:rPr>
                <w:rFonts w:ascii="Arial" w:cs="Arial" w:eastAsia="Arial" w:hAnsi="Arial"/>
                <w:sz w:val="12"/>
                <w:szCs w:val="12"/>
                <w:color w:val="auto"/>
              </w:rPr>
              <w:t>10</w:t>
            </w:r>
          </w:p>
        </w:tc>
        <w:tc>
          <w:tcPr>
            <w:tcW w:w="1160" w:type="dxa"/>
            <w:vAlign w:val="bottom"/>
            <w:tcBorders>
              <w:right w:val="single" w:sz="8" w:color="auto"/>
            </w:tcBorders>
          </w:tcPr>
          <w:p>
            <w:pPr>
              <w:jc w:val="center"/>
              <w:ind w:right="360"/>
              <w:spacing w:after="0"/>
              <w:rPr>
                <w:sz w:val="20"/>
                <w:szCs w:val="20"/>
                <w:color w:val="auto"/>
              </w:rPr>
            </w:pPr>
            <w:r>
              <w:rPr>
                <w:rFonts w:ascii="Arial" w:cs="Arial" w:eastAsia="Arial" w:hAnsi="Arial"/>
                <w:sz w:val="12"/>
                <w:szCs w:val="12"/>
                <w:color w:val="auto"/>
                <w:w w:val="97"/>
              </w:rPr>
              <w:t>593%</w:t>
            </w:r>
          </w:p>
        </w:tc>
      </w:tr>
      <w:tr>
        <w:trPr>
          <w:trHeight w:val="207"/>
        </w:trPr>
        <w:tc>
          <w:tcPr>
            <w:tcW w:w="212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Other</w:t>
            </w:r>
          </w:p>
        </w:tc>
        <w:tc>
          <w:tcPr>
            <w:tcW w:w="14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1120" w:type="dxa"/>
            <w:vAlign w:val="bottom"/>
          </w:tcPr>
          <w:p>
            <w:pPr>
              <w:jc w:val="center"/>
              <w:ind w:left="340"/>
              <w:spacing w:after="0"/>
              <w:rPr>
                <w:sz w:val="20"/>
                <w:szCs w:val="20"/>
                <w:color w:val="auto"/>
              </w:rPr>
            </w:pPr>
            <w:r>
              <w:rPr>
                <w:rFonts w:ascii="Arial" w:cs="Arial" w:eastAsia="Arial" w:hAnsi="Arial"/>
                <w:sz w:val="12"/>
                <w:szCs w:val="12"/>
                <w:color w:val="auto"/>
              </w:rPr>
              <w:t>3</w:t>
            </w:r>
          </w:p>
        </w:tc>
        <w:tc>
          <w:tcPr>
            <w:tcW w:w="2180" w:type="dxa"/>
            <w:vAlign w:val="bottom"/>
          </w:tcPr>
          <w:p>
            <w:pPr>
              <w:jc w:val="center"/>
              <w:ind w:left="160"/>
              <w:spacing w:after="0"/>
              <w:rPr>
                <w:sz w:val="20"/>
                <w:szCs w:val="20"/>
                <w:color w:val="auto"/>
              </w:rPr>
            </w:pPr>
            <w:r>
              <w:rPr>
                <w:rFonts w:ascii="Arial" w:cs="Arial" w:eastAsia="Arial" w:hAnsi="Arial"/>
                <w:sz w:val="12"/>
                <w:szCs w:val="12"/>
                <w:color w:val="auto"/>
                <w:w w:val="99"/>
              </w:rPr>
              <w:t>(93)%</w:t>
            </w:r>
          </w:p>
        </w:tc>
        <w:tc>
          <w:tcPr>
            <w:tcW w:w="1320" w:type="dxa"/>
            <w:vAlign w:val="bottom"/>
          </w:tcPr>
          <w:p>
            <w:pPr>
              <w:jc w:val="center"/>
              <w:ind w:right="120"/>
              <w:spacing w:after="0"/>
              <w:rPr>
                <w:sz w:val="20"/>
                <w:szCs w:val="20"/>
                <w:color w:val="auto"/>
              </w:rPr>
            </w:pPr>
            <w:r>
              <w:rPr>
                <w:rFonts w:ascii="Arial" w:cs="Arial" w:eastAsia="Arial" w:hAnsi="Arial"/>
                <w:sz w:val="12"/>
                <w:szCs w:val="12"/>
                <w:color w:val="auto"/>
                <w:w w:val="89"/>
              </w:rPr>
              <w:t>1</w:t>
            </w:r>
          </w:p>
        </w:tc>
        <w:tc>
          <w:tcPr>
            <w:tcW w:w="1980" w:type="dxa"/>
            <w:vAlign w:val="bottom"/>
          </w:tcPr>
          <w:p>
            <w:pPr>
              <w:jc w:val="center"/>
              <w:ind w:right="340"/>
              <w:spacing w:after="0"/>
              <w:rPr>
                <w:sz w:val="20"/>
                <w:szCs w:val="20"/>
                <w:color w:val="auto"/>
              </w:rPr>
            </w:pPr>
            <w:r>
              <w:rPr>
                <w:rFonts w:ascii="Arial" w:cs="Arial" w:eastAsia="Arial" w:hAnsi="Arial"/>
                <w:sz w:val="12"/>
                <w:szCs w:val="12"/>
                <w:color w:val="auto"/>
                <w:w w:val="89"/>
              </w:rPr>
              <w:t>5</w:t>
            </w:r>
          </w:p>
        </w:tc>
        <w:tc>
          <w:tcPr>
            <w:tcW w:w="1160" w:type="dxa"/>
            <w:vAlign w:val="bottom"/>
            <w:tcBorders>
              <w:right w:val="single" w:sz="8" w:color="auto"/>
            </w:tcBorders>
          </w:tcPr>
          <w:p>
            <w:pPr>
              <w:jc w:val="center"/>
              <w:ind w:right="380"/>
              <w:spacing w:after="0"/>
              <w:rPr>
                <w:sz w:val="20"/>
                <w:szCs w:val="20"/>
                <w:color w:val="auto"/>
              </w:rPr>
            </w:pPr>
            <w:r>
              <w:rPr>
                <w:rFonts w:ascii="Arial" w:cs="Arial" w:eastAsia="Arial" w:hAnsi="Arial"/>
                <w:sz w:val="12"/>
                <w:szCs w:val="12"/>
                <w:color w:val="auto"/>
                <w:w w:val="99"/>
              </w:rPr>
              <w:t>(77)%</w:t>
            </w:r>
          </w:p>
        </w:tc>
      </w:tr>
      <w:tr>
        <w:trPr>
          <w:trHeight w:val="34"/>
        </w:trPr>
        <w:tc>
          <w:tcPr>
            <w:tcW w:w="212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185"/>
        </w:trPr>
        <w:tc>
          <w:tcPr>
            <w:tcW w:w="2120" w:type="dxa"/>
            <w:vAlign w:val="bottom"/>
            <w:tcBorders>
              <w:left w:val="single" w:sz="8" w:color="auto"/>
              <w:bottom w:val="single" w:sz="8" w:color="E7E6E6"/>
            </w:tcBorders>
            <w:shd w:val="clear" w:color="auto" w:fill="E7E6E6"/>
          </w:tcPr>
          <w:p>
            <w:pPr>
              <w:ind w:left="40"/>
              <w:spacing w:after="0"/>
              <w:rPr>
                <w:sz w:val="20"/>
                <w:szCs w:val="20"/>
                <w:color w:val="auto"/>
              </w:rPr>
            </w:pPr>
            <w:r>
              <w:rPr>
                <w:rFonts w:ascii="Arial" w:cs="Arial" w:eastAsia="Arial" w:hAnsi="Arial"/>
                <w:sz w:val="12"/>
                <w:szCs w:val="12"/>
                <w:b w:val="1"/>
                <w:bCs w:val="1"/>
                <w:color w:val="auto"/>
              </w:rPr>
              <w:t>Total Revenues &amp; Income</w:t>
            </w:r>
          </w:p>
        </w:tc>
        <w:tc>
          <w:tcPr>
            <w:tcW w:w="1420" w:type="dxa"/>
            <w:vAlign w:val="bottom"/>
            <w:tcBorders>
              <w:bottom w:val="single" w:sz="8" w:color="E7E6E6"/>
            </w:tcBorders>
            <w:shd w:val="clear" w:color="auto" w:fill="E7E6E6"/>
          </w:tcPr>
          <w:p>
            <w:pPr>
              <w:jc w:val="center"/>
              <w:spacing w:after="0"/>
              <w:rPr>
                <w:sz w:val="20"/>
                <w:szCs w:val="20"/>
                <w:color w:val="auto"/>
              </w:rPr>
            </w:pPr>
            <w:r>
              <w:rPr>
                <w:rFonts w:ascii="Arial" w:cs="Arial" w:eastAsia="Arial" w:hAnsi="Arial"/>
                <w:sz w:val="12"/>
                <w:szCs w:val="12"/>
                <w:b w:val="1"/>
                <w:bCs w:val="1"/>
                <w:color w:val="auto"/>
                <w:w w:val="99"/>
              </w:rPr>
              <w:t>135</w:t>
            </w:r>
          </w:p>
        </w:tc>
        <w:tc>
          <w:tcPr>
            <w:tcW w:w="1120" w:type="dxa"/>
            <w:vAlign w:val="bottom"/>
            <w:tcBorders>
              <w:bottom w:val="single" w:sz="8" w:color="E7E6E6"/>
            </w:tcBorders>
            <w:shd w:val="clear" w:color="auto" w:fill="E7E6E6"/>
          </w:tcPr>
          <w:p>
            <w:pPr>
              <w:jc w:val="center"/>
              <w:ind w:left="340"/>
              <w:spacing w:after="0"/>
              <w:rPr>
                <w:sz w:val="20"/>
                <w:szCs w:val="20"/>
                <w:color w:val="auto"/>
              </w:rPr>
            </w:pPr>
            <w:r>
              <w:rPr>
                <w:rFonts w:ascii="Arial" w:cs="Arial" w:eastAsia="Arial" w:hAnsi="Arial"/>
                <w:sz w:val="12"/>
                <w:szCs w:val="12"/>
                <w:b w:val="1"/>
                <w:bCs w:val="1"/>
                <w:color w:val="auto"/>
                <w:w w:val="89"/>
              </w:rPr>
              <w:t>88</w:t>
            </w:r>
          </w:p>
        </w:tc>
        <w:tc>
          <w:tcPr>
            <w:tcW w:w="2180" w:type="dxa"/>
            <w:vAlign w:val="bottom"/>
            <w:tcBorders>
              <w:bottom w:val="single" w:sz="8" w:color="E7E6E6"/>
            </w:tcBorders>
            <w:shd w:val="clear" w:color="auto" w:fill="E7E6E6"/>
          </w:tcPr>
          <w:p>
            <w:pPr>
              <w:jc w:val="center"/>
              <w:ind w:left="160"/>
              <w:spacing w:after="0"/>
              <w:rPr>
                <w:sz w:val="20"/>
                <w:szCs w:val="20"/>
                <w:color w:val="auto"/>
              </w:rPr>
            </w:pPr>
            <w:r>
              <w:rPr>
                <w:rFonts w:ascii="Arial" w:cs="Arial" w:eastAsia="Arial" w:hAnsi="Arial"/>
                <w:sz w:val="12"/>
                <w:szCs w:val="12"/>
                <w:b w:val="1"/>
                <w:bCs w:val="1"/>
                <w:color w:val="auto"/>
                <w:w w:val="99"/>
              </w:rPr>
              <w:t>53%</w:t>
            </w:r>
          </w:p>
        </w:tc>
        <w:tc>
          <w:tcPr>
            <w:tcW w:w="1320" w:type="dxa"/>
            <w:vAlign w:val="bottom"/>
            <w:tcBorders>
              <w:bottom w:val="single" w:sz="8" w:color="E7E6E6"/>
            </w:tcBorders>
            <w:shd w:val="clear" w:color="auto" w:fill="E7E6E6"/>
          </w:tcPr>
          <w:p>
            <w:pPr>
              <w:jc w:val="center"/>
              <w:ind w:right="140"/>
              <w:spacing w:after="0"/>
              <w:rPr>
                <w:sz w:val="20"/>
                <w:szCs w:val="20"/>
                <w:color w:val="auto"/>
              </w:rPr>
            </w:pPr>
            <w:r>
              <w:rPr>
                <w:rFonts w:ascii="Arial" w:cs="Arial" w:eastAsia="Arial" w:hAnsi="Arial"/>
                <w:sz w:val="12"/>
                <w:szCs w:val="12"/>
                <w:b w:val="1"/>
                <w:bCs w:val="1"/>
                <w:color w:val="auto"/>
                <w:w w:val="99"/>
              </w:rPr>
              <w:t>265</w:t>
            </w:r>
          </w:p>
        </w:tc>
        <w:tc>
          <w:tcPr>
            <w:tcW w:w="1980" w:type="dxa"/>
            <w:vAlign w:val="bottom"/>
            <w:tcBorders>
              <w:bottom w:val="single" w:sz="8" w:color="E7E6E6"/>
            </w:tcBorders>
            <w:shd w:val="clear" w:color="auto" w:fill="E7E6E6"/>
          </w:tcPr>
          <w:p>
            <w:pPr>
              <w:jc w:val="center"/>
              <w:ind w:right="360"/>
              <w:spacing w:after="0"/>
              <w:rPr>
                <w:sz w:val="20"/>
                <w:szCs w:val="20"/>
                <w:color w:val="auto"/>
              </w:rPr>
            </w:pPr>
            <w:r>
              <w:rPr>
                <w:rFonts w:ascii="Arial" w:cs="Arial" w:eastAsia="Arial" w:hAnsi="Arial"/>
                <w:sz w:val="12"/>
                <w:szCs w:val="12"/>
                <w:b w:val="1"/>
                <w:bCs w:val="1"/>
                <w:color w:val="auto"/>
                <w:w w:val="99"/>
              </w:rPr>
              <w:t>182</w:t>
            </w:r>
          </w:p>
        </w:tc>
        <w:tc>
          <w:tcPr>
            <w:tcW w:w="1160" w:type="dxa"/>
            <w:vAlign w:val="bottom"/>
            <w:tcBorders>
              <w:bottom w:val="single" w:sz="8" w:color="E7E6E6"/>
              <w:right w:val="single" w:sz="8" w:color="auto"/>
            </w:tcBorders>
            <w:shd w:val="clear" w:color="auto" w:fill="E7E6E6"/>
          </w:tcPr>
          <w:p>
            <w:pPr>
              <w:jc w:val="center"/>
              <w:ind w:right="380"/>
              <w:spacing w:after="0"/>
              <w:rPr>
                <w:sz w:val="20"/>
                <w:szCs w:val="20"/>
                <w:color w:val="auto"/>
              </w:rPr>
            </w:pPr>
            <w:r>
              <w:rPr>
                <w:rFonts w:ascii="Arial" w:cs="Arial" w:eastAsia="Arial" w:hAnsi="Arial"/>
                <w:sz w:val="12"/>
                <w:szCs w:val="12"/>
                <w:b w:val="1"/>
                <w:bCs w:val="1"/>
                <w:color w:val="auto"/>
                <w:w w:val="99"/>
              </w:rPr>
              <w:t>46%</w:t>
            </w:r>
          </w:p>
        </w:tc>
      </w:tr>
      <w:tr>
        <w:trPr>
          <w:trHeight w:val="20"/>
        </w:trPr>
        <w:tc>
          <w:tcPr>
            <w:tcW w:w="2120" w:type="dxa"/>
            <w:vAlign w:val="bottom"/>
            <w:tcBorders>
              <w:left w:val="single" w:sz="8" w:color="auto"/>
            </w:tcBorders>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bl>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Revenues &amp; Income</w:t>
      </w:r>
    </w:p>
    <w:p>
      <w:pPr>
        <w:spacing w:after="0" w:line="159"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color w:val="auto"/>
        </w:rPr>
        <w:t>In the second quarter of 2025, the Company’s total revenues and income increased to $135m, up from $88m last year, a growth rate of 53% year over year. This was composed of revenues from the sale of electricity, which rose 37% to $116m compared to $85m in the same period of 2024, as well as recognition of $19m in income from tax benefits, up 478% compared to $3m in 2Q24.</w:t>
      </w:r>
    </w:p>
    <w:p>
      <w:pPr>
        <w:spacing w:after="0" w:line="104" w:lineRule="exact"/>
        <w:rPr>
          <w:sz w:val="20"/>
          <w:szCs w:val="20"/>
          <w:color w:val="auto"/>
        </w:rPr>
      </w:pPr>
    </w:p>
    <w:p>
      <w:pPr>
        <w:jc w:val="both"/>
        <w:ind w:left="8"/>
        <w:spacing w:after="0" w:line="267" w:lineRule="auto"/>
        <w:rPr>
          <w:sz w:val="20"/>
          <w:szCs w:val="20"/>
          <w:color w:val="auto"/>
        </w:rPr>
      </w:pPr>
      <w:r>
        <w:rPr>
          <w:rFonts w:ascii="Arial" w:cs="Arial" w:eastAsia="Arial" w:hAnsi="Arial"/>
          <w:sz w:val="12"/>
          <w:szCs w:val="12"/>
          <w:color w:val="auto"/>
        </w:rPr>
        <w:t>The Company benefited from the revenues and income contribution of newly operational projects. Since the second quarter of last year, 525 MW and 1,604 MWh of new projects were connected to the grid and began selling electricity, including three of the Israel Solar and Storage Cluster units in Israel, Atrisco in the U.S, Pupin in Serbia, and Tapolca in Hungary. The most important increases in revenue from the sale of electricity originated at Atrisco, which added $13m, followed by the Israel Solar and Storage Cluster, with $12m, while Pupin contributed $4m. In total, new projects contributed $30m to revenues from the sale of electricity. Recognition of tax benefit income increased by $16m due to the initial commissioning of Atrisco. Revenues and income for the quarter were distributed between MENA (40%); Europe (35%); and the US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10972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309" w:lineRule="exact"/>
        <w:rPr>
          <w:sz w:val="20"/>
          <w:szCs w:val="20"/>
          <w:color w:val="auto"/>
        </w:rPr>
      </w:pPr>
    </w:p>
    <w:p>
      <w:pPr>
        <w:ind w:left="88" w:hanging="88"/>
        <w:spacing w:after="0"/>
        <w:tabs>
          <w:tab w:leader="none" w:pos="88" w:val="left"/>
        </w:tabs>
        <w:numPr>
          <w:ilvl w:val="0"/>
          <w:numId w:val="18"/>
        </w:numPr>
        <w:rPr>
          <w:rFonts w:ascii="Arial" w:cs="Arial" w:eastAsia="Arial" w:hAnsi="Arial"/>
          <w:sz w:val="20"/>
          <w:szCs w:val="20"/>
          <w:color w:val="auto"/>
          <w:vertAlign w:val="superscript"/>
        </w:rPr>
      </w:pPr>
      <w:r>
        <w:rPr>
          <w:rFonts w:ascii="Arial" w:cs="Arial" w:eastAsia="Arial" w:hAnsi="Arial"/>
          <w:sz w:val="12"/>
          <w:szCs w:val="12"/>
          <w:color w:val="auto"/>
        </w:rPr>
        <w:t>Total revenues and income include revenues from the sale of electricity along with income from tax benefits from US projects amounting to $70m-$80m.</w:t>
      </w:r>
    </w:p>
    <w:p>
      <w:pPr>
        <w:ind w:left="8" w:right="80" w:hanging="8"/>
        <w:spacing w:after="0" w:line="195" w:lineRule="auto"/>
        <w:tabs>
          <w:tab w:leader="none" w:pos="97" w:val="left"/>
        </w:tabs>
        <w:numPr>
          <w:ilvl w:val="0"/>
          <w:numId w:val="19"/>
        </w:numPr>
        <w:rPr>
          <w:rFonts w:ascii="Arial" w:cs="Arial" w:eastAsia="Arial" w:hAnsi="Arial"/>
          <w:sz w:val="20"/>
          <w:szCs w:val="20"/>
          <w:color w:val="auto"/>
          <w:vertAlign w:val="superscript"/>
        </w:rPr>
      </w:pPr>
      <w:r>
        <w:rPr>
          <w:rFonts w:ascii="Arial" w:cs="Arial" w:eastAsia="Arial" w:hAnsi="Arial"/>
          <w:sz w:val="12"/>
          <w:szCs w:val="12"/>
          <w:color w:val="auto"/>
        </w:rPr>
        <w:t>EBITDA is a non-IFRS financial measure. The Company is unable to provide a reconciliation of EBITDA to Net Income on a forward-looking basis without unreasonable effort because items that impact this IFRS financial measure are not within the Company’s control and/or cannot be reasonably predicted. Please refer to the reconciliation table in 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80"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b w:val="1"/>
          <w:bCs w:val="1"/>
          <w:color w:val="auto"/>
        </w:rPr>
        <w:t>Net Income</w:t>
      </w:r>
    </w:p>
    <w:p>
      <w:pPr>
        <w:spacing w:after="0" w:line="159" w:lineRule="exact"/>
        <w:rPr>
          <w:sz w:val="20"/>
          <w:szCs w:val="20"/>
          <w:color w:val="auto"/>
        </w:rPr>
      </w:pPr>
    </w:p>
    <w:p>
      <w:pPr>
        <w:jc w:val="both"/>
        <w:ind w:left="8"/>
        <w:spacing w:after="0" w:line="272" w:lineRule="auto"/>
        <w:rPr>
          <w:sz w:val="20"/>
          <w:szCs w:val="20"/>
          <w:color w:val="auto"/>
        </w:rPr>
      </w:pPr>
      <w:r>
        <w:rPr>
          <w:rFonts w:ascii="Arial" w:cs="Arial" w:eastAsia="Arial" w:hAnsi="Arial"/>
          <w:sz w:val="12"/>
          <w:szCs w:val="12"/>
          <w:color w:val="auto"/>
        </w:rPr>
        <w:t>In the second quarter of 2025, the Company reported net income of $6 million, representing a 41% decrease from $9 million in the same period last year. This was primarily attributable to several factors: new projects contributed $15 million to net income, while a non-cash accounting reduction due to the impact of foreign exchange differentials on a dollar-denominated loan to a subsidiary resulted in a year-on-year decrease of $12 million. Additionally, other financial expenses increased by $8 million (all amounts stated after tax). Adjusting for the effects of foreign currency accounting reduction, net income amounted to $16m compared to $7m the same quarter last year, an increase of 110% year over year.</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Adjusted EBITDA</w:t>
      </w:r>
      <w:r>
        <w:rPr>
          <w:rFonts w:ascii="Calibri" w:cs="Calibri" w:eastAsia="Calibri" w:hAnsi="Calibri"/>
          <w:sz w:val="19"/>
          <w:szCs w:val="19"/>
          <w:b w:val="1"/>
          <w:bCs w:val="1"/>
          <w:color w:val="auto"/>
          <w:vertAlign w:val="superscript"/>
        </w:rPr>
        <w:t>8</w:t>
      </w:r>
    </w:p>
    <w:p>
      <w:pPr>
        <w:spacing w:after="0" w:line="85" w:lineRule="exact"/>
        <w:rPr>
          <w:sz w:val="20"/>
          <w:szCs w:val="20"/>
          <w:color w:val="auto"/>
        </w:rPr>
      </w:pPr>
    </w:p>
    <w:p>
      <w:pPr>
        <w:ind w:left="8" w:right="620"/>
        <w:spacing w:after="0" w:line="269" w:lineRule="auto"/>
        <w:rPr>
          <w:sz w:val="20"/>
          <w:szCs w:val="20"/>
          <w:color w:val="auto"/>
        </w:rPr>
      </w:pPr>
      <w:r>
        <w:rPr>
          <w:rFonts w:ascii="Arial" w:cs="Arial" w:eastAsia="Arial" w:hAnsi="Arial"/>
          <w:sz w:val="12"/>
          <w:szCs w:val="12"/>
          <w:color w:val="auto"/>
        </w:rPr>
        <w:t>The Company’s Adjusted EBITDA grew by 57% to $ 96m in the second quarter of 2025, compared to $61m for the same period in 2024. Of this increase, $50m was driven by the factors described above paragraphs</w:t>
      </w:r>
      <w:r>
        <w:rPr>
          <w:rFonts w:ascii="Calibri" w:cs="Calibri" w:eastAsia="Calibri" w:hAnsi="Calibri"/>
          <w:sz w:val="12"/>
          <w:szCs w:val="12"/>
          <w:color w:val="auto"/>
        </w:rPr>
        <w:t>.</w:t>
      </w:r>
      <w:r>
        <w:rPr>
          <w:rFonts w:ascii="Arial" w:cs="Arial" w:eastAsia="Arial" w:hAnsi="Arial"/>
          <w:sz w:val="12"/>
          <w:szCs w:val="12"/>
          <w:color w:val="auto"/>
        </w:rPr>
        <w:t xml:space="preserve"> This was offset by an increase of $13m in COGS linked to the addition of new projects, and an increase of $3m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10972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319" w:lineRule="exact"/>
        <w:rPr>
          <w:sz w:val="20"/>
          <w:szCs w:val="20"/>
          <w:color w:val="auto"/>
        </w:rPr>
      </w:pPr>
    </w:p>
    <w:p>
      <w:pPr>
        <w:ind w:left="88" w:hanging="88"/>
        <w:spacing w:after="0"/>
        <w:tabs>
          <w:tab w:leader="none" w:pos="88" w:val="left"/>
        </w:tabs>
        <w:numPr>
          <w:ilvl w:val="0"/>
          <w:numId w:val="20"/>
        </w:numPr>
        <w:rPr>
          <w:rFonts w:ascii="Arial" w:cs="Arial" w:eastAsia="Arial" w:hAnsi="Arial"/>
          <w:sz w:val="20"/>
          <w:szCs w:val="20"/>
          <w:color w:val="auto"/>
          <w:vertAlign w:val="superscript"/>
        </w:rPr>
      </w:pPr>
      <w:r>
        <w:rPr>
          <w:rFonts w:ascii="Arial" w:cs="Arial" w:eastAsia="Arial" w:hAnsi="Arial"/>
          <w:sz w:val="12"/>
          <w:szCs w:val="12"/>
          <w:color w:val="auto"/>
        </w:rPr>
        <w:t>Adjusted EBITDA is a non-IFRS measure. Please see the appendix of this presentation for a reconciliation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80" w:right="299" w:bottom="1440" w:gutter="0" w:footer="0" w:header="0"/>
        </w:sectPr>
      </w:pPr>
    </w:p>
    <w:bookmarkStart w:id="10" w:name="page11"/>
    <w:bookmarkEnd w:id="10"/>
    <w:p>
      <w:pPr>
        <w:ind w:left="8"/>
        <w:spacing w:after="0"/>
        <w:rPr>
          <w:sz w:val="20"/>
          <w:szCs w:val="20"/>
          <w:color w:val="auto"/>
        </w:rPr>
      </w:pPr>
      <w:r>
        <w:rPr>
          <w:rFonts w:ascii="Arial" w:cs="Arial" w:eastAsia="Arial" w:hAnsi="Arial"/>
          <w:sz w:val="12"/>
          <w:szCs w:val="12"/>
          <w:b w:val="1"/>
          <w:bCs w:val="1"/>
          <w:color w:val="auto"/>
        </w:rPr>
        <w:t>Conference Call Information</w:t>
      </w:r>
    </w:p>
    <w:p>
      <w:pPr>
        <w:spacing w:after="0" w:line="158" w:lineRule="exact"/>
        <w:rPr>
          <w:sz w:val="20"/>
          <w:szCs w:val="20"/>
          <w:color w:val="auto"/>
        </w:rPr>
      </w:pPr>
    </w:p>
    <w:p>
      <w:pPr>
        <w:ind w:left="8"/>
        <w:spacing w:after="0" w:line="301" w:lineRule="auto"/>
        <w:rPr>
          <w:sz w:val="20"/>
          <w:szCs w:val="20"/>
          <w:color w:val="auto"/>
        </w:rPr>
      </w:pPr>
      <w:r>
        <w:rPr>
          <w:rFonts w:ascii="Arial" w:cs="Arial" w:eastAsia="Arial" w:hAnsi="Arial"/>
          <w:sz w:val="12"/>
          <w:szCs w:val="12"/>
          <w:color w:val="auto"/>
        </w:rPr>
        <w:t>Enlight plans to hold its Second Quarter 2025 Conference Call and Webcasts on Wednesday, August 6, 2025 to review its financial results and business outlook in both English and Hebrew. Management will deliver prepared remarks followed by a question-and-answer session. Participants can join by dial-in or webcast:</w:t>
      </w:r>
    </w:p>
    <w:p>
      <w:pPr>
        <w:spacing w:after="0" w:line="104" w:lineRule="exact"/>
        <w:rPr>
          <w:sz w:val="20"/>
          <w:szCs w:val="20"/>
          <w:color w:val="auto"/>
        </w:rPr>
      </w:pPr>
    </w:p>
    <w:p>
      <w:pPr>
        <w:ind w:left="208" w:hanging="208"/>
        <w:spacing w:after="0"/>
        <w:tabs>
          <w:tab w:leader="none" w:pos="208" w:val="left"/>
        </w:tabs>
        <w:numPr>
          <w:ilvl w:val="0"/>
          <w:numId w:val="21"/>
        </w:numPr>
        <w:rPr>
          <w:rFonts w:ascii="Times New Roman" w:cs="Times New Roman" w:eastAsia="Times New Roman" w:hAnsi="Times New Roman"/>
          <w:sz w:val="12"/>
          <w:szCs w:val="12"/>
          <w:color w:val="auto"/>
        </w:rPr>
      </w:pPr>
      <w:r>
        <w:rPr>
          <w:rFonts w:ascii="Arial" w:cs="Arial" w:eastAsia="Arial" w:hAnsi="Arial"/>
          <w:sz w:val="12"/>
          <w:szCs w:val="12"/>
          <w:b w:val="1"/>
          <w:bCs w:val="1"/>
          <w:color w:val="auto"/>
        </w:rPr>
        <w:t>English Conference Call at 8:00am ET / 3:00pm Israel:</w:t>
      </w:r>
    </w:p>
    <w:p>
      <w:pPr>
        <w:spacing w:after="0" w:line="158" w:lineRule="exact"/>
        <w:rPr>
          <w:rFonts w:ascii="Times New Roman" w:cs="Times New Roman" w:eastAsia="Times New Roman" w:hAnsi="Times New Roman"/>
          <w:sz w:val="12"/>
          <w:szCs w:val="12"/>
          <w:color w:val="auto"/>
        </w:rPr>
      </w:pPr>
    </w:p>
    <w:p>
      <w:pPr>
        <w:ind w:left="208" w:right="6420"/>
        <w:spacing w:after="0" w:line="521" w:lineRule="auto"/>
        <w:rPr>
          <w:rFonts w:ascii="Times New Roman" w:cs="Times New Roman" w:eastAsia="Times New Roman" w:hAnsi="Times New Roman"/>
          <w:sz w:val="12"/>
          <w:szCs w:val="12"/>
          <w:color w:val="auto"/>
        </w:rPr>
      </w:pPr>
      <w:r>
        <w:rPr>
          <w:rFonts w:ascii="Arial" w:cs="Arial" w:eastAsia="Arial" w:hAnsi="Arial"/>
          <w:sz w:val="12"/>
          <w:szCs w:val="12"/>
          <w:color w:val="auto"/>
        </w:rPr>
        <w:t xml:space="preserve">Please pre-register to join by conference call using the following link: </w:t>
      </w:r>
      <w:r>
        <w:rPr>
          <w:rFonts w:ascii="Arial" w:cs="Arial" w:eastAsia="Arial" w:hAnsi="Arial"/>
          <w:sz w:val="12"/>
          <w:szCs w:val="12"/>
          <w:u w:val="single" w:color="auto"/>
          <w:color w:val="0563C1"/>
        </w:rPr>
        <w:t xml:space="preserve">https://register-conf.media-server.com/register/BI46289c60b7164253aa692c51490ef8ad </w:t>
      </w:r>
      <w:r>
        <w:rPr>
          <w:rFonts w:ascii="Arial" w:cs="Arial" w:eastAsia="Arial" w:hAnsi="Arial"/>
          <w:sz w:val="12"/>
          <w:szCs w:val="12"/>
          <w:color w:val="000000"/>
        </w:rPr>
        <w:t>Upon registering, you will be emailed a dial-in number, direct passcode and unique PIN.</w:t>
      </w:r>
    </w:p>
    <w:p>
      <w:pPr>
        <w:spacing w:after="0" w:line="1" w:lineRule="exact"/>
        <w:rPr>
          <w:rFonts w:ascii="Times New Roman" w:cs="Times New Roman" w:eastAsia="Times New Roman" w:hAnsi="Times New Roman"/>
          <w:sz w:val="12"/>
          <w:szCs w:val="12"/>
          <w:color w:val="auto"/>
        </w:rPr>
      </w:pPr>
    </w:p>
    <w:p>
      <w:pPr>
        <w:ind w:left="208" w:right="8120" w:hanging="208"/>
        <w:spacing w:after="0" w:line="515" w:lineRule="auto"/>
        <w:tabs>
          <w:tab w:leader="none" w:pos="208" w:val="left"/>
        </w:tabs>
        <w:numPr>
          <w:ilvl w:val="0"/>
          <w:numId w:val="21"/>
        </w:numPr>
        <w:rPr>
          <w:rFonts w:ascii="Times New Roman" w:cs="Times New Roman" w:eastAsia="Times New Roman" w:hAnsi="Times New Roman"/>
          <w:sz w:val="12"/>
          <w:szCs w:val="12"/>
          <w:color w:val="auto"/>
        </w:rPr>
      </w:pPr>
      <w:r>
        <w:rPr>
          <w:rFonts w:ascii="Arial" w:cs="Arial" w:eastAsia="Arial" w:hAnsi="Arial"/>
          <w:sz w:val="12"/>
          <w:szCs w:val="12"/>
          <w:b w:val="1"/>
          <w:bCs w:val="1"/>
          <w:color w:val="auto"/>
        </w:rPr>
        <w:t xml:space="preserve">English Webcast at 8:00am ET / 3:00pm Israel: </w:t>
      </w:r>
      <w:r>
        <w:rPr>
          <w:rFonts w:ascii="Arial" w:cs="Arial" w:eastAsia="Arial" w:hAnsi="Arial"/>
          <w:sz w:val="12"/>
          <w:szCs w:val="12"/>
          <w:color w:val="auto"/>
        </w:rPr>
        <w:t xml:space="preserve">Please register and join by webcast at the following link: </w:t>
      </w:r>
      <w:r>
        <w:rPr>
          <w:rFonts w:ascii="Arial" w:cs="Arial" w:eastAsia="Arial" w:hAnsi="Arial"/>
          <w:sz w:val="12"/>
          <w:szCs w:val="12"/>
          <w:u w:val="single" w:color="auto"/>
          <w:color w:val="0563C1"/>
        </w:rPr>
        <w:t>https://edge.media-server.com/mmc/p/8u3xaw6u</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1"/>
        </w:numPr>
        <w:rPr>
          <w:rFonts w:ascii="Times New Roman" w:cs="Times New Roman" w:eastAsia="Times New Roman" w:hAnsi="Times New Roman"/>
          <w:sz w:val="12"/>
          <w:szCs w:val="12"/>
          <w:color w:val="auto"/>
        </w:rPr>
      </w:pPr>
      <w:r>
        <w:rPr>
          <w:rFonts w:ascii="Arial" w:cs="Arial" w:eastAsia="Arial" w:hAnsi="Arial"/>
          <w:sz w:val="12"/>
          <w:szCs w:val="12"/>
          <w:b w:val="1"/>
          <w:bCs w:val="1"/>
          <w:color w:val="auto"/>
        </w:rPr>
        <w:t>Hebrew Webcast at 6:00am ET / 1:00pm Israel:</w:t>
      </w:r>
    </w:p>
    <w:p>
      <w:pPr>
        <w:spacing w:after="0" w:line="158" w:lineRule="exact"/>
        <w:rPr>
          <w:sz w:val="20"/>
          <w:szCs w:val="20"/>
          <w:color w:val="auto"/>
        </w:rPr>
      </w:pPr>
    </w:p>
    <w:p>
      <w:pPr>
        <w:ind w:left="208"/>
        <w:spacing w:after="0"/>
        <w:rPr>
          <w:sz w:val="20"/>
          <w:szCs w:val="20"/>
          <w:color w:val="auto"/>
        </w:rPr>
      </w:pPr>
      <w:r>
        <w:rPr>
          <w:rFonts w:ascii="Arial" w:cs="Arial" w:eastAsia="Arial" w:hAnsi="Arial"/>
          <w:sz w:val="12"/>
          <w:szCs w:val="12"/>
          <w:color w:val="auto"/>
        </w:rPr>
        <w:t>Please join the webcast at the following link:</w:t>
      </w:r>
    </w:p>
    <w:p>
      <w:pPr>
        <w:spacing w:after="0" w:line="159" w:lineRule="exact"/>
        <w:rPr>
          <w:sz w:val="20"/>
          <w:szCs w:val="20"/>
          <w:color w:val="auto"/>
        </w:rPr>
      </w:pPr>
    </w:p>
    <w:p>
      <w:pPr>
        <w:ind w:left="208"/>
        <w:spacing w:after="0"/>
        <w:rPr>
          <w:sz w:val="20"/>
          <w:szCs w:val="20"/>
          <w:color w:val="auto"/>
        </w:rPr>
      </w:pPr>
      <w:r>
        <w:rPr>
          <w:rFonts w:ascii="Arial" w:cs="Arial" w:eastAsia="Arial" w:hAnsi="Arial"/>
          <w:sz w:val="12"/>
          <w:szCs w:val="12"/>
          <w:u w:val="single" w:color="auto"/>
          <w:color w:val="0563C1"/>
        </w:rPr>
        <w:t>https://enlightenergy-co-il.zoom.us/webinar/register/WN_Fz0XzgWkRBKz4OA0OO7cnQ</w:t>
      </w:r>
    </w:p>
    <w:p>
      <w:pPr>
        <w:spacing w:after="0" w:line="159" w:lineRule="exact"/>
        <w:rPr>
          <w:sz w:val="20"/>
          <w:szCs w:val="20"/>
          <w:color w:val="auto"/>
        </w:rPr>
      </w:pPr>
    </w:p>
    <w:p>
      <w:pPr>
        <w:ind w:left="8"/>
        <w:spacing w:after="0" w:line="301" w:lineRule="auto"/>
        <w:rPr>
          <w:sz w:val="20"/>
          <w:szCs w:val="20"/>
          <w:color w:val="auto"/>
        </w:rPr>
      </w:pPr>
      <w:r>
        <w:rPr>
          <w:rFonts w:ascii="Arial" w:cs="Arial" w:eastAsia="Arial" w:hAnsi="Arial"/>
          <w:sz w:val="12"/>
          <w:szCs w:val="12"/>
          <w:color w:val="auto"/>
        </w:rPr>
        <w:t xml:space="preserve">The press release with the financial results as well as the investor presentation materials will be accessible from the Company’s website prior to the conference call. An archived version of the webcast will be available on the Company’s investor relations website at </w:t>
      </w:r>
      <w:r>
        <w:rPr>
          <w:rFonts w:ascii="Arial" w:cs="Arial" w:eastAsia="Arial" w:hAnsi="Arial"/>
          <w:sz w:val="12"/>
          <w:szCs w:val="12"/>
          <w:u w:val="single" w:color="auto"/>
          <w:color w:val="0563C1"/>
        </w:rPr>
        <w:t>https://enlightenergy.co.il/info/investors/</w:t>
      </w:r>
      <w:r>
        <w:rPr>
          <w:rFonts w:ascii="Arial" w:cs="Arial" w:eastAsia="Arial" w:hAnsi="Arial"/>
          <w:sz w:val="12"/>
          <w:szCs w:val="12"/>
          <w:color w:val="auto"/>
        </w:rPr>
        <w:t>.</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Supplemental Financial and Other Information</w:t>
      </w:r>
    </w:p>
    <w:p>
      <w:pPr>
        <w:spacing w:after="0" w:line="168" w:lineRule="exact"/>
        <w:rPr>
          <w:sz w:val="20"/>
          <w:szCs w:val="20"/>
          <w:color w:val="auto"/>
        </w:rPr>
      </w:pPr>
    </w:p>
    <w:p>
      <w:pPr>
        <w:jc w:val="both"/>
        <w:ind w:left="8" w:right="280"/>
        <w:spacing w:after="0" w:line="272" w:lineRule="auto"/>
        <w:rPr>
          <w:sz w:val="20"/>
          <w:szCs w:val="20"/>
          <w:color w:val="auto"/>
        </w:rPr>
      </w:pPr>
      <w:r>
        <w:rPr>
          <w:rFonts w:ascii="Arial" w:cs="Arial" w:eastAsia="Arial" w:hAnsi="Arial"/>
          <w:sz w:val="12"/>
          <w:szCs w:val="12"/>
          <w:color w:val="auto"/>
        </w:rPr>
        <w:t xml:space="preserve">We intend to announce material information to the public through the Enlight investor relations website at </w:t>
      </w:r>
      <w:r>
        <w:rPr>
          <w:rFonts w:ascii="Arial" w:cs="Arial" w:eastAsia="Arial" w:hAnsi="Arial"/>
          <w:sz w:val="12"/>
          <w:szCs w:val="12"/>
          <w:u w:val="single" w:color="auto"/>
          <w:color w:val="0563C1"/>
        </w:rPr>
        <w:t>https://enlightenergy.co.il/info/investors</w:t>
      </w:r>
      <w:r>
        <w:rPr>
          <w:rFonts w:ascii="Arial" w:cs="Arial" w:eastAsia="Arial" w:hAnsi="Arial"/>
          <w:sz w:val="12"/>
          <w:szCs w:val="12"/>
          <w:color w:val="auto"/>
        </w:rPr>
        <w:t>,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Non-IFRS Financial Measures</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2"/>
          <w:szCs w:val="12"/>
          <w:color w:val="auto"/>
        </w:rPr>
        <w:t>This release presents Adjusted EBITDA, a financial metric, which is provided as a complement to the results provided in accordance with the International Financial Reporting Standards as issued by the International Accounting Standards Board (“IFRS”). A reconciliation of the non-IFRS financial information to the most directly comparable IFRS financial measure is provided in the accompanying tables found at the end of this release.</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2"/>
          <w:szCs w:val="12"/>
          <w:color w:val="auto"/>
        </w:rPr>
        <w:t>We define Adjusted EBITDA as net income (loss) plus depreciation and amortization, share based compensation, finance expenses, taxes on income and share in losses of equity accounted investees and minus finance income and non-recurring portions of other income, net. For the purposes of calculating Adjusted EBITDA, compensation for inadequate performance of goods and services procured by the Company are included in other income, net. Compensation for inadequate performance of goods and services reflects the profits the Company would have generated under regular operating conditions and is therefore included in Adjusted EBITDA. With respect to gains (losses) from asset disposals, as part of Enlight’s strategy to accelerate growth and reduce the need for equity financing, the Company sells parts of or the entirety of selected renewable project assets from time to time, and therefore includes realized gains or losses from these asset disposals in Adjusted EBITDA. In the case of partial assets disposals, Adjusted EBITDA includes only the actual consideration less the book value of the assets sold. Our management believes Adjusted EBITDA is indicative of operational performance and ongoing profitability and uses Adjusted EBITDA to evaluate the operating performance and for planning and forecasting purposes.</w:t>
      </w:r>
    </w:p>
    <w:p>
      <w:pPr>
        <w:spacing w:after="0" w:line="126"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color w:val="auto"/>
        </w:rPr>
        <w:t>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 Investors are encouraged to review the related IFRS financial measure, Net Income, and the reconciliations of Adjusted EBITDA provided below to Net Income and to not rely on any single financial measure to evaluate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68" w:lineRule="exact"/>
        <w:rPr>
          <w:sz w:val="20"/>
          <w:szCs w:val="20"/>
          <w:color w:val="auto"/>
        </w:rPr>
      </w:pPr>
    </w:p>
    <w:p>
      <w:pPr>
        <w:ind w:right="40"/>
        <w:spacing w:after="0" w:line="264" w:lineRule="auto"/>
        <w:rPr>
          <w:sz w:val="20"/>
          <w:szCs w:val="20"/>
          <w:color w:val="auto"/>
        </w:rPr>
      </w:pPr>
      <w:r>
        <w:rPr>
          <w:rFonts w:ascii="Arial" w:cs="Arial" w:eastAsia="Arial" w:hAnsi="Arial"/>
          <w:sz w:val="12"/>
          <w:szCs w:val="12"/>
          <w:color w:val="auto"/>
        </w:rPr>
        <w:t>This press release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business strategy and plans, capabilities of the Company’s project portfolio and achievement of operational objectives, market opportunity, utility demand and potential growth, discussions with commercial counterparties and financing sources, pricing trends for materials, progress of Company projects, including anticipated timing of related approvals and project completion and anticipated production delays, the Company’s future financial results, expected impact from various regulatory developments and anticipated trade sanctions, expectations regarding wind production, electricity prices and windfall taxes, and Revenues and Income and Adjusted EBITDA guidance, the expected timing of completion of our ongoing projects, and the Company’s anticipated cash requirements and financing plans ,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2" w:name="page13"/>
    <w:bookmarkEnd w:id="12"/>
    <w:p>
      <w:pPr>
        <w:spacing w:after="0" w:line="261" w:lineRule="auto"/>
        <w:rPr>
          <w:sz w:val="20"/>
          <w:szCs w:val="20"/>
          <w:color w:val="auto"/>
        </w:rPr>
      </w:pPr>
      <w:r>
        <w:rPr>
          <w:rFonts w:ascii="Arial" w:cs="Arial" w:eastAsia="Arial" w:hAnsi="Arial"/>
          <w:sz w:val="12"/>
          <w:szCs w:val="12"/>
          <w:color w:val="auto"/>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or benefits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the impact of tariffs on the cost of construction and our ability to mitigate such impact,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as may be updated in our other documents filed with or furnished to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2"/>
          <w:szCs w:val="12"/>
          <w:color w:val="auto"/>
        </w:rPr>
        <w:t>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Enlight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Founded in 2008, Enlight develops, finances, constructs, owns, and operates utility-scale renewable energy projects. Enlight operates across the three largest renewable segments today: solar, wind and energy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storage. A global platform, Enlight operates in the United States, Israel and 10 European countries. Enlight has been traded on the Tel Aviv Stock Exchange since 2010 (TASE: ENLT) and completed its U.S. IPO</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(Nasdaq: ENLT) in 2023.</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Contacts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Yonah Weisz</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Director IR</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investors@enlightenergy.co.il</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Erica Mannion or Mike Funari</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Sapphire Investor Relations, LLC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+1 617 542 6180</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investors@enlightenergy.co.il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4" w:name="page15"/>
    <w:bookmarkEnd w:id="14"/>
    <w:p>
      <w:pPr>
        <w:ind w:left="8"/>
        <w:spacing w:after="0"/>
        <w:rPr>
          <w:sz w:val="20"/>
          <w:szCs w:val="20"/>
          <w:color w:val="auto"/>
        </w:rPr>
      </w:pPr>
      <w:r>
        <w:rPr>
          <w:rFonts w:ascii="Arial" w:cs="Arial" w:eastAsia="Arial" w:hAnsi="Arial"/>
          <w:sz w:val="12"/>
          <w:szCs w:val="12"/>
          <w:b w:val="1"/>
          <w:bCs w:val="1"/>
          <w:color w:val="auto"/>
        </w:rPr>
        <w:t>Appendix 1 – Financial information</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83" w:lineRule="exact"/>
        <w:rPr>
          <w:sz w:val="20"/>
          <w:szCs w:val="20"/>
          <w:color w:val="auto"/>
        </w:rPr>
      </w:pPr>
    </w:p>
    <w:tbl>
      <w:tblPr>
        <w:tblLayout w:type="fixed"/>
        <w:tblInd w:w="8"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272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For the six months ended June 30</w:t>
            </w:r>
          </w:p>
        </w:tc>
        <w:tc>
          <w:tcPr>
            <w:tcW w:w="258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For the three months ended June 30</w:t>
            </w:r>
          </w:p>
        </w:tc>
      </w:tr>
      <w:tr>
        <w:trPr>
          <w:trHeight w:val="151"/>
        </w:trPr>
        <w:tc>
          <w:tcPr>
            <w:tcW w:w="60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3"/>
                <w:szCs w:val="13"/>
                <w:color w:val="auto"/>
              </w:rPr>
            </w:pPr>
          </w:p>
        </w:tc>
      </w:tr>
      <w:tr>
        <w:trPr>
          <w:trHeight w:val="138"/>
        </w:trPr>
        <w:tc>
          <w:tcPr>
            <w:tcW w:w="60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6"/>
              </w:rPr>
              <w:t>USD in</w:t>
            </w: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120" w:type="dxa"/>
            <w:vAlign w:val="bottom"/>
          </w:tcPr>
          <w:p>
            <w:pPr>
              <w:spacing w:after="0"/>
              <w:rPr>
                <w:sz w:val="12"/>
                <w:szCs w:val="12"/>
                <w:color w:val="auto"/>
              </w:rPr>
            </w:pPr>
          </w:p>
        </w:tc>
      </w:tr>
      <w:tr>
        <w:trPr>
          <w:trHeight w:val="165"/>
        </w:trPr>
        <w:tc>
          <w:tcPr>
            <w:tcW w:w="60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thousands</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thousands</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thousands</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thousands</w:t>
            </w:r>
          </w:p>
        </w:tc>
      </w:tr>
      <w:tr>
        <w:trPr>
          <w:trHeight w:val="151"/>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225,875</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175,095</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116,117</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84,698</w:t>
            </w: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Tax benefits</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38,972</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6,526</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18,861</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3,262</w:t>
            </w:r>
          </w:p>
        </w:tc>
      </w:tr>
      <w:tr>
        <w:trPr>
          <w:trHeight w:val="151"/>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revenues and income</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264,847</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181,621</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134,978</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87,960</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Cost of sales (**)</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(56,484)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(32,421)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(29,846)</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(16,985)</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(71,017)</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(50,886)</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(37,228)</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(25,282)</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(23,336)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(18,142)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(11,490)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(9,283)</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Development expenses</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(5,469)</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(4,542)</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(2,905)</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(2,124)</w:t>
            </w:r>
          </w:p>
        </w:tc>
      </w:tr>
      <w:tr>
        <w:trPr>
          <w:trHeight w:val="151"/>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operating expenses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(156,306)</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(105,991)</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(81,469)</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(53,674)</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51"/>
        </w:trPr>
        <w:tc>
          <w:tcPr>
            <w:tcW w:w="6000" w:type="dxa"/>
            <w:vAlign w:val="bottom"/>
          </w:tcPr>
          <w:p>
            <w:pPr>
              <w:spacing w:after="0"/>
              <w:rPr>
                <w:sz w:val="20"/>
                <w:szCs w:val="20"/>
                <w:color w:val="auto"/>
              </w:rPr>
            </w:pPr>
            <w:r>
              <w:rPr>
                <w:rFonts w:ascii="Arial" w:cs="Arial" w:eastAsia="Arial" w:hAnsi="Arial"/>
                <w:sz w:val="12"/>
                <w:szCs w:val="12"/>
                <w:color w:val="auto"/>
              </w:rPr>
              <w:t>Gains from projects disposals</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97,828</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611</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566</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584</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(expenses),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2,374</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1,528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3,479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Arial" w:cs="Arial" w:eastAsia="Arial" w:hAnsi="Arial"/>
                <w:sz w:val="12"/>
                <w:szCs w:val="12"/>
                <w:b w:val="1"/>
                <w:bCs w:val="1"/>
                <w:color w:val="auto"/>
              </w:rPr>
              <w:t>Operating profit</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208,743</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77,769</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57,554</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34,881</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Finance income</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8,166</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15,065</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1,471</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7,000</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Finance expenses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(82,286)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(49,311)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(52,083)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(29,818)</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Arial" w:cs="Arial" w:eastAsia="Arial" w:hAnsi="Arial"/>
                <w:sz w:val="12"/>
                <w:szCs w:val="12"/>
                <w:color w:val="auto"/>
              </w:rPr>
              <w:t>Total finance expenses, net</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(74,120)</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(34,246)</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(50,612)</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(22,818)</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Profit before tax and equity loss</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134,623</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43,523</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6,942</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12,063</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Share of loss of equity accounted investees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(1,645)</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(449)</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(418)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(305)</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Arial" w:cs="Arial" w:eastAsia="Arial" w:hAnsi="Arial"/>
                <w:sz w:val="12"/>
                <w:szCs w:val="12"/>
                <w:b w:val="1"/>
                <w:bCs w:val="1"/>
                <w:color w:val="auto"/>
              </w:rPr>
              <w:t>Profit before income taxes</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132,978</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43,074</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6,524</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11,758</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Taxes on income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(25,606)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(9,130)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(955)</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(2,299)</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Arial" w:cs="Arial" w:eastAsia="Arial" w:hAnsi="Arial"/>
                <w:sz w:val="12"/>
                <w:szCs w:val="12"/>
                <w:b w:val="1"/>
                <w:bCs w:val="1"/>
                <w:color w:val="auto"/>
              </w:rPr>
              <w:t>Profit for the period</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107,372</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33,944</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5,569</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9,459</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Profit for the period attributed to:</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Owners of the Company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95,815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24,806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1,357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8,043</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11,557</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9,138</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4,212</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1,416</w:t>
            </w:r>
          </w:p>
        </w:tc>
      </w:tr>
      <w:tr>
        <w:trPr>
          <w:trHeight w:val="191"/>
        </w:trPr>
        <w:tc>
          <w:tcPr>
            <w:tcW w:w="6000" w:type="dxa"/>
            <w:vAlign w:val="bottom"/>
            <w:shd w:val="clear" w:color="auto" w:fill="CCEEFF"/>
          </w:tcPr>
          <w:p>
            <w:pPr>
              <w:spacing w:after="0"/>
              <w:rPr>
                <w:sz w:val="16"/>
                <w:szCs w:val="16"/>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107,372</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33,944</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5,569</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9,459</w:t>
            </w:r>
          </w:p>
        </w:tc>
        <w:tc>
          <w:tcPr>
            <w:tcW w:w="120" w:type="dxa"/>
            <w:vAlign w:val="bottom"/>
            <w:shd w:val="clear" w:color="auto" w:fill="CCEEFF"/>
          </w:tcPr>
          <w:p>
            <w:pPr>
              <w:spacing w:after="0"/>
              <w:rPr>
                <w:sz w:val="16"/>
                <w:szCs w:val="16"/>
                <w:color w:val="auto"/>
              </w:rPr>
            </w:pPr>
          </w:p>
        </w:tc>
      </w:tr>
      <w:tr>
        <w:trPr>
          <w:trHeight w:val="116"/>
        </w:trPr>
        <w:tc>
          <w:tcPr>
            <w:tcW w:w="6000" w:type="dxa"/>
            <w:vAlign w:val="bottom"/>
            <w:tcBorders>
              <w:top w:val="single" w:sz="8" w:color="CCEEFF"/>
            </w:tcBorders>
          </w:tcPr>
          <w:p>
            <w:pPr>
              <w:spacing w:after="0" w:line="117" w:lineRule="exact"/>
              <w:rPr>
                <w:sz w:val="20"/>
                <w:szCs w:val="20"/>
                <w:color w:val="auto"/>
              </w:rPr>
            </w:pPr>
            <w:r>
              <w:rPr>
                <w:rFonts w:ascii="Arial" w:cs="Arial" w:eastAsia="Arial" w:hAnsi="Arial"/>
                <w:sz w:val="12"/>
                <w:szCs w:val="12"/>
                <w:b w:val="1"/>
                <w:bCs w:val="1"/>
                <w:color w:val="auto"/>
              </w:rPr>
              <w:t>Earnings per ordinary share (in USD) with a par</w:t>
            </w: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53"/>
        </w:trPr>
        <w:tc>
          <w:tcPr>
            <w:tcW w:w="6000" w:type="dxa"/>
            <w:vAlign w:val="bottom"/>
          </w:tcPr>
          <w:p>
            <w:pPr>
              <w:ind w:left="20"/>
              <w:spacing w:after="0"/>
              <w:rPr>
                <w:sz w:val="20"/>
                <w:szCs w:val="20"/>
                <w:color w:val="auto"/>
              </w:rPr>
            </w:pPr>
            <w:r>
              <w:rPr>
                <w:rFonts w:ascii="Arial" w:cs="Arial" w:eastAsia="Arial" w:hAnsi="Arial"/>
                <w:sz w:val="12"/>
                <w:szCs w:val="12"/>
                <w:b w:val="1"/>
                <w:bCs w:val="1"/>
                <w:color w:val="auto"/>
              </w:rPr>
              <w:t>value of NIS 0.1, attributable to owners of the</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6000" w:type="dxa"/>
            <w:vAlign w:val="bottom"/>
          </w:tcPr>
          <w:p>
            <w:pPr>
              <w:ind w:left="20"/>
              <w:spacing w:after="0"/>
              <w:rPr>
                <w:sz w:val="20"/>
                <w:szCs w:val="20"/>
                <w:color w:val="auto"/>
              </w:rPr>
            </w:pPr>
            <w:r>
              <w:rPr>
                <w:rFonts w:ascii="Arial" w:cs="Arial" w:eastAsia="Arial" w:hAnsi="Arial"/>
                <w:sz w:val="12"/>
                <w:szCs w:val="12"/>
                <w:b w:val="1"/>
                <w:bCs w:val="1"/>
                <w:color w:val="auto"/>
              </w:rPr>
              <w:t>parent Company:</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Basic earnings per share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0.80</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0.75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0.07</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9"/>
        </w:trPr>
        <w:tc>
          <w:tcPr>
            <w:tcW w:w="6000" w:type="dxa"/>
            <w:vAlign w:val="bottom"/>
          </w:tcPr>
          <w:p>
            <w:pPr>
              <w:spacing w:after="0" w:line="129" w:lineRule="exact"/>
              <w:rPr>
                <w:sz w:val="20"/>
                <w:szCs w:val="20"/>
                <w:color w:val="auto"/>
              </w:rPr>
            </w:pPr>
            <w:r>
              <w:rPr>
                <w:rFonts w:ascii="Arial" w:cs="Arial" w:eastAsia="Arial" w:hAnsi="Arial"/>
                <w:sz w:val="12"/>
                <w:szCs w:val="12"/>
                <w:color w:val="auto"/>
              </w:rPr>
              <w:t>Diluted earnings per share</w:t>
            </w:r>
          </w:p>
        </w:tc>
        <w:tc>
          <w:tcPr>
            <w:tcW w:w="11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0.01</w:t>
            </w:r>
          </w:p>
        </w:tc>
        <w:tc>
          <w:tcPr>
            <w:tcW w:w="220" w:type="dxa"/>
            <w:vAlign w:val="bottom"/>
          </w:tcPr>
          <w:p>
            <w:pPr>
              <w:spacing w:after="0"/>
              <w:rPr>
                <w:sz w:val="11"/>
                <w:szCs w:val="11"/>
                <w:color w:val="auto"/>
              </w:rPr>
            </w:pPr>
          </w:p>
        </w:tc>
        <w:tc>
          <w:tcPr>
            <w:tcW w:w="134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0.20</w:t>
            </w:r>
          </w:p>
        </w:tc>
        <w:tc>
          <w:tcPr>
            <w:tcW w:w="1340" w:type="dxa"/>
            <w:vAlign w:val="bottom"/>
            <w:gridSpan w:val="2"/>
          </w:tcPr>
          <w:p>
            <w:pPr>
              <w:jc w:val="right"/>
              <w:ind w:right="220"/>
              <w:spacing w:after="0" w:line="129" w:lineRule="exact"/>
              <w:rPr>
                <w:sz w:val="20"/>
                <w:szCs w:val="20"/>
                <w:color w:val="auto"/>
              </w:rPr>
            </w:pPr>
            <w:r>
              <w:rPr>
                <w:rFonts w:ascii="Arial" w:cs="Arial" w:eastAsia="Arial" w:hAnsi="Arial"/>
                <w:sz w:val="12"/>
                <w:szCs w:val="12"/>
                <w:b w:val="1"/>
                <w:bCs w:val="1"/>
                <w:color w:val="auto"/>
              </w:rPr>
              <w:t>0.01</w:t>
            </w:r>
          </w:p>
        </w:tc>
        <w:tc>
          <w:tcPr>
            <w:tcW w:w="12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0.06</w:t>
            </w:r>
          </w:p>
        </w:tc>
      </w:tr>
      <w:tr>
        <w:trPr>
          <w:trHeight w:val="20"/>
        </w:trPr>
        <w:tc>
          <w:tcPr>
            <w:tcW w:w="6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6000" w:type="dxa"/>
            <w:vAlign w:val="bottom"/>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Weighted average of share capital used in the</w:t>
            </w:r>
          </w:p>
        </w:tc>
        <w:tc>
          <w:tcPr>
            <w:tcW w:w="11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66"/>
        </w:trPr>
        <w:tc>
          <w:tcPr>
            <w:tcW w:w="60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calculation of earnings:</w:t>
            </w:r>
          </w:p>
        </w:tc>
        <w:tc>
          <w:tcPr>
            <w:tcW w:w="116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Basic per share</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119,107,985</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118,104,228</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119,421,246</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117,825,464</w:t>
            </w:r>
          </w:p>
        </w:tc>
      </w:tr>
      <w:tr>
        <w:trPr>
          <w:trHeight w:val="20"/>
        </w:trPr>
        <w:tc>
          <w:tcPr>
            <w:tcW w:w="6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0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Diluted per share</w:t>
            </w:r>
          </w:p>
        </w:tc>
        <w:tc>
          <w:tcPr>
            <w:tcW w:w="116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127,192,179</w:t>
            </w: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123,092,306</w:t>
            </w: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129,204,402</w:t>
            </w:r>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125,866,004</w:t>
            </w:r>
          </w:p>
        </w:tc>
        <w:tc>
          <w:tcPr>
            <w:tcW w:w="120" w:type="dxa"/>
            <w:vAlign w:val="bottom"/>
            <w:tcBorders>
              <w:bottom w:val="single" w:sz="8" w:color="CCEEFF"/>
            </w:tcBorders>
            <w:shd w:val="clear" w:color="auto" w:fill="CCEEFF"/>
          </w:tcPr>
          <w:p>
            <w:pPr>
              <w:spacing w:after="0"/>
              <w:rPr>
                <w:sz w:val="14"/>
                <w:szCs w:val="14"/>
                <w:color w:val="auto"/>
              </w:rPr>
            </w:pPr>
          </w:p>
        </w:tc>
      </w:tr>
    </w:tbl>
    <w:p>
      <w:pPr>
        <w:spacing w:after="0" w:line="140" w:lineRule="exact"/>
        <w:rPr>
          <w:sz w:val="20"/>
          <w:szCs w:val="20"/>
          <w:color w:val="auto"/>
        </w:rPr>
      </w:pPr>
    </w:p>
    <w:p>
      <w:pPr>
        <w:ind w:left="8" w:right="2400" w:hanging="8"/>
        <w:spacing w:after="0" w:line="520" w:lineRule="auto"/>
        <w:tabs>
          <w:tab w:leader="none" w:pos="168"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Consolidated Statements of Income have been adjusted to present comparable information for the previous period. For additional details please see Appendix 9. (**) Excluding depreciation and amortization</w:t>
      </w:r>
      <w:r>
        <w:rPr>
          <w:rFonts w:ascii="Calibri" w:cs="Calibri" w:eastAsia="Calibri" w:hAnsi="Calibri"/>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Consolidated Statements of Financial Position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June 30</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December 31</w:t>
            </w:r>
          </w:p>
        </w:tc>
      </w:tr>
      <w:tr>
        <w:trPr>
          <w:trHeight w:val="165"/>
        </w:trPr>
        <w:tc>
          <w:tcPr>
            <w:tcW w:w="87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2025</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2024</w:t>
            </w:r>
          </w:p>
        </w:tc>
        <w:tc>
          <w:tcPr>
            <w:tcW w:w="120" w:type="dxa"/>
            <w:vAlign w:val="bottom"/>
          </w:tcPr>
          <w:p>
            <w:pPr>
              <w:spacing w:after="0"/>
              <w:rPr>
                <w:sz w:val="14"/>
                <w:szCs w:val="14"/>
                <w:color w:val="auto"/>
              </w:rPr>
            </w:pPr>
          </w:p>
        </w:tc>
      </w:tr>
      <w:tr>
        <w:trPr>
          <w:trHeight w:val="139"/>
        </w:trPr>
        <w:tc>
          <w:tcPr>
            <w:tcW w:w="87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120" w:type="dxa"/>
            <w:vAlign w:val="bottom"/>
          </w:tcPr>
          <w:p>
            <w:pPr>
              <w:spacing w:after="0"/>
              <w:rPr>
                <w:sz w:val="12"/>
                <w:szCs w:val="12"/>
                <w:color w:val="auto"/>
              </w:rPr>
            </w:pPr>
          </w:p>
        </w:tc>
      </w:tr>
      <w:tr>
        <w:trPr>
          <w:trHeight w:val="165"/>
        </w:trPr>
        <w:tc>
          <w:tcPr>
            <w:tcW w:w="87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Thousands</w:t>
            </w:r>
          </w:p>
        </w:tc>
      </w:tr>
      <w:tr>
        <w:trPr>
          <w:trHeight w:val="151"/>
        </w:trPr>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160" w:type="dxa"/>
            <w:vAlign w:val="bottom"/>
            <w:tcBorders>
              <w:top w:val="single" w:sz="8" w:color="auto"/>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4"/>
        </w:trPr>
        <w:tc>
          <w:tcPr>
            <w:tcW w:w="8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assets</w:t>
            </w:r>
          </w:p>
        </w:tc>
        <w:tc>
          <w:tcPr>
            <w:tcW w:w="11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480,459</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387,427</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86,164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87,539</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Trade receivables</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78,329</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50,692</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Other receivables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66,244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99,651</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Other financial assets</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693</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975</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Assets of disposal groups classified as held for sale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81,661</w:t>
            </w:r>
          </w:p>
        </w:tc>
      </w:tr>
      <w:tr>
        <w:trPr>
          <w:trHeight w:val="20"/>
        </w:trPr>
        <w:tc>
          <w:tcPr>
            <w:tcW w:w="87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8700" w:type="dxa"/>
            <w:vAlign w:val="bottom"/>
          </w:tcPr>
          <w:p>
            <w:pPr>
              <w:spacing w:after="0"/>
              <w:rPr>
                <w:sz w:val="20"/>
                <w:szCs w:val="20"/>
                <w:color w:val="auto"/>
              </w:rPr>
            </w:pPr>
            <w:r>
              <w:rPr>
                <w:rFonts w:ascii="Arial" w:cs="Arial" w:eastAsia="Arial" w:hAnsi="Arial"/>
                <w:sz w:val="12"/>
                <w:szCs w:val="12"/>
                <w:b w:val="1"/>
                <w:bCs w:val="1"/>
                <w:color w:val="auto"/>
              </w:rPr>
              <w:t>Total current assets</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711,889</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707,945</w:t>
            </w:r>
          </w:p>
        </w:tc>
      </w:tr>
      <w:tr>
        <w:trPr>
          <w:trHeight w:val="142"/>
        </w:trPr>
        <w:tc>
          <w:tcPr>
            <w:tcW w:w="87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b w:val="1"/>
                <w:bCs w:val="1"/>
                <w:color w:val="auto"/>
              </w:rPr>
              <w:t>Non-current assets</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64,489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60,802</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Other long-term receivables</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65,046</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61,045</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Deferred costs in respect of projects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448,096</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357,358</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Deferred borrowing costs</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280</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276</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Loans to investee entities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57,561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18,112</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Investments in equity accounted investees</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54,145</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Fixed assets,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4,747,284</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3,699,192</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Intangible assets, net</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303,895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291,442</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Deferred taxes assets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9,195</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10,744</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Right-of-use asset, net</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217,783</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210,941</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Financial assets at fair value through profit or loss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79,043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69,216</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Other financial assets</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64,989</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59,812</w:t>
            </w:r>
          </w:p>
        </w:tc>
      </w:tr>
      <w:tr>
        <w:trPr>
          <w:trHeight w:val="151"/>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non-current assets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6,111,806</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4,838,940</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8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93"/>
        </w:trPr>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6,823,695</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5,546,885</w:t>
            </w:r>
          </w:p>
        </w:tc>
      </w:tr>
      <w:tr>
        <w:trPr>
          <w:trHeight w:val="246"/>
        </w:trPr>
        <w:tc>
          <w:tcPr>
            <w:tcW w:w="8700" w:type="dxa"/>
            <w:vAlign w:val="bottom"/>
            <w:tcBorders>
              <w:top w:val="single" w:sz="8" w:color="CCEEFF"/>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CCEEFF"/>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r>
    </w:tbl>
    <w:p>
      <w:pPr>
        <w:sectPr>
          <w:pgSz w:w="11900" w:h="16838" w:orient="portrait"/>
          <w:cols w:equalWidth="0" w:num="1">
            <w:col w:w="11300"/>
          </w:cols>
          <w:pgMar w:left="300" w:top="128"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Consolidated Statements of Financial Position as of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spacing w:after="0"/>
              <w:rPr>
                <w:sz w:val="13"/>
                <w:szCs w:val="13"/>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8"/>
              </w:rPr>
              <w:t>June 30</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December 31</w:t>
            </w:r>
          </w:p>
        </w:tc>
      </w:tr>
      <w:tr>
        <w:trPr>
          <w:trHeight w:val="165"/>
        </w:trPr>
        <w:tc>
          <w:tcPr>
            <w:tcW w:w="87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2024</w:t>
            </w:r>
          </w:p>
        </w:tc>
        <w:tc>
          <w:tcPr>
            <w:tcW w:w="120" w:type="dxa"/>
            <w:vAlign w:val="bottom"/>
          </w:tcPr>
          <w:p>
            <w:pPr>
              <w:spacing w:after="0"/>
              <w:rPr>
                <w:sz w:val="14"/>
                <w:szCs w:val="14"/>
                <w:color w:val="auto"/>
              </w:rPr>
            </w:pPr>
          </w:p>
        </w:tc>
      </w:tr>
      <w:tr>
        <w:trPr>
          <w:trHeight w:val="139"/>
        </w:trPr>
        <w:tc>
          <w:tcPr>
            <w:tcW w:w="87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120" w:type="dxa"/>
            <w:vAlign w:val="bottom"/>
          </w:tcPr>
          <w:p>
            <w:pPr>
              <w:spacing w:after="0"/>
              <w:rPr>
                <w:sz w:val="12"/>
                <w:szCs w:val="12"/>
                <w:color w:val="auto"/>
              </w:rPr>
            </w:pPr>
          </w:p>
        </w:tc>
      </w:tr>
      <w:tr>
        <w:trPr>
          <w:trHeight w:val="165"/>
        </w:trPr>
        <w:tc>
          <w:tcPr>
            <w:tcW w:w="87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Thousands</w:t>
            </w:r>
          </w:p>
        </w:tc>
      </w:tr>
      <w:tr>
        <w:trPr>
          <w:trHeight w:val="152"/>
        </w:trPr>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equity</w:t>
            </w:r>
          </w:p>
        </w:tc>
        <w:tc>
          <w:tcPr>
            <w:tcW w:w="11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4"/>
        </w:trPr>
        <w:tc>
          <w:tcPr>
            <w:tcW w:w="8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Credit and current maturities of loans from banks and other financial institutions</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504,684</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212,246</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Trade payables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126,956</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161,991</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Other payables</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338,492</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107,825</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Current maturities of debentures</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25,414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44,962</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Current maturities of lease liability</w:t>
            </w:r>
          </w:p>
        </w:tc>
        <w:tc>
          <w:tcPr>
            <w:tcW w:w="136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11,158</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10,240</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Other financial liabilities</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12,935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8,141</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Liabilities of disposal groups classified as held for sale</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46,635</w:t>
            </w:r>
          </w:p>
        </w:tc>
      </w:tr>
      <w:tr>
        <w:trPr>
          <w:trHeight w:val="151"/>
        </w:trPr>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current liabilities</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1,019,639</w:t>
            </w: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592,040</w:t>
            </w:r>
          </w:p>
        </w:tc>
        <w:tc>
          <w:tcPr>
            <w:tcW w:w="120" w:type="dxa"/>
            <w:vAlign w:val="bottom"/>
            <w:shd w:val="clear" w:color="auto" w:fill="CCEEFF"/>
          </w:tcPr>
          <w:p>
            <w:pPr>
              <w:spacing w:after="0"/>
              <w:rPr>
                <w:sz w:val="13"/>
                <w:szCs w:val="13"/>
                <w:color w:val="auto"/>
              </w:rPr>
            </w:pPr>
          </w:p>
        </w:tc>
      </w:tr>
      <w:tr>
        <w:trPr>
          <w:trHeight w:val="142"/>
        </w:trPr>
        <w:tc>
          <w:tcPr>
            <w:tcW w:w="87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Non-current liabilities</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Debentures</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609,172</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433,994</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Other financial liabilities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122,657</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107,865</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Convertible debentures</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257,647</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133,056</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Loans from banks and other financial institutions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2,294,910</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1,996,137</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Loans from non-controlling interests</w:t>
            </w:r>
          </w:p>
        </w:tc>
        <w:tc>
          <w:tcPr>
            <w:tcW w:w="136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86,623</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75,598</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Financial liabilities through profit or loss</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26,427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25,844</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Deferred taxes liabilities</w:t>
            </w:r>
          </w:p>
        </w:tc>
        <w:tc>
          <w:tcPr>
            <w:tcW w:w="136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69,492</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41,792</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Employee benefits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1,495</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1,215</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Lease liability</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220,938</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211,941</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related to tax equity</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372,446</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403,384</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Asset retirement obligation</w:t>
            </w:r>
          </w:p>
        </w:tc>
        <w:tc>
          <w:tcPr>
            <w:tcW w:w="136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93,806</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83,085</w:t>
            </w:r>
          </w:p>
        </w:tc>
      </w:tr>
      <w:tr>
        <w:trPr>
          <w:trHeight w:val="151"/>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4,155,613</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3,513,911</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870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liabilities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5,175,252</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4,105,951</w:t>
            </w:r>
          </w:p>
        </w:tc>
      </w:tr>
      <w:tr>
        <w:trPr>
          <w:trHeight w:val="142"/>
        </w:trPr>
        <w:tc>
          <w:tcPr>
            <w:tcW w:w="8700" w:type="dxa"/>
            <w:vAlign w:val="bottom"/>
            <w:tcBorders>
              <w:top w:val="single" w:sz="8" w:color="CCEEFF"/>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Equity</w:t>
            </w: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Ordinary share capital</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3,344</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3,308</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Share premium</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1,028,526</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1,028,532</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Capital reserves</w:t>
            </w:r>
          </w:p>
        </w:tc>
        <w:tc>
          <w:tcPr>
            <w:tcW w:w="136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81,575</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25,273</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Proceeds on account of convertible options</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25,083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15,494</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Accumulated profit</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203,734</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107,919</w:t>
            </w:r>
          </w:p>
        </w:tc>
      </w:tr>
      <w:tr>
        <w:trPr>
          <w:trHeight w:val="151"/>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Equity attributable to shareholders of the Company</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1,342,262</w:t>
            </w: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1,180,526</w:t>
            </w:r>
          </w:p>
        </w:tc>
        <w:tc>
          <w:tcPr>
            <w:tcW w:w="120" w:type="dxa"/>
            <w:vAlign w:val="bottom"/>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306,181</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260,408</w:t>
            </w:r>
          </w:p>
        </w:tc>
      </w:tr>
      <w:tr>
        <w:trPr>
          <w:trHeight w:val="151"/>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1,648,443</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1,440,934</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51"/>
        </w:trPr>
        <w:tc>
          <w:tcPr>
            <w:tcW w:w="8700" w:type="dxa"/>
            <w:vAlign w:val="bottom"/>
          </w:tcPr>
          <w:p>
            <w:pPr>
              <w:spacing w:after="0"/>
              <w:rPr>
                <w:sz w:val="20"/>
                <w:szCs w:val="20"/>
                <w:color w:val="auto"/>
              </w:rPr>
            </w:pPr>
            <w:r>
              <w:rPr>
                <w:rFonts w:ascii="Arial" w:cs="Arial" w:eastAsia="Arial" w:hAnsi="Arial"/>
                <w:sz w:val="12"/>
                <w:szCs w:val="12"/>
                <w:b w:val="1"/>
                <w:bCs w:val="1"/>
                <w:color w:val="auto"/>
              </w:rPr>
              <w:t>Total liabilities and equity</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6,823,695</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5,546,885</w:t>
            </w:r>
          </w:p>
        </w:tc>
      </w:tr>
      <w:tr>
        <w:trPr>
          <w:trHeight w:val="20"/>
        </w:trPr>
        <w:tc>
          <w:tcPr>
            <w:tcW w:w="8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6"/>
        </w:trPr>
        <w:tc>
          <w:tcPr>
            <w:tcW w:w="8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bl>
    <w:p>
      <w:pPr>
        <w:sectPr>
          <w:pgSz w:w="11900" w:h="16838" w:orient="portrait"/>
          <w:cols w:equalWidth="0" w:num="1">
            <w:col w:w="11300"/>
          </w:cols>
          <w:pgMar w:left="300" w:top="128"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272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For the six months ended June 30</w:t>
            </w:r>
          </w:p>
        </w:tc>
        <w:tc>
          <w:tcPr>
            <w:tcW w:w="258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For the three months ended June 30</w:t>
            </w:r>
          </w:p>
        </w:tc>
      </w:tr>
      <w:tr>
        <w:trPr>
          <w:trHeight w:val="151"/>
        </w:trPr>
        <w:tc>
          <w:tcPr>
            <w:tcW w:w="60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2024</w:t>
            </w:r>
          </w:p>
        </w:tc>
        <w:tc>
          <w:tcPr>
            <w:tcW w:w="120" w:type="dxa"/>
            <w:vAlign w:val="bottom"/>
          </w:tcPr>
          <w:p>
            <w:pPr>
              <w:spacing w:after="0"/>
              <w:rPr>
                <w:sz w:val="13"/>
                <w:szCs w:val="13"/>
                <w:color w:val="auto"/>
              </w:rPr>
            </w:pPr>
          </w:p>
        </w:tc>
      </w:tr>
      <w:tr>
        <w:trPr>
          <w:trHeight w:val="138"/>
        </w:trPr>
        <w:tc>
          <w:tcPr>
            <w:tcW w:w="60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6"/>
              </w:rPr>
              <w:t>USD in</w:t>
            </w: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120" w:type="dxa"/>
            <w:vAlign w:val="bottom"/>
          </w:tcPr>
          <w:p>
            <w:pPr>
              <w:spacing w:after="0"/>
              <w:rPr>
                <w:sz w:val="12"/>
                <w:szCs w:val="12"/>
                <w:color w:val="auto"/>
              </w:rPr>
            </w:pPr>
          </w:p>
        </w:tc>
      </w:tr>
      <w:tr>
        <w:trPr>
          <w:trHeight w:val="165"/>
        </w:trPr>
        <w:tc>
          <w:tcPr>
            <w:tcW w:w="60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Thousands</w:t>
            </w:r>
          </w:p>
        </w:tc>
      </w:tr>
      <w:tr>
        <w:trPr>
          <w:trHeight w:val="143"/>
        </w:trPr>
        <w:tc>
          <w:tcPr>
            <w:tcW w:w="60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for operating activities</w:t>
            </w: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Profit for the period</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107,372</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33,944</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5,569</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9,459</w:t>
            </w:r>
          </w:p>
        </w:tc>
      </w:tr>
      <w:tr>
        <w:trPr>
          <w:trHeight w:val="144"/>
        </w:trPr>
        <w:tc>
          <w:tcPr>
            <w:tcW w:w="60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Income and expenses not associated with cash flows:</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71,017</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50,886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37,228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25,282</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Finance expenses, net</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71,073</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33,766</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48,685</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22,280</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2,994</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1,284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968</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Taxes on income</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25,606</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9,130</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955</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2,299</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Tax benefits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(38,972)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(6,526)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(18,861)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(3,262)</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Other income (expenses), net</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(2,374)</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432</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(3,479)</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566</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Company’s share in losses of investee partnerships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1,645</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449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418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305</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Gains from projects disposals</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(97,828)</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(611)</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(566)</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(584)</w:t>
            </w:r>
          </w:p>
        </w:tc>
      </w:tr>
      <w:tr>
        <w:trPr>
          <w:trHeight w:val="151"/>
        </w:trPr>
        <w:tc>
          <w:tcPr>
            <w:tcW w:w="6000" w:type="dxa"/>
            <w:vAlign w:val="bottom"/>
            <w:shd w:val="clear" w:color="auto" w:fill="CCEEFF"/>
          </w:tcPr>
          <w:p>
            <w:pPr>
              <w:spacing w:after="0"/>
              <w:rPr>
                <w:sz w:val="13"/>
                <w:szCs w:val="13"/>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33,161</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91,611</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65,664</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47,854</w:t>
            </w:r>
          </w:p>
        </w:tc>
        <w:tc>
          <w:tcPr>
            <w:tcW w:w="120" w:type="dxa"/>
            <w:vAlign w:val="bottom"/>
            <w:shd w:val="clear" w:color="auto" w:fill="CCEEFF"/>
          </w:tcPr>
          <w:p>
            <w:pPr>
              <w:spacing w:after="0"/>
              <w:rPr>
                <w:sz w:val="13"/>
                <w:szCs w:val="13"/>
                <w:color w:val="auto"/>
              </w:rPr>
            </w:pPr>
          </w:p>
        </w:tc>
      </w:tr>
      <w:tr>
        <w:trPr>
          <w:trHeight w:val="142"/>
        </w:trPr>
        <w:tc>
          <w:tcPr>
            <w:tcW w:w="600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Changes in assets and liabilities items:</w:t>
            </w: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Change in other receivables</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(4,593)</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(4,352)</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(3,737)</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(2,210)</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Change in trade receivables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(20,885)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3,072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(509)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19,981</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Change in other payables</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21,470</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860</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12,866</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1,399</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Change in trade payables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(2,650)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(856)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(10,452)</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(927)</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(6,658)</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(1,276)</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(1,832)</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18,243</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Interest receipts</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6,334</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5,366</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3,822</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2,438</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Interest paid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(40,387)</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(33,793)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(18,089)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(18,169)</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Income Tax paid</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(8,673)</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(4,783)</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(7,598)</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(3,985)</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Net cash from operating activities</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91,149</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91,069</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47,536</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55,840</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Cash flows for investing activities</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Sale (Acquisition) of consolidated entities, net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33,018</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(1,388)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(3,205)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Changes in restricted cash and bank deposits, net</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8,186</w:t>
            </w:r>
          </w:p>
        </w:tc>
        <w:tc>
          <w:tcPr>
            <w:tcW w:w="220" w:type="dxa"/>
            <w:vAlign w:val="bottom"/>
          </w:tcPr>
          <w:p>
            <w:pPr>
              <w:spacing w:after="0"/>
              <w:rPr>
                <w:sz w:val="13"/>
                <w:szCs w:val="1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(15,370)</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10</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(10,382)</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Purchase, development, and construction in respect of projects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(658,022)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(461,801)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(402,160)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(262,068)</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Loans provided and Investment in investees</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(26,324)</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(14,216)</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(18,894)</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(2,932)</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Repayment of loans to investees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30,815</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Payments on account of acquisition of consolidated company</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(7,447)</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(10,851)</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Purchase of long-term financial assets measured at fair value through profit or loss, net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(3,247)</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(11,340)</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(207)</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(2,931)</w:t>
            </w:r>
          </w:p>
        </w:tc>
      </w:tr>
      <w:tr>
        <w:trPr>
          <w:trHeight w:val="20"/>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1"/>
        </w:trPr>
        <w:tc>
          <w:tcPr>
            <w:tcW w:w="6000" w:type="dxa"/>
            <w:vAlign w:val="bottom"/>
          </w:tcPr>
          <w:p>
            <w:pPr>
              <w:spacing w:after="0"/>
              <w:rPr>
                <w:sz w:val="20"/>
                <w:szCs w:val="20"/>
                <w:color w:val="auto"/>
              </w:rPr>
            </w:pPr>
            <w:r>
              <w:rPr>
                <w:rFonts w:ascii="Arial" w:cs="Arial" w:eastAsia="Arial" w:hAnsi="Arial"/>
                <w:sz w:val="12"/>
                <w:szCs w:val="12"/>
                <w:b w:val="1"/>
                <w:bCs w:val="1"/>
                <w:color w:val="auto"/>
              </w:rPr>
              <w:t>Net cash used in investing activities</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(623,021)</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(514,966)</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(424,456)</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(278,313)</w:t>
            </w:r>
          </w:p>
        </w:tc>
      </w:tr>
      <w:tr>
        <w:trPr>
          <w:trHeight w:val="268"/>
        </w:trPr>
        <w:tc>
          <w:tcPr>
            <w:tcW w:w="6000" w:type="dxa"/>
            <w:vAlign w:val="bottom"/>
            <w:tcBorders>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128"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Consolidated Statements of Cash Flows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272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For the six months ended June 30</w:t>
            </w:r>
          </w:p>
        </w:tc>
        <w:tc>
          <w:tcPr>
            <w:tcW w:w="258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For the three months ended June 30</w:t>
            </w:r>
          </w:p>
        </w:tc>
      </w:tr>
      <w:tr>
        <w:trPr>
          <w:trHeight w:val="151"/>
        </w:trPr>
        <w:tc>
          <w:tcPr>
            <w:tcW w:w="60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2025</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2025</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2024</w:t>
            </w:r>
          </w:p>
        </w:tc>
        <w:tc>
          <w:tcPr>
            <w:tcW w:w="120" w:type="dxa"/>
            <w:vAlign w:val="bottom"/>
          </w:tcPr>
          <w:p>
            <w:pPr>
              <w:spacing w:after="0"/>
              <w:rPr>
                <w:sz w:val="13"/>
                <w:szCs w:val="13"/>
                <w:color w:val="auto"/>
              </w:rPr>
            </w:pPr>
          </w:p>
        </w:tc>
      </w:tr>
      <w:tr>
        <w:trPr>
          <w:trHeight w:val="138"/>
        </w:trPr>
        <w:tc>
          <w:tcPr>
            <w:tcW w:w="60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6"/>
              </w:rPr>
              <w:t>USD in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2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USD in</w:t>
            </w:r>
          </w:p>
        </w:tc>
        <w:tc>
          <w:tcPr>
            <w:tcW w:w="120" w:type="dxa"/>
            <w:vAlign w:val="bottom"/>
          </w:tcPr>
          <w:p>
            <w:pPr>
              <w:spacing w:after="0"/>
              <w:rPr>
                <w:sz w:val="12"/>
                <w:szCs w:val="12"/>
                <w:color w:val="auto"/>
              </w:rPr>
            </w:pPr>
          </w:p>
        </w:tc>
      </w:tr>
      <w:tr>
        <w:trPr>
          <w:trHeight w:val="165"/>
        </w:trPr>
        <w:tc>
          <w:tcPr>
            <w:tcW w:w="6000" w:type="dxa"/>
            <w:vAlign w:val="bottom"/>
          </w:tcPr>
          <w:p>
            <w:pPr>
              <w:spacing w:after="0"/>
              <w:rPr>
                <w:sz w:val="14"/>
                <w:szCs w:val="1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Thousands</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Thousands</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Thousands</w:t>
            </w:r>
          </w:p>
        </w:tc>
      </w:tr>
      <w:tr>
        <w:trPr>
          <w:trHeight w:val="142"/>
        </w:trPr>
        <w:tc>
          <w:tcPr>
            <w:tcW w:w="600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Receipt of loans from banks and other financial institutions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674,684</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330,449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531,106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259,078</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Repayment of loans from banks and other financial institutions</w:t>
            </w:r>
          </w:p>
        </w:tc>
        <w:tc>
          <w:tcPr>
            <w:tcW w:w="13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(223,361)</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(77,197)</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(114,439)</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(66,749)</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Issuance of debentures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125,838</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Issuance of convertible debentures</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114,685</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Repayment of debentures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(21,994)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Dividends and distributions by subsidiaries to non-controlling interests</w:t>
            </w:r>
          </w:p>
        </w:tc>
        <w:tc>
          <w:tcPr>
            <w:tcW w:w="13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(8,682)</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(3,450)</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(8,682)</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(3,342)</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Deferred borrowing costs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(46,618)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(5,378)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(11,419)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(2,696)</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Repayment of loans from non-controlling interests</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(1,000)</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(45)</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Increase in holding rights of consolidated entity</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(1,392)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(167)</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Repayment of tax-equity investment</w:t>
            </w:r>
          </w:p>
        </w:tc>
        <w:tc>
          <w:tcPr>
            <w:tcW w:w="13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(10,952)</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(10,952)</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Receipt of loans from non-controlling interests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182</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182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Exercise of share options</w:t>
            </w:r>
          </w:p>
        </w:tc>
        <w:tc>
          <w:tcPr>
            <w:tcW w:w="138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30</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13</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19</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13</w:t>
            </w:r>
          </w:p>
        </w:tc>
      </w:tr>
      <w:tr>
        <w:trPr>
          <w:trHeight w:val="153"/>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Repayment of lease liability</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(5,803)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(4,117)</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(1,745)</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(446)</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Proceeds from investment in entities by non-controlling interest</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12,799</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179</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5,067</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27</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Net cash from financing activities</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609,416</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238,048</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389,137</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185,673</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Increase (Decrease) in cash and cash equivalents</w:t>
            </w:r>
          </w:p>
        </w:tc>
        <w:tc>
          <w:tcPr>
            <w:tcW w:w="138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77,544</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(185,849)</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12,217</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(36,800)</w:t>
            </w:r>
          </w:p>
        </w:tc>
      </w:tr>
      <w:tr>
        <w:trPr>
          <w:trHeight w:val="144"/>
        </w:trPr>
        <w:tc>
          <w:tcPr>
            <w:tcW w:w="60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Balance of cash and cash equivalents at beginning of period</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387,427</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403,805</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449,530</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249,851</w:t>
            </w:r>
          </w:p>
        </w:tc>
      </w:tr>
      <w:tr>
        <w:trPr>
          <w:trHeight w:val="144"/>
        </w:trPr>
        <w:tc>
          <w:tcPr>
            <w:tcW w:w="600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Effect of exchange rate fluctuations on cash and cash equivalents</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15,488</w:t>
            </w:r>
          </w:p>
        </w:tc>
        <w:tc>
          <w:tcPr>
            <w:tcW w:w="220" w:type="dxa"/>
            <w:vAlign w:val="bottom"/>
          </w:tcPr>
          <w:p>
            <w:pPr>
              <w:spacing w:after="0"/>
              <w:rPr>
                <w:sz w:val="13"/>
                <w:szCs w:val="1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(9,165)</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18,712</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(4,260)</w:t>
            </w:r>
          </w:p>
        </w:tc>
      </w:tr>
      <w:tr>
        <w:trPr>
          <w:trHeight w:val="142"/>
        </w:trPr>
        <w:tc>
          <w:tcPr>
            <w:tcW w:w="6000" w:type="dxa"/>
            <w:vAlign w:val="bottom"/>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color w:val="auto"/>
              </w:rPr>
              <w:t>Cash and cash equivalents at end of period</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480,459</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208,791</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480,459</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208,791</w:t>
            </w:r>
          </w:p>
        </w:tc>
      </w:tr>
      <w:tr>
        <w:trPr>
          <w:trHeight w:val="20"/>
        </w:trPr>
        <w:tc>
          <w:tcPr>
            <w:tcW w:w="6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6"/>
        </w:trPr>
        <w:tc>
          <w:tcPr>
            <w:tcW w:w="60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bl>
    <w:p>
      <w:pPr>
        <w:sectPr>
          <w:pgSz w:w="11900" w:h="16838" w:orient="portrait"/>
          <w:cols w:equalWidth="0" w:num="1">
            <w:col w:w="11300"/>
          </w:cols>
          <w:pgMar w:left="300" w:top="128" w:right="299" w:bottom="1440" w:gutter="0" w:footer="0" w:header="0"/>
        </w:sectPr>
      </w:pPr>
    </w:p>
    <w:bookmarkStart w:id="19" w:name="page20"/>
    <w:bookmarkEnd w:id="19"/>
    <w:p>
      <w:pPr>
        <w:ind w:left="8"/>
        <w:spacing w:after="0"/>
        <w:rPr>
          <w:sz w:val="20"/>
          <w:szCs w:val="20"/>
          <w:color w:val="auto"/>
        </w:rPr>
      </w:pPr>
      <w:r>
        <w:rPr>
          <w:rFonts w:ascii="Arial" w:cs="Arial" w:eastAsia="Arial" w:hAnsi="Arial"/>
          <w:sz w:val="12"/>
          <w:szCs w:val="12"/>
          <w:b w:val="1"/>
          <w:bCs w:val="1"/>
          <w:color w:val="auto"/>
        </w:rPr>
        <w:t>Information related to Segmental Reporting</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65"/>
        </w:trPr>
        <w:tc>
          <w:tcPr>
            <w:tcW w:w="3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2"/>
                <w:szCs w:val="12"/>
                <w:b w:val="1"/>
                <w:bCs w:val="1"/>
                <w:color w:val="auto"/>
              </w:rPr>
              <w:t>For the six months ended June 30, 2025</w:t>
            </w: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2"/>
                <w:szCs w:val="12"/>
                <w:b w:val="1"/>
                <w:bCs w:val="1"/>
                <w:color w:val="auto"/>
              </w:rPr>
              <w:t>MENA</w:t>
            </w:r>
          </w:p>
        </w:tc>
        <w:tc>
          <w:tcPr>
            <w:tcW w:w="240" w:type="dxa"/>
            <w:vAlign w:val="bottom"/>
            <w:vMerge w:val="restart"/>
          </w:tcPr>
          <w:p>
            <w:pPr>
              <w:spacing w:after="0"/>
              <w:rPr>
                <w:sz w:val="12"/>
                <w:szCs w:val="12"/>
                <w:color w:val="auto"/>
              </w:rPr>
            </w:pPr>
          </w:p>
        </w:tc>
        <w:tc>
          <w:tcPr>
            <w:tcW w:w="114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Europe</w:t>
            </w:r>
          </w:p>
        </w:tc>
        <w:tc>
          <w:tcPr>
            <w:tcW w:w="240" w:type="dxa"/>
            <w:vAlign w:val="bottom"/>
            <w:vMerge w:val="restart"/>
          </w:tcPr>
          <w:p>
            <w:pPr>
              <w:spacing w:after="0"/>
              <w:rPr>
                <w:sz w:val="12"/>
                <w:szCs w:val="12"/>
                <w:color w:val="auto"/>
              </w:rPr>
            </w:pPr>
          </w:p>
        </w:tc>
        <w:tc>
          <w:tcPr>
            <w:tcW w:w="112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rPr>
              <w:t>USA</w:t>
            </w:r>
          </w:p>
        </w:tc>
        <w:tc>
          <w:tcPr>
            <w:tcW w:w="220" w:type="dxa"/>
            <w:vAlign w:val="bottom"/>
            <w:vMerge w:val="restart"/>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 reportable</w:t>
            </w:r>
          </w:p>
        </w:tc>
        <w:tc>
          <w:tcPr>
            <w:tcW w:w="112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Others</w:t>
            </w:r>
          </w:p>
        </w:tc>
        <w:tc>
          <w:tcPr>
            <w:tcW w:w="220" w:type="dxa"/>
            <w:vAlign w:val="bottom"/>
            <w:vMerge w:val="restart"/>
          </w:tcPr>
          <w:p>
            <w:pPr>
              <w:spacing w:after="0"/>
              <w:rPr>
                <w:sz w:val="12"/>
                <w:szCs w:val="12"/>
                <w:color w:val="auto"/>
              </w:rPr>
            </w:pPr>
          </w:p>
        </w:tc>
        <w:tc>
          <w:tcPr>
            <w:tcW w:w="1120" w:type="dxa"/>
            <w:vAlign w:val="bottom"/>
            <w:vMerge w:val="restart"/>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USD in</w:t>
            </w:r>
          </w:p>
        </w:tc>
        <w:tc>
          <w:tcPr>
            <w:tcW w:w="13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2"/>
                <w:szCs w:val="12"/>
                <w:b w:val="1"/>
                <w:bCs w:val="1"/>
                <w:color w:val="auto"/>
                <w:w w:val="92"/>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95,637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99,184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30,008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224,829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1,046</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225,875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gridSpan w:val="2"/>
          </w:tcPr>
          <w:p>
            <w:pPr>
              <w:spacing w:after="0"/>
              <w:rPr>
                <w:sz w:val="20"/>
                <w:szCs w:val="20"/>
                <w:color w:val="auto"/>
              </w:rPr>
            </w:pPr>
            <w:r>
              <w:rPr>
                <w:rFonts w:ascii="Arial" w:cs="Arial" w:eastAsia="Arial" w:hAnsi="Arial"/>
                <w:sz w:val="12"/>
                <w:szCs w:val="12"/>
                <w:color w:val="auto"/>
              </w:rPr>
              <w:t>Tax benefits</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38,972</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38,972</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38,972</w:t>
            </w: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revenues and income</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95,637</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99,184</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68,980</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263,801</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1,046</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264,847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48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Segment adjusted EBITDA</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107,031</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82,226</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59,913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249,170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1,079</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250,249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Reconciliations of unallocated amounts:</w:t>
            </w: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gridSpan w:val="2"/>
          </w:tcPr>
          <w:p>
            <w:pPr>
              <w:spacing w:after="0"/>
              <w:rPr>
                <w:sz w:val="20"/>
                <w:szCs w:val="20"/>
                <w:color w:val="auto"/>
              </w:rPr>
            </w:pPr>
            <w:r>
              <w:rPr>
                <w:rFonts w:ascii="Arial" w:cs="Arial" w:eastAsia="Arial" w:hAnsi="Arial"/>
                <w:sz w:val="12"/>
                <w:szCs w:val="12"/>
                <w:color w:val="auto"/>
              </w:rPr>
              <w:t>Headquarter costs (*)</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(22,958)</w:t>
            </w:r>
          </w:p>
        </w:tc>
        <w:tc>
          <w:tcPr>
            <w:tcW w:w="0" w:type="dxa"/>
            <w:vAlign w:val="bottom"/>
          </w:tcPr>
          <w:p>
            <w:pPr>
              <w:spacing w:after="0"/>
              <w:rPr>
                <w:sz w:val="1"/>
                <w:szCs w:val="1"/>
                <w:color w:val="auto"/>
              </w:rPr>
            </w:pPr>
          </w:p>
        </w:tc>
      </w:tr>
      <w:tr>
        <w:trPr>
          <w:trHeight w:val="153"/>
        </w:trPr>
        <w:tc>
          <w:tcPr>
            <w:tcW w:w="3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Intersegment profit</w:t>
            </w: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gridSpan w:val="2"/>
          </w:tcPr>
          <w:p>
            <w:pPr>
              <w:spacing w:after="0"/>
              <w:rPr>
                <w:sz w:val="20"/>
                <w:szCs w:val="20"/>
                <w:color w:val="auto"/>
              </w:rPr>
            </w:pPr>
            <w:r>
              <w:rPr>
                <w:rFonts w:ascii="Arial" w:cs="Arial" w:eastAsia="Arial" w:hAnsi="Arial"/>
                <w:sz w:val="12"/>
                <w:szCs w:val="12"/>
                <w:color w:val="auto"/>
              </w:rPr>
              <w:t>Gains from projects disposals</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55,336</w:t>
            </w:r>
          </w:p>
        </w:tc>
        <w:tc>
          <w:tcPr>
            <w:tcW w:w="0" w:type="dxa"/>
            <w:vAlign w:val="bottom"/>
          </w:tcPr>
          <w:p>
            <w:pPr>
              <w:spacing w:after="0"/>
              <w:rPr>
                <w:sz w:val="1"/>
                <w:szCs w:val="1"/>
                <w:color w:val="auto"/>
              </w:rPr>
            </w:pPr>
          </w:p>
        </w:tc>
      </w:tr>
      <w:tr>
        <w:trPr>
          <w:trHeight w:val="153"/>
        </w:trPr>
        <w:tc>
          <w:tcPr>
            <w:tcW w:w="3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 and share-based compensation</w:t>
            </w: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(74,011)</w:t>
            </w:r>
          </w:p>
        </w:tc>
        <w:tc>
          <w:tcPr>
            <w:tcW w:w="0" w:type="dxa"/>
            <w:vAlign w:val="bottom"/>
          </w:tcPr>
          <w:p>
            <w:pPr>
              <w:spacing w:after="0"/>
              <w:rPr>
                <w:sz w:val="1"/>
                <w:szCs w:val="1"/>
                <w:color w:val="auto"/>
              </w:rPr>
            </w:pPr>
          </w:p>
        </w:tc>
      </w:tr>
      <w:tr>
        <w:trPr>
          <w:trHeight w:val="151"/>
        </w:trPr>
        <w:tc>
          <w:tcPr>
            <w:tcW w:w="3480" w:type="dxa"/>
            <w:vAlign w:val="bottom"/>
            <w:tcBorders>
              <w:top w:val="single" w:sz="8" w:color="CCEEFF"/>
            </w:tcBorders>
            <w:gridSpan w:val="2"/>
          </w:tcPr>
          <w:p>
            <w:pPr>
              <w:spacing w:after="0"/>
              <w:rPr>
                <w:sz w:val="20"/>
                <w:szCs w:val="20"/>
                <w:color w:val="auto"/>
              </w:rPr>
            </w:pPr>
            <w:r>
              <w:rPr>
                <w:rFonts w:ascii="Arial" w:cs="Arial" w:eastAsia="Arial" w:hAnsi="Arial"/>
                <w:sz w:val="12"/>
                <w:szCs w:val="12"/>
                <w:b w:val="1"/>
                <w:bCs w:val="1"/>
                <w:color w:val="auto"/>
              </w:rPr>
              <w:t>Operating profit</w:t>
            </w:r>
          </w:p>
        </w:tc>
        <w:tc>
          <w:tcPr>
            <w:tcW w:w="9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208,743</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Finance income</w:t>
            </w: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8,166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80" w:type="dxa"/>
            <w:vAlign w:val="bottom"/>
            <w:gridSpan w:val="2"/>
          </w:tcPr>
          <w:p>
            <w:pPr>
              <w:spacing w:after="0"/>
              <w:rPr>
                <w:sz w:val="20"/>
                <w:szCs w:val="20"/>
                <w:color w:val="auto"/>
              </w:rPr>
            </w:pPr>
            <w:r>
              <w:rPr>
                <w:rFonts w:ascii="Arial" w:cs="Arial" w:eastAsia="Arial" w:hAnsi="Arial"/>
                <w:sz w:val="12"/>
                <w:szCs w:val="12"/>
                <w:color w:val="auto"/>
              </w:rPr>
              <w:t>Finance expenses</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(82,286)</w:t>
            </w:r>
          </w:p>
        </w:tc>
        <w:tc>
          <w:tcPr>
            <w:tcW w:w="0" w:type="dxa"/>
            <w:vAlign w:val="bottom"/>
          </w:tcPr>
          <w:p>
            <w:pPr>
              <w:spacing w:after="0"/>
              <w:rPr>
                <w:sz w:val="1"/>
                <w:szCs w:val="1"/>
                <w:color w:val="auto"/>
              </w:rPr>
            </w:pPr>
          </w:p>
        </w:tc>
      </w:tr>
      <w:tr>
        <w:trPr>
          <w:trHeight w:val="153"/>
        </w:trPr>
        <w:tc>
          <w:tcPr>
            <w:tcW w:w="3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 in the losses of equity accounted investees</w:t>
            </w: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(1,645)</w:t>
            </w:r>
          </w:p>
        </w:tc>
        <w:tc>
          <w:tcPr>
            <w:tcW w:w="0" w:type="dxa"/>
            <w:vAlign w:val="bottom"/>
          </w:tcPr>
          <w:p>
            <w:pPr>
              <w:spacing w:after="0"/>
              <w:rPr>
                <w:sz w:val="1"/>
                <w:szCs w:val="1"/>
                <w:color w:val="auto"/>
              </w:rPr>
            </w:pPr>
          </w:p>
        </w:tc>
      </w:tr>
      <w:tr>
        <w:trPr>
          <w:trHeight w:val="151"/>
        </w:trPr>
        <w:tc>
          <w:tcPr>
            <w:tcW w:w="3480" w:type="dxa"/>
            <w:vAlign w:val="bottom"/>
            <w:tcBorders>
              <w:top w:val="single" w:sz="8" w:color="CCEEFF"/>
            </w:tcBorders>
            <w:gridSpan w:val="2"/>
          </w:tcPr>
          <w:p>
            <w:pPr>
              <w:spacing w:after="0"/>
              <w:rPr>
                <w:sz w:val="20"/>
                <w:szCs w:val="20"/>
                <w:color w:val="auto"/>
              </w:rPr>
            </w:pPr>
            <w:r>
              <w:rPr>
                <w:rFonts w:ascii="Arial" w:cs="Arial" w:eastAsia="Arial" w:hAnsi="Arial"/>
                <w:sz w:val="12"/>
                <w:szCs w:val="12"/>
                <w:b w:val="1"/>
                <w:bCs w:val="1"/>
                <w:color w:val="auto"/>
              </w:rPr>
              <w:t>Profit before income taxes</w:t>
            </w:r>
          </w:p>
        </w:tc>
        <w:tc>
          <w:tcPr>
            <w:tcW w:w="9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132,978</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328" w:hanging="328"/>
        <w:spacing w:after="0"/>
        <w:tabs>
          <w:tab w:leader="none" w:pos="3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Including general and administrative and development expenses (excluding depreciation and amortization and share based compensation).</w:t>
      </w:r>
    </w:p>
    <w:p>
      <w:pPr>
        <w:spacing w:after="0" w:line="150" w:lineRule="exact"/>
        <w:rPr>
          <w:sz w:val="20"/>
          <w:szCs w:val="20"/>
          <w:color w:val="auto"/>
        </w:rPr>
      </w:pPr>
    </w:p>
    <w:p>
      <w:pPr>
        <w:ind w:left="328" w:right="40" w:hanging="328"/>
        <w:spacing w:after="0" w:line="253" w:lineRule="auto"/>
        <w:tabs>
          <w:tab w:leader="none" w:pos="3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Due to the Company's organizational restructuring, the Chief Operation Decision Maker (CODM) now reviews the group’s results by segmenting them into three business units: MENA (Middle East and North Africa), Europe, and the US. Consequently, the Management and Construction segment has been excluded. The comparative figures for the six-month and three-month periods ending June 3</w:t>
      </w:r>
      <w:r>
        <w:rPr>
          <w:rFonts w:ascii="Calibri" w:cs="Calibri" w:eastAsia="Calibri" w:hAnsi="Calibri"/>
          <w:sz w:val="12"/>
          <w:szCs w:val="12"/>
          <w:color w:val="auto"/>
        </w:rPr>
        <w:t>0</w:t>
      </w:r>
      <w:r>
        <w:rPr>
          <w:rFonts w:ascii="Arial" w:cs="Arial" w:eastAsia="Arial" w:hAnsi="Arial"/>
          <w:sz w:val="12"/>
          <w:szCs w:val="12"/>
          <w:color w:val="auto"/>
        </w:rPr>
        <w:t>, 2024, have been updated accordingly</w:t>
      </w:r>
      <w:r>
        <w:rPr>
          <w:rFonts w:ascii="Calibri" w:cs="Calibri" w:eastAsia="Calibri" w:hAnsi="Calibri"/>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12"/>
          <w:szCs w:val="12"/>
          <w:b w:val="1"/>
          <w:bCs w:val="1"/>
          <w:color w:val="auto"/>
        </w:rPr>
        <w:t>Information related to Segmental Reporting</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65"/>
        </w:trPr>
        <w:tc>
          <w:tcPr>
            <w:tcW w:w="3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2"/>
                <w:szCs w:val="12"/>
                <w:b w:val="1"/>
                <w:bCs w:val="1"/>
                <w:color w:val="auto"/>
              </w:rPr>
              <w:t>For the six months ended June 30, 2024</w:t>
            </w: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760" w:type="dxa"/>
            <w:vAlign w:val="bottom"/>
            <w:vMerge w:val="restart"/>
          </w:tcPr>
          <w:p>
            <w:pPr>
              <w:ind w:left="400"/>
              <w:spacing w:after="0"/>
              <w:rPr>
                <w:sz w:val="20"/>
                <w:szCs w:val="20"/>
                <w:color w:val="auto"/>
              </w:rPr>
            </w:pPr>
            <w:r>
              <w:rPr>
                <w:rFonts w:ascii="Arial" w:cs="Arial" w:eastAsia="Arial" w:hAnsi="Arial"/>
                <w:sz w:val="12"/>
                <w:szCs w:val="12"/>
                <w:b w:val="1"/>
                <w:bCs w:val="1"/>
                <w:color w:val="auto"/>
                <w:w w:val="96"/>
              </w:rPr>
              <w:t>MENA</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Europe</w:t>
            </w:r>
          </w:p>
        </w:tc>
        <w:tc>
          <w:tcPr>
            <w:tcW w:w="240" w:type="dxa"/>
            <w:vAlign w:val="bottom"/>
            <w:vMerge w:val="restart"/>
          </w:tcPr>
          <w:p>
            <w:pPr>
              <w:spacing w:after="0"/>
              <w:rPr>
                <w:sz w:val="12"/>
                <w:szCs w:val="12"/>
                <w:color w:val="auto"/>
              </w:rPr>
            </w:pPr>
          </w:p>
        </w:tc>
        <w:tc>
          <w:tcPr>
            <w:tcW w:w="112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rPr>
              <w:t>USA</w:t>
            </w:r>
          </w:p>
        </w:tc>
        <w:tc>
          <w:tcPr>
            <w:tcW w:w="220" w:type="dxa"/>
            <w:vAlign w:val="bottom"/>
            <w:vMerge w:val="restart"/>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 reportable</w:t>
            </w:r>
          </w:p>
        </w:tc>
        <w:tc>
          <w:tcPr>
            <w:tcW w:w="112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Others</w:t>
            </w:r>
          </w:p>
        </w:tc>
        <w:tc>
          <w:tcPr>
            <w:tcW w:w="220" w:type="dxa"/>
            <w:vAlign w:val="bottom"/>
            <w:vMerge w:val="restart"/>
          </w:tcPr>
          <w:p>
            <w:pPr>
              <w:spacing w:after="0"/>
              <w:rPr>
                <w:sz w:val="12"/>
                <w:szCs w:val="12"/>
                <w:color w:val="auto"/>
              </w:rPr>
            </w:pPr>
          </w:p>
        </w:tc>
        <w:tc>
          <w:tcPr>
            <w:tcW w:w="1120" w:type="dxa"/>
            <w:vAlign w:val="bottom"/>
            <w:vMerge w:val="restart"/>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USD in</w:t>
            </w:r>
          </w:p>
        </w:tc>
        <w:tc>
          <w:tcPr>
            <w:tcW w:w="13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2"/>
                <w:szCs w:val="12"/>
                <w:b w:val="1"/>
                <w:bCs w:val="1"/>
                <w:color w:val="auto"/>
                <w:w w:val="92"/>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7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w w:val="97"/>
              </w:rPr>
              <w:t>66,041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101,123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3,431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170,595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4,500</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175,095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Tax benefits</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6,526</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6,526</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6,526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revenues and income</w:t>
            </w: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66,041</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101,123</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9,957</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177,121</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4,500</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181,621</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40" w:type="dxa"/>
            <w:vAlign w:val="bottom"/>
            <w:gridSpan w:val="2"/>
          </w:tcPr>
          <w:p>
            <w:pPr>
              <w:spacing w:after="0"/>
              <w:rPr>
                <w:sz w:val="10"/>
                <w:szCs w:val="10"/>
                <w:color w:val="auto"/>
              </w:rPr>
            </w:pPr>
          </w:p>
        </w:tc>
        <w:tc>
          <w:tcPr>
            <w:tcW w:w="620" w:type="dxa"/>
            <w:vAlign w:val="bottom"/>
            <w:gridSpan w:val="2"/>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Segment adjusted EBITDA</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w w:val="97"/>
              </w:rPr>
              <w:t>54,873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83,253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7,831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145,957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2,291</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148,248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Reconciliations of unallocated amounts: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Headquarter costs (*)</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(15,629)</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Intersegment profit</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Depreciation and amortization and share-based compensation</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(54,971)</w:t>
            </w:r>
          </w:p>
        </w:tc>
        <w:tc>
          <w:tcPr>
            <w:tcW w:w="0" w:type="dxa"/>
            <w:vAlign w:val="bottom"/>
          </w:tcPr>
          <w:p>
            <w:pPr>
              <w:spacing w:after="0"/>
              <w:rPr>
                <w:sz w:val="1"/>
                <w:szCs w:val="1"/>
                <w:color w:val="auto"/>
              </w:rPr>
            </w:pPr>
          </w:p>
        </w:tc>
      </w:tr>
      <w:tr>
        <w:trPr>
          <w:trHeight w:val="151"/>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Operating profit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77,769</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40" w:type="dxa"/>
            <w:vAlign w:val="bottom"/>
            <w:gridSpan w:val="2"/>
          </w:tcPr>
          <w:p>
            <w:pPr>
              <w:spacing w:after="0"/>
              <w:rPr>
                <w:sz w:val="20"/>
                <w:szCs w:val="20"/>
                <w:color w:val="auto"/>
              </w:rPr>
            </w:pPr>
            <w:r>
              <w:rPr>
                <w:rFonts w:ascii="Arial" w:cs="Arial" w:eastAsia="Arial" w:hAnsi="Arial"/>
                <w:sz w:val="12"/>
                <w:szCs w:val="12"/>
                <w:color w:val="auto"/>
              </w:rPr>
              <w:t>Finance income</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15,065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Finance expenses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(49,311)</w:t>
            </w: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Share in the losses of equity accounted investees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(449)</w:t>
            </w:r>
          </w:p>
        </w:tc>
        <w:tc>
          <w:tcPr>
            <w:tcW w:w="0" w:type="dxa"/>
            <w:vAlign w:val="bottom"/>
          </w:tcPr>
          <w:p>
            <w:pPr>
              <w:spacing w:after="0"/>
              <w:rPr>
                <w:sz w:val="1"/>
                <w:szCs w:val="1"/>
                <w:color w:val="auto"/>
              </w:rPr>
            </w:pPr>
          </w:p>
        </w:tc>
      </w:tr>
      <w:tr>
        <w:trPr>
          <w:trHeight w:val="191"/>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Profit before income taxes</w:t>
            </w:r>
          </w:p>
        </w:tc>
        <w:tc>
          <w:tcPr>
            <w:tcW w:w="3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43,074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28" w:hanging="328"/>
        <w:spacing w:after="0"/>
        <w:tabs>
          <w:tab w:leader="none" w:pos="328"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21" w:name="page22"/>
    <w:bookmarkEnd w:id="21"/>
    <w:p>
      <w:pPr>
        <w:ind w:left="8"/>
        <w:spacing w:after="0"/>
        <w:rPr>
          <w:sz w:val="20"/>
          <w:szCs w:val="20"/>
          <w:color w:val="auto"/>
        </w:rPr>
      </w:pPr>
      <w:r>
        <w:rPr>
          <w:rFonts w:ascii="Arial" w:cs="Arial" w:eastAsia="Arial" w:hAnsi="Arial"/>
          <w:sz w:val="12"/>
          <w:szCs w:val="12"/>
          <w:b w:val="1"/>
          <w:bCs w:val="1"/>
          <w:color w:val="auto"/>
        </w:rPr>
        <w:t>Information related to Segmental Reporting</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65"/>
        </w:trPr>
        <w:tc>
          <w:tcPr>
            <w:tcW w:w="3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2"/>
                <w:szCs w:val="12"/>
                <w:b w:val="1"/>
                <w:bCs w:val="1"/>
                <w:color w:val="auto"/>
                <w:w w:val="99"/>
              </w:rPr>
              <w:t>For the three months ended June 30, 2025</w:t>
            </w: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760" w:type="dxa"/>
            <w:vAlign w:val="bottom"/>
            <w:vMerge w:val="restart"/>
          </w:tcPr>
          <w:p>
            <w:pPr>
              <w:ind w:left="400"/>
              <w:spacing w:after="0"/>
              <w:rPr>
                <w:sz w:val="20"/>
                <w:szCs w:val="20"/>
                <w:color w:val="auto"/>
              </w:rPr>
            </w:pPr>
            <w:r>
              <w:rPr>
                <w:rFonts w:ascii="Arial" w:cs="Arial" w:eastAsia="Arial" w:hAnsi="Arial"/>
                <w:sz w:val="12"/>
                <w:szCs w:val="12"/>
                <w:b w:val="1"/>
                <w:bCs w:val="1"/>
                <w:color w:val="auto"/>
                <w:w w:val="96"/>
              </w:rPr>
              <w:t>MENA</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Europe</w:t>
            </w:r>
          </w:p>
        </w:tc>
        <w:tc>
          <w:tcPr>
            <w:tcW w:w="240" w:type="dxa"/>
            <w:vAlign w:val="bottom"/>
            <w:vMerge w:val="restart"/>
          </w:tcPr>
          <w:p>
            <w:pPr>
              <w:spacing w:after="0"/>
              <w:rPr>
                <w:sz w:val="12"/>
                <w:szCs w:val="12"/>
                <w:color w:val="auto"/>
              </w:rPr>
            </w:pPr>
          </w:p>
        </w:tc>
        <w:tc>
          <w:tcPr>
            <w:tcW w:w="112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rPr>
              <w:t>USA</w:t>
            </w:r>
          </w:p>
        </w:tc>
        <w:tc>
          <w:tcPr>
            <w:tcW w:w="220" w:type="dxa"/>
            <w:vAlign w:val="bottom"/>
            <w:vMerge w:val="restart"/>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 reportable</w:t>
            </w:r>
          </w:p>
        </w:tc>
        <w:tc>
          <w:tcPr>
            <w:tcW w:w="112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Others</w:t>
            </w:r>
          </w:p>
        </w:tc>
        <w:tc>
          <w:tcPr>
            <w:tcW w:w="220" w:type="dxa"/>
            <w:vAlign w:val="bottom"/>
            <w:vMerge w:val="restart"/>
          </w:tcPr>
          <w:p>
            <w:pPr>
              <w:spacing w:after="0"/>
              <w:rPr>
                <w:sz w:val="12"/>
                <w:szCs w:val="12"/>
                <w:color w:val="auto"/>
              </w:rPr>
            </w:pPr>
          </w:p>
        </w:tc>
        <w:tc>
          <w:tcPr>
            <w:tcW w:w="1120" w:type="dxa"/>
            <w:vAlign w:val="bottom"/>
            <w:vMerge w:val="restart"/>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USD in</w:t>
            </w:r>
          </w:p>
        </w:tc>
        <w:tc>
          <w:tcPr>
            <w:tcW w:w="13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2"/>
                <w:szCs w:val="12"/>
                <w:b w:val="1"/>
                <w:bCs w:val="1"/>
                <w:color w:val="auto"/>
                <w:w w:val="92"/>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7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w w:val="97"/>
              </w:rPr>
              <w:t>52,770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47,800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15,330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115,900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217</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116,117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Tax benefits</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18,861</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18,861</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18,861</w:t>
            </w: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revenues and income</w:t>
            </w: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52,770</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47,800</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34,191</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134,761</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217</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134,978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40" w:type="dxa"/>
            <w:vAlign w:val="bottom"/>
            <w:gridSpan w:val="2"/>
          </w:tcPr>
          <w:p>
            <w:pPr>
              <w:spacing w:after="0"/>
              <w:rPr>
                <w:sz w:val="10"/>
                <w:szCs w:val="10"/>
                <w:color w:val="auto"/>
              </w:rPr>
            </w:pPr>
          </w:p>
        </w:tc>
        <w:tc>
          <w:tcPr>
            <w:tcW w:w="620" w:type="dxa"/>
            <w:vAlign w:val="bottom"/>
            <w:gridSpan w:val="2"/>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Segment adjusted EBITDA</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w w:val="97"/>
              </w:rPr>
              <w:t>39,014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37,563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29,364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105,941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998</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106,939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Reconciliations of unallocated amounts: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Headquarter costs (*)</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(11,257)</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Intersegment profit</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21</w:t>
            </w: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Gains from projects disposals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363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 and share-based compensation</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(38,512)</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40" w:type="dxa"/>
            <w:vAlign w:val="bottom"/>
            <w:gridSpan w:val="2"/>
          </w:tcPr>
          <w:p>
            <w:pPr>
              <w:spacing w:after="0"/>
              <w:rPr>
                <w:sz w:val="20"/>
                <w:szCs w:val="20"/>
                <w:color w:val="auto"/>
              </w:rPr>
            </w:pPr>
            <w:r>
              <w:rPr>
                <w:rFonts w:ascii="Arial" w:cs="Arial" w:eastAsia="Arial" w:hAnsi="Arial"/>
                <w:sz w:val="12"/>
                <w:szCs w:val="12"/>
                <w:b w:val="1"/>
                <w:bCs w:val="1"/>
                <w:color w:val="auto"/>
              </w:rPr>
              <w:t>Operating profit</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57,554</w:t>
            </w:r>
          </w:p>
        </w:tc>
        <w:tc>
          <w:tcPr>
            <w:tcW w:w="0" w:type="dxa"/>
            <w:vAlign w:val="bottom"/>
          </w:tcPr>
          <w:p>
            <w:pPr>
              <w:spacing w:after="0"/>
              <w:rPr>
                <w:sz w:val="1"/>
                <w:szCs w:val="1"/>
                <w:color w:val="auto"/>
              </w:rPr>
            </w:pPr>
          </w:p>
        </w:tc>
      </w:tr>
      <w:tr>
        <w:trPr>
          <w:trHeight w:val="151"/>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Finance income</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1,471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Finance expenses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(52,083)</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 in the losses of equity accounted investees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(418)</w:t>
            </w:r>
          </w:p>
        </w:tc>
        <w:tc>
          <w:tcPr>
            <w:tcW w:w="0" w:type="dxa"/>
            <w:vAlign w:val="bottom"/>
          </w:tcPr>
          <w:p>
            <w:pPr>
              <w:spacing w:after="0"/>
              <w:rPr>
                <w:sz w:val="1"/>
                <w:szCs w:val="1"/>
                <w:color w:val="auto"/>
              </w:rPr>
            </w:pPr>
          </w:p>
        </w:tc>
      </w:tr>
      <w:tr>
        <w:trPr>
          <w:trHeight w:val="151"/>
        </w:trPr>
        <w:tc>
          <w:tcPr>
            <w:tcW w:w="4040" w:type="dxa"/>
            <w:vAlign w:val="bottom"/>
            <w:tcBorders>
              <w:top w:val="single" w:sz="8" w:color="CCEEFF"/>
            </w:tcBorders>
            <w:gridSpan w:val="2"/>
          </w:tcPr>
          <w:p>
            <w:pPr>
              <w:spacing w:after="0"/>
              <w:rPr>
                <w:sz w:val="20"/>
                <w:szCs w:val="20"/>
                <w:color w:val="auto"/>
              </w:rPr>
            </w:pPr>
            <w:r>
              <w:rPr>
                <w:rFonts w:ascii="Arial" w:cs="Arial" w:eastAsia="Arial" w:hAnsi="Arial"/>
                <w:sz w:val="12"/>
                <w:szCs w:val="12"/>
                <w:b w:val="1"/>
                <w:bCs w:val="1"/>
                <w:color w:val="auto"/>
              </w:rPr>
              <w:t>Profit before income taxes</w:t>
            </w:r>
          </w:p>
        </w:tc>
        <w:tc>
          <w:tcPr>
            <w:tcW w:w="3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6,524</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328" w:hanging="328"/>
        <w:spacing w:after="0"/>
        <w:tabs>
          <w:tab w:leader="none" w:pos="328"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22" w:name="page23"/>
    <w:bookmarkEnd w:id="22"/>
    <w:p>
      <w:pPr>
        <w:ind w:left="8"/>
        <w:spacing w:after="0"/>
        <w:rPr>
          <w:sz w:val="20"/>
          <w:szCs w:val="20"/>
          <w:color w:val="auto"/>
        </w:rPr>
      </w:pPr>
      <w:r>
        <w:rPr>
          <w:rFonts w:ascii="Arial" w:cs="Arial" w:eastAsia="Arial" w:hAnsi="Arial"/>
          <w:sz w:val="12"/>
          <w:szCs w:val="12"/>
          <w:b w:val="1"/>
          <w:bCs w:val="1"/>
          <w:color w:val="auto"/>
        </w:rPr>
        <w:t>Information related to Segmental Reporting</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65"/>
        </w:trPr>
        <w:tc>
          <w:tcPr>
            <w:tcW w:w="3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2"/>
                <w:szCs w:val="12"/>
                <w:b w:val="1"/>
                <w:bCs w:val="1"/>
                <w:color w:val="auto"/>
                <w:w w:val="99"/>
              </w:rPr>
              <w:t>For the three months ended June 30, 2024</w:t>
            </w: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760" w:type="dxa"/>
            <w:vAlign w:val="bottom"/>
            <w:vMerge w:val="restart"/>
          </w:tcPr>
          <w:p>
            <w:pPr>
              <w:ind w:left="400"/>
              <w:spacing w:after="0"/>
              <w:rPr>
                <w:sz w:val="20"/>
                <w:szCs w:val="20"/>
                <w:color w:val="auto"/>
              </w:rPr>
            </w:pPr>
            <w:r>
              <w:rPr>
                <w:rFonts w:ascii="Arial" w:cs="Arial" w:eastAsia="Arial" w:hAnsi="Arial"/>
                <w:sz w:val="12"/>
                <w:szCs w:val="12"/>
                <w:b w:val="1"/>
                <w:bCs w:val="1"/>
                <w:color w:val="auto"/>
                <w:w w:val="96"/>
              </w:rPr>
              <w:t>MENA</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Europe</w:t>
            </w:r>
          </w:p>
        </w:tc>
        <w:tc>
          <w:tcPr>
            <w:tcW w:w="240" w:type="dxa"/>
            <w:vAlign w:val="bottom"/>
            <w:vMerge w:val="restart"/>
          </w:tcPr>
          <w:p>
            <w:pPr>
              <w:spacing w:after="0"/>
              <w:rPr>
                <w:sz w:val="12"/>
                <w:szCs w:val="12"/>
                <w:color w:val="auto"/>
              </w:rPr>
            </w:pPr>
          </w:p>
        </w:tc>
        <w:tc>
          <w:tcPr>
            <w:tcW w:w="112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rPr>
              <w:t>USA</w:t>
            </w:r>
          </w:p>
        </w:tc>
        <w:tc>
          <w:tcPr>
            <w:tcW w:w="220" w:type="dxa"/>
            <w:vAlign w:val="bottom"/>
            <w:vMerge w:val="restart"/>
          </w:tcPr>
          <w:p>
            <w:pPr>
              <w:spacing w:after="0"/>
              <w:rPr>
                <w:sz w:val="12"/>
                <w:szCs w:val="12"/>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 reportable</w:t>
            </w:r>
          </w:p>
        </w:tc>
        <w:tc>
          <w:tcPr>
            <w:tcW w:w="112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Others</w:t>
            </w:r>
          </w:p>
        </w:tc>
        <w:tc>
          <w:tcPr>
            <w:tcW w:w="220" w:type="dxa"/>
            <w:vAlign w:val="bottom"/>
            <w:vMerge w:val="restart"/>
          </w:tcPr>
          <w:p>
            <w:pPr>
              <w:spacing w:after="0"/>
              <w:rPr>
                <w:sz w:val="12"/>
                <w:szCs w:val="12"/>
                <w:color w:val="auto"/>
              </w:rPr>
            </w:pPr>
          </w:p>
        </w:tc>
        <w:tc>
          <w:tcPr>
            <w:tcW w:w="1120" w:type="dxa"/>
            <w:vAlign w:val="bottom"/>
            <w:vMerge w:val="restart"/>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segments</w:t>
            </w:r>
          </w:p>
        </w:tc>
        <w:tc>
          <w:tcPr>
            <w:tcW w:w="2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USD in</w:t>
            </w:r>
          </w:p>
        </w:tc>
        <w:tc>
          <w:tcPr>
            <w:tcW w:w="13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2"/>
                <w:szCs w:val="12"/>
                <w:b w:val="1"/>
                <w:bCs w:val="1"/>
                <w:color w:val="auto"/>
                <w:w w:val="92"/>
              </w:rPr>
              <w:t>thousands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7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w w:val="97"/>
              </w:rPr>
              <w:t>37,567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41,963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2,200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81,730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2,968</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84,698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Tax benefits</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3,262</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3,262</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3,262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revenues and income</w:t>
            </w: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37,567</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41,963</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5,462</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84,992</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2,968</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87,960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40" w:type="dxa"/>
            <w:vAlign w:val="bottom"/>
            <w:gridSpan w:val="2"/>
          </w:tcPr>
          <w:p>
            <w:pPr>
              <w:spacing w:after="0"/>
              <w:rPr>
                <w:sz w:val="10"/>
                <w:szCs w:val="10"/>
                <w:color w:val="auto"/>
              </w:rPr>
            </w:pPr>
          </w:p>
        </w:tc>
        <w:tc>
          <w:tcPr>
            <w:tcW w:w="620" w:type="dxa"/>
            <w:vAlign w:val="bottom"/>
            <w:gridSpan w:val="2"/>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Segment adjusted EBITDA</w:t>
            </w:r>
          </w:p>
        </w:tc>
        <w:tc>
          <w:tcPr>
            <w:tcW w:w="7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w w:val="97"/>
              </w:rPr>
              <w:t>30,345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32,546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4,709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67,600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1,623</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69,223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Reconciliations of unallocated amounts: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Headquarter costs (*)</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(8,023)</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Intersegment loss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(69)</w:t>
            </w: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Depreciation and amortization and share-based compensation</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(26,250)</w:t>
            </w:r>
          </w:p>
        </w:tc>
        <w:tc>
          <w:tcPr>
            <w:tcW w:w="0" w:type="dxa"/>
            <w:vAlign w:val="bottom"/>
          </w:tcPr>
          <w:p>
            <w:pPr>
              <w:spacing w:after="0"/>
              <w:rPr>
                <w:sz w:val="1"/>
                <w:szCs w:val="1"/>
                <w:color w:val="auto"/>
              </w:rPr>
            </w:pPr>
          </w:p>
        </w:tc>
      </w:tr>
      <w:tr>
        <w:trPr>
          <w:trHeight w:val="151"/>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Operating profit</w:t>
            </w:r>
          </w:p>
        </w:tc>
        <w:tc>
          <w:tcPr>
            <w:tcW w:w="3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34,881</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40" w:type="dxa"/>
            <w:vAlign w:val="bottom"/>
            <w:gridSpan w:val="2"/>
          </w:tcPr>
          <w:p>
            <w:pPr>
              <w:spacing w:after="0"/>
              <w:rPr>
                <w:sz w:val="20"/>
                <w:szCs w:val="20"/>
                <w:color w:val="auto"/>
              </w:rPr>
            </w:pPr>
            <w:r>
              <w:rPr>
                <w:rFonts w:ascii="Arial" w:cs="Arial" w:eastAsia="Arial" w:hAnsi="Arial"/>
                <w:sz w:val="12"/>
                <w:szCs w:val="12"/>
                <w:color w:val="auto"/>
              </w:rPr>
              <w:t>Finance income</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7,000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Finance expenses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(29,818)</w:t>
            </w: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Share in the losses of equity accounted investees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(305)</w:t>
            </w:r>
          </w:p>
        </w:tc>
        <w:tc>
          <w:tcPr>
            <w:tcW w:w="0" w:type="dxa"/>
            <w:vAlign w:val="bottom"/>
          </w:tcPr>
          <w:p>
            <w:pPr>
              <w:spacing w:after="0"/>
              <w:rPr>
                <w:sz w:val="1"/>
                <w:szCs w:val="1"/>
                <w:color w:val="auto"/>
              </w:rPr>
            </w:pPr>
          </w:p>
        </w:tc>
      </w:tr>
      <w:tr>
        <w:trPr>
          <w:trHeight w:val="191"/>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Profit before income taxes</w:t>
            </w:r>
          </w:p>
        </w:tc>
        <w:tc>
          <w:tcPr>
            <w:tcW w:w="3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11,758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28" w:hanging="328"/>
        <w:spacing w:after="0"/>
        <w:tabs>
          <w:tab w:leader="none" w:pos="328"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Including general and administrative and development expenses (excluding depreciation and amortization and share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4"/>
        </w:trPr>
        <w:tc>
          <w:tcPr>
            <w:tcW w:w="4920" w:type="dxa"/>
            <w:vAlign w:val="bottom"/>
          </w:tcPr>
          <w:p>
            <w:pPr>
              <w:spacing w:after="0"/>
              <w:rPr>
                <w:sz w:val="20"/>
                <w:szCs w:val="20"/>
                <w:color w:val="auto"/>
              </w:rPr>
            </w:pPr>
            <w:r>
              <w:rPr>
                <w:rFonts w:ascii="Arial" w:cs="Arial" w:eastAsia="Arial" w:hAnsi="Arial"/>
                <w:sz w:val="12"/>
                <w:szCs w:val="12"/>
                <w:b w:val="1"/>
                <w:bCs w:val="1"/>
                <w:color w:val="auto"/>
              </w:rPr>
              <w:t>Appendix 2 - Reconciliations between Net Income to Adjusted EBITDA</w:t>
            </w:r>
          </w:p>
        </w:tc>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54"/>
        </w:trPr>
        <w:tc>
          <w:tcPr>
            <w:tcW w:w="49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40"/>
        </w:trPr>
        <w:tc>
          <w:tcPr>
            <w:tcW w:w="4920" w:type="dxa"/>
            <w:vAlign w:val="bottom"/>
            <w:shd w:val="clear" w:color="auto" w:fill="1764AC"/>
          </w:tcPr>
          <w:p>
            <w:pPr>
              <w:spacing w:after="0"/>
              <w:rPr>
                <w:sz w:val="20"/>
                <w:szCs w:val="20"/>
                <w:color w:val="auto"/>
              </w:rPr>
            </w:pPr>
            <w:r>
              <w:rPr>
                <w:rFonts w:ascii="Arial" w:cs="Arial" w:eastAsia="Arial" w:hAnsi="Arial"/>
                <w:sz w:val="12"/>
                <w:szCs w:val="12"/>
                <w:color w:val="FFFFFF"/>
              </w:rPr>
              <w:t>($ thousands)</w:t>
            </w:r>
          </w:p>
        </w:tc>
        <w:tc>
          <w:tcPr>
            <w:tcW w:w="2360" w:type="dxa"/>
            <w:vAlign w:val="bottom"/>
            <w:shd w:val="clear" w:color="auto" w:fill="1764AC"/>
          </w:tcPr>
          <w:p>
            <w:pPr>
              <w:jc w:val="center"/>
              <w:ind w:left="1100"/>
              <w:spacing w:after="0"/>
              <w:rPr>
                <w:sz w:val="20"/>
                <w:szCs w:val="20"/>
                <w:color w:val="auto"/>
              </w:rPr>
            </w:pPr>
            <w:r>
              <w:rPr>
                <w:rFonts w:ascii="Arial" w:cs="Arial" w:eastAsia="Arial" w:hAnsi="Arial"/>
                <w:sz w:val="12"/>
                <w:szCs w:val="12"/>
                <w:b w:val="1"/>
                <w:bCs w:val="1"/>
                <w:color w:val="FFFFFF"/>
              </w:rPr>
              <w:t>For the six months</w:t>
            </w:r>
          </w:p>
        </w:tc>
        <w:tc>
          <w:tcPr>
            <w:tcW w:w="1040" w:type="dxa"/>
            <w:vAlign w:val="bottom"/>
            <w:shd w:val="clear" w:color="auto" w:fill="1764AC"/>
          </w:tcPr>
          <w:p>
            <w:pPr>
              <w:spacing w:after="0"/>
              <w:rPr>
                <w:sz w:val="12"/>
                <w:szCs w:val="12"/>
                <w:color w:val="auto"/>
              </w:rPr>
            </w:pPr>
          </w:p>
        </w:tc>
        <w:tc>
          <w:tcPr>
            <w:tcW w:w="920" w:type="dxa"/>
            <w:vAlign w:val="bottom"/>
            <w:shd w:val="clear" w:color="auto" w:fill="1764AC"/>
          </w:tcPr>
          <w:p>
            <w:pPr>
              <w:spacing w:after="0"/>
              <w:rPr>
                <w:sz w:val="12"/>
                <w:szCs w:val="12"/>
                <w:color w:val="auto"/>
              </w:rPr>
            </w:pPr>
          </w:p>
        </w:tc>
        <w:tc>
          <w:tcPr>
            <w:tcW w:w="2060" w:type="dxa"/>
            <w:vAlign w:val="bottom"/>
            <w:shd w:val="clear" w:color="auto" w:fill="1764AC"/>
          </w:tcPr>
          <w:p>
            <w:pPr>
              <w:jc w:val="center"/>
              <w:ind w:right="760"/>
              <w:spacing w:after="0"/>
              <w:rPr>
                <w:sz w:val="20"/>
                <w:szCs w:val="20"/>
                <w:color w:val="auto"/>
              </w:rPr>
            </w:pPr>
            <w:r>
              <w:rPr>
                <w:rFonts w:ascii="Arial" w:cs="Arial" w:eastAsia="Arial" w:hAnsi="Arial"/>
                <w:sz w:val="12"/>
                <w:szCs w:val="12"/>
                <w:b w:val="1"/>
                <w:bCs w:val="1"/>
                <w:color w:val="FFFFFF"/>
                <w:w w:val="99"/>
              </w:rPr>
              <w:t>For the three months</w:t>
            </w:r>
          </w:p>
        </w:tc>
      </w:tr>
      <w:tr>
        <w:trPr>
          <w:trHeight w:val="153"/>
        </w:trPr>
        <w:tc>
          <w:tcPr>
            <w:tcW w:w="4920" w:type="dxa"/>
            <w:vAlign w:val="bottom"/>
            <w:shd w:val="clear" w:color="auto" w:fill="1764AC"/>
          </w:tcPr>
          <w:p>
            <w:pPr>
              <w:spacing w:after="0"/>
              <w:rPr>
                <w:sz w:val="13"/>
                <w:szCs w:val="13"/>
                <w:color w:val="auto"/>
              </w:rPr>
            </w:pPr>
          </w:p>
        </w:tc>
        <w:tc>
          <w:tcPr>
            <w:tcW w:w="2360" w:type="dxa"/>
            <w:vAlign w:val="bottom"/>
            <w:shd w:val="clear" w:color="auto" w:fill="1764AC"/>
          </w:tcPr>
          <w:p>
            <w:pPr>
              <w:jc w:val="center"/>
              <w:ind w:left="1140"/>
              <w:spacing w:after="0"/>
              <w:rPr>
                <w:sz w:val="20"/>
                <w:szCs w:val="20"/>
                <w:color w:val="auto"/>
              </w:rPr>
            </w:pPr>
            <w:r>
              <w:rPr>
                <w:rFonts w:ascii="Arial" w:cs="Arial" w:eastAsia="Arial" w:hAnsi="Arial"/>
                <w:sz w:val="12"/>
                <w:szCs w:val="12"/>
                <w:b w:val="1"/>
                <w:bCs w:val="1"/>
                <w:color w:val="FFFFFF"/>
              </w:rPr>
              <w:t>ended June 30</w:t>
            </w:r>
          </w:p>
        </w:tc>
        <w:tc>
          <w:tcPr>
            <w:tcW w:w="1040" w:type="dxa"/>
            <w:vAlign w:val="bottom"/>
            <w:shd w:val="clear" w:color="auto" w:fill="1764AC"/>
          </w:tcPr>
          <w:p>
            <w:pPr>
              <w:spacing w:after="0"/>
              <w:rPr>
                <w:sz w:val="13"/>
                <w:szCs w:val="13"/>
                <w:color w:val="auto"/>
              </w:rPr>
            </w:pPr>
          </w:p>
        </w:tc>
        <w:tc>
          <w:tcPr>
            <w:tcW w:w="920" w:type="dxa"/>
            <w:vAlign w:val="bottom"/>
            <w:shd w:val="clear" w:color="auto" w:fill="1764AC"/>
          </w:tcPr>
          <w:p>
            <w:pPr>
              <w:spacing w:after="0"/>
              <w:rPr>
                <w:sz w:val="13"/>
                <w:szCs w:val="13"/>
                <w:color w:val="auto"/>
              </w:rPr>
            </w:pPr>
          </w:p>
        </w:tc>
        <w:tc>
          <w:tcPr>
            <w:tcW w:w="2060" w:type="dxa"/>
            <w:vAlign w:val="bottom"/>
            <w:shd w:val="clear" w:color="auto" w:fill="1764AC"/>
          </w:tcPr>
          <w:p>
            <w:pPr>
              <w:jc w:val="center"/>
              <w:ind w:right="760"/>
              <w:spacing w:after="0"/>
              <w:rPr>
                <w:sz w:val="20"/>
                <w:szCs w:val="20"/>
                <w:color w:val="auto"/>
              </w:rPr>
            </w:pPr>
            <w:r>
              <w:rPr>
                <w:rFonts w:ascii="Arial" w:cs="Arial" w:eastAsia="Arial" w:hAnsi="Arial"/>
                <w:sz w:val="12"/>
                <w:szCs w:val="12"/>
                <w:b w:val="1"/>
                <w:bCs w:val="1"/>
                <w:color w:val="FFFFFF"/>
              </w:rPr>
              <w:t>ended June 30</w:t>
            </w:r>
          </w:p>
        </w:tc>
      </w:tr>
      <w:tr>
        <w:trPr>
          <w:trHeight w:val="166"/>
        </w:trPr>
        <w:tc>
          <w:tcPr>
            <w:tcW w:w="4920" w:type="dxa"/>
            <w:vAlign w:val="bottom"/>
            <w:shd w:val="clear" w:color="auto" w:fill="1764AC"/>
          </w:tcPr>
          <w:p>
            <w:pPr>
              <w:spacing w:after="0"/>
              <w:rPr>
                <w:sz w:val="14"/>
                <w:szCs w:val="14"/>
                <w:color w:val="auto"/>
              </w:rPr>
            </w:pPr>
          </w:p>
        </w:tc>
        <w:tc>
          <w:tcPr>
            <w:tcW w:w="2360" w:type="dxa"/>
            <w:vAlign w:val="bottom"/>
            <w:shd w:val="clear" w:color="auto" w:fill="1764AC"/>
          </w:tcPr>
          <w:p>
            <w:pPr>
              <w:jc w:val="center"/>
              <w:ind w:right="500"/>
              <w:spacing w:after="0"/>
              <w:rPr>
                <w:sz w:val="20"/>
                <w:szCs w:val="20"/>
                <w:color w:val="auto"/>
              </w:rPr>
            </w:pPr>
            <w:r>
              <w:rPr>
                <w:rFonts w:ascii="Arial" w:cs="Arial" w:eastAsia="Arial" w:hAnsi="Arial"/>
                <w:sz w:val="12"/>
                <w:szCs w:val="12"/>
                <w:b w:val="1"/>
                <w:bCs w:val="1"/>
                <w:color w:val="FFFFFF"/>
              </w:rPr>
              <w:t>2025</w:t>
            </w:r>
          </w:p>
        </w:tc>
        <w:tc>
          <w:tcPr>
            <w:tcW w:w="1040" w:type="dxa"/>
            <w:vAlign w:val="bottom"/>
            <w:shd w:val="clear" w:color="auto" w:fill="1764AC"/>
          </w:tcPr>
          <w:p>
            <w:pPr>
              <w:jc w:val="center"/>
              <w:ind w:right="440"/>
              <w:spacing w:after="0"/>
              <w:rPr>
                <w:sz w:val="20"/>
                <w:szCs w:val="20"/>
                <w:color w:val="auto"/>
              </w:rPr>
            </w:pPr>
            <w:r>
              <w:rPr>
                <w:rFonts w:ascii="Arial" w:cs="Arial" w:eastAsia="Arial" w:hAnsi="Arial"/>
                <w:sz w:val="12"/>
                <w:szCs w:val="12"/>
                <w:b w:val="1"/>
                <w:bCs w:val="1"/>
                <w:color w:val="FFFFFF"/>
                <w:w w:val="97"/>
              </w:rPr>
              <w:t>2024</w:t>
            </w:r>
          </w:p>
        </w:tc>
        <w:tc>
          <w:tcPr>
            <w:tcW w:w="920" w:type="dxa"/>
            <w:vAlign w:val="bottom"/>
            <w:shd w:val="clear" w:color="auto" w:fill="1764AC"/>
          </w:tcPr>
          <w:p>
            <w:pPr>
              <w:jc w:val="center"/>
              <w:ind w:left="460"/>
              <w:spacing w:after="0"/>
              <w:rPr>
                <w:sz w:val="20"/>
                <w:szCs w:val="20"/>
                <w:color w:val="auto"/>
              </w:rPr>
            </w:pPr>
            <w:r>
              <w:rPr>
                <w:rFonts w:ascii="Arial" w:cs="Arial" w:eastAsia="Arial" w:hAnsi="Arial"/>
                <w:sz w:val="12"/>
                <w:szCs w:val="12"/>
                <w:b w:val="1"/>
                <w:bCs w:val="1"/>
                <w:color w:val="FFFFFF"/>
              </w:rPr>
              <w:t>2025</w:t>
            </w:r>
          </w:p>
        </w:tc>
        <w:tc>
          <w:tcPr>
            <w:tcW w:w="2060" w:type="dxa"/>
            <w:vAlign w:val="bottom"/>
            <w:shd w:val="clear" w:color="auto" w:fill="1764AC"/>
          </w:tcPr>
          <w:p>
            <w:pPr>
              <w:jc w:val="center"/>
              <w:ind w:left="580"/>
              <w:spacing w:after="0"/>
              <w:rPr>
                <w:sz w:val="20"/>
                <w:szCs w:val="20"/>
                <w:color w:val="auto"/>
              </w:rPr>
            </w:pPr>
            <w:r>
              <w:rPr>
                <w:rFonts w:ascii="Arial" w:cs="Arial" w:eastAsia="Arial" w:hAnsi="Arial"/>
                <w:sz w:val="12"/>
                <w:szCs w:val="12"/>
                <w:b w:val="1"/>
                <w:bCs w:val="1"/>
                <w:color w:val="FFFFFF"/>
                <w:w w:val="97"/>
              </w:rPr>
              <w:t>2024</w:t>
            </w:r>
          </w:p>
        </w:tc>
      </w:tr>
      <w:tr>
        <w:trPr>
          <w:trHeight w:val="140"/>
        </w:trPr>
        <w:tc>
          <w:tcPr>
            <w:tcW w:w="4920" w:type="dxa"/>
            <w:vAlign w:val="bottom"/>
          </w:tcPr>
          <w:p>
            <w:pPr>
              <w:spacing w:after="0"/>
              <w:rPr>
                <w:sz w:val="20"/>
                <w:szCs w:val="20"/>
                <w:color w:val="auto"/>
              </w:rPr>
            </w:pPr>
            <w:r>
              <w:rPr>
                <w:rFonts w:ascii="Arial" w:cs="Arial" w:eastAsia="Arial" w:hAnsi="Arial"/>
                <w:sz w:val="12"/>
                <w:szCs w:val="12"/>
                <w:b w:val="1"/>
                <w:bCs w:val="1"/>
                <w:color w:val="132547"/>
              </w:rPr>
              <w:t>Net Income (loss)</w:t>
            </w:r>
          </w:p>
        </w:tc>
        <w:tc>
          <w:tcPr>
            <w:tcW w:w="2360" w:type="dxa"/>
            <w:vAlign w:val="bottom"/>
          </w:tcPr>
          <w:p>
            <w:pPr>
              <w:jc w:val="center"/>
              <w:ind w:right="500"/>
              <w:spacing w:after="0"/>
              <w:rPr>
                <w:sz w:val="20"/>
                <w:szCs w:val="20"/>
                <w:color w:val="auto"/>
              </w:rPr>
            </w:pPr>
            <w:r>
              <w:rPr>
                <w:rFonts w:ascii="Arial" w:cs="Arial" w:eastAsia="Arial" w:hAnsi="Arial"/>
                <w:sz w:val="12"/>
                <w:szCs w:val="12"/>
                <w:color w:val="auto"/>
              </w:rPr>
              <w:t>107,372</w:t>
            </w:r>
          </w:p>
        </w:tc>
        <w:tc>
          <w:tcPr>
            <w:tcW w:w="1040" w:type="dxa"/>
            <w:vAlign w:val="bottom"/>
          </w:tcPr>
          <w:p>
            <w:pPr>
              <w:jc w:val="center"/>
              <w:ind w:right="440"/>
              <w:spacing w:after="0"/>
              <w:rPr>
                <w:sz w:val="20"/>
                <w:szCs w:val="20"/>
                <w:color w:val="auto"/>
              </w:rPr>
            </w:pPr>
            <w:r>
              <w:rPr>
                <w:rFonts w:ascii="Arial" w:cs="Arial" w:eastAsia="Arial" w:hAnsi="Arial"/>
                <w:sz w:val="12"/>
                <w:szCs w:val="12"/>
                <w:color w:val="auto"/>
              </w:rPr>
              <w:t>33,944</w:t>
            </w:r>
          </w:p>
        </w:tc>
        <w:tc>
          <w:tcPr>
            <w:tcW w:w="920" w:type="dxa"/>
            <w:vAlign w:val="bottom"/>
          </w:tcPr>
          <w:p>
            <w:pPr>
              <w:jc w:val="center"/>
              <w:ind w:left="480"/>
              <w:spacing w:after="0"/>
              <w:rPr>
                <w:sz w:val="20"/>
                <w:szCs w:val="20"/>
                <w:color w:val="auto"/>
              </w:rPr>
            </w:pPr>
            <w:r>
              <w:rPr>
                <w:rFonts w:ascii="Arial" w:cs="Arial" w:eastAsia="Arial" w:hAnsi="Arial"/>
                <w:sz w:val="12"/>
                <w:szCs w:val="12"/>
                <w:color w:val="auto"/>
                <w:w w:val="99"/>
              </w:rPr>
              <w:t>5,569</w:t>
            </w:r>
          </w:p>
        </w:tc>
        <w:tc>
          <w:tcPr>
            <w:tcW w:w="2060" w:type="dxa"/>
            <w:vAlign w:val="bottom"/>
          </w:tcPr>
          <w:p>
            <w:pPr>
              <w:jc w:val="center"/>
              <w:ind w:left="580"/>
              <w:spacing w:after="0"/>
              <w:rPr>
                <w:sz w:val="20"/>
                <w:szCs w:val="20"/>
                <w:color w:val="auto"/>
              </w:rPr>
            </w:pPr>
            <w:r>
              <w:rPr>
                <w:rFonts w:ascii="Arial" w:cs="Arial" w:eastAsia="Arial" w:hAnsi="Arial"/>
                <w:sz w:val="12"/>
                <w:szCs w:val="12"/>
                <w:color w:val="auto"/>
                <w:w w:val="99"/>
              </w:rPr>
              <w:t>9,459</w:t>
            </w: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132547"/>
              </w:rPr>
              <w:t>Depreciation and amortization</w:t>
            </w:r>
          </w:p>
        </w:tc>
        <w:tc>
          <w:tcPr>
            <w:tcW w:w="2360" w:type="dxa"/>
            <w:vAlign w:val="bottom"/>
          </w:tcPr>
          <w:p>
            <w:pPr>
              <w:jc w:val="center"/>
              <w:ind w:right="500"/>
              <w:spacing w:after="0"/>
              <w:rPr>
                <w:sz w:val="20"/>
                <w:szCs w:val="20"/>
                <w:color w:val="auto"/>
              </w:rPr>
            </w:pPr>
            <w:r>
              <w:rPr>
                <w:rFonts w:ascii="Arial" w:cs="Arial" w:eastAsia="Arial" w:hAnsi="Arial"/>
                <w:sz w:val="12"/>
                <w:szCs w:val="12"/>
                <w:color w:val="auto"/>
                <w:w w:val="97"/>
              </w:rPr>
              <w:t>71,017</w:t>
            </w:r>
          </w:p>
        </w:tc>
        <w:tc>
          <w:tcPr>
            <w:tcW w:w="1040" w:type="dxa"/>
            <w:vAlign w:val="bottom"/>
          </w:tcPr>
          <w:p>
            <w:pPr>
              <w:jc w:val="center"/>
              <w:ind w:right="440"/>
              <w:spacing w:after="0"/>
              <w:rPr>
                <w:sz w:val="20"/>
                <w:szCs w:val="20"/>
                <w:color w:val="auto"/>
              </w:rPr>
            </w:pPr>
            <w:r>
              <w:rPr>
                <w:rFonts w:ascii="Arial" w:cs="Arial" w:eastAsia="Arial" w:hAnsi="Arial"/>
                <w:sz w:val="12"/>
                <w:szCs w:val="12"/>
                <w:color w:val="auto"/>
              </w:rPr>
              <w:t>50,886</w:t>
            </w:r>
          </w:p>
        </w:tc>
        <w:tc>
          <w:tcPr>
            <w:tcW w:w="920" w:type="dxa"/>
            <w:vAlign w:val="bottom"/>
          </w:tcPr>
          <w:p>
            <w:pPr>
              <w:jc w:val="center"/>
              <w:ind w:left="460"/>
              <w:spacing w:after="0"/>
              <w:rPr>
                <w:sz w:val="20"/>
                <w:szCs w:val="20"/>
                <w:color w:val="auto"/>
              </w:rPr>
            </w:pPr>
            <w:r>
              <w:rPr>
                <w:rFonts w:ascii="Arial" w:cs="Arial" w:eastAsia="Arial" w:hAnsi="Arial"/>
                <w:sz w:val="12"/>
                <w:szCs w:val="12"/>
                <w:color w:val="auto"/>
                <w:w w:val="97"/>
              </w:rPr>
              <w:t>37,228</w:t>
            </w:r>
          </w:p>
        </w:tc>
        <w:tc>
          <w:tcPr>
            <w:tcW w:w="2060" w:type="dxa"/>
            <w:vAlign w:val="bottom"/>
          </w:tcPr>
          <w:p>
            <w:pPr>
              <w:jc w:val="center"/>
              <w:ind w:left="600"/>
              <w:spacing w:after="0"/>
              <w:rPr>
                <w:sz w:val="20"/>
                <w:szCs w:val="20"/>
                <w:color w:val="auto"/>
              </w:rPr>
            </w:pPr>
            <w:r>
              <w:rPr>
                <w:rFonts w:ascii="Arial" w:cs="Arial" w:eastAsia="Arial" w:hAnsi="Arial"/>
                <w:sz w:val="12"/>
                <w:szCs w:val="12"/>
                <w:color w:val="auto"/>
                <w:w w:val="97"/>
              </w:rPr>
              <w:t>25,282</w:t>
            </w: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132547"/>
              </w:rPr>
              <w:t>Share based compensation</w:t>
            </w:r>
          </w:p>
        </w:tc>
        <w:tc>
          <w:tcPr>
            <w:tcW w:w="2360" w:type="dxa"/>
            <w:vAlign w:val="bottom"/>
          </w:tcPr>
          <w:p>
            <w:pPr>
              <w:jc w:val="center"/>
              <w:ind w:right="520"/>
              <w:spacing w:after="0"/>
              <w:rPr>
                <w:sz w:val="20"/>
                <w:szCs w:val="20"/>
                <w:color w:val="auto"/>
              </w:rPr>
            </w:pPr>
            <w:r>
              <w:rPr>
                <w:rFonts w:ascii="Arial" w:cs="Arial" w:eastAsia="Arial" w:hAnsi="Arial"/>
                <w:sz w:val="12"/>
                <w:szCs w:val="12"/>
                <w:color w:val="auto"/>
                <w:w w:val="99"/>
              </w:rPr>
              <w:t>2,994</w:t>
            </w:r>
          </w:p>
        </w:tc>
        <w:tc>
          <w:tcPr>
            <w:tcW w:w="1040" w:type="dxa"/>
            <w:vAlign w:val="bottom"/>
          </w:tcPr>
          <w:p>
            <w:pPr>
              <w:jc w:val="center"/>
              <w:ind w:right="440"/>
              <w:spacing w:after="0"/>
              <w:rPr>
                <w:sz w:val="20"/>
                <w:szCs w:val="20"/>
                <w:color w:val="auto"/>
              </w:rPr>
            </w:pPr>
            <w:r>
              <w:rPr>
                <w:rFonts w:ascii="Arial" w:cs="Arial" w:eastAsia="Arial" w:hAnsi="Arial"/>
                <w:sz w:val="12"/>
                <w:szCs w:val="12"/>
                <w:color w:val="auto"/>
                <w:w w:val="99"/>
              </w:rPr>
              <w:t>4,085</w:t>
            </w:r>
          </w:p>
        </w:tc>
        <w:tc>
          <w:tcPr>
            <w:tcW w:w="920" w:type="dxa"/>
            <w:vAlign w:val="bottom"/>
          </w:tcPr>
          <w:p>
            <w:pPr>
              <w:jc w:val="center"/>
              <w:ind w:left="480"/>
              <w:spacing w:after="0"/>
              <w:rPr>
                <w:sz w:val="20"/>
                <w:szCs w:val="20"/>
                <w:color w:val="auto"/>
              </w:rPr>
            </w:pPr>
            <w:r>
              <w:rPr>
                <w:rFonts w:ascii="Arial" w:cs="Arial" w:eastAsia="Arial" w:hAnsi="Arial"/>
                <w:sz w:val="12"/>
                <w:szCs w:val="12"/>
                <w:color w:val="auto"/>
                <w:w w:val="99"/>
              </w:rPr>
              <w:t>1,284</w:t>
            </w:r>
          </w:p>
        </w:tc>
        <w:tc>
          <w:tcPr>
            <w:tcW w:w="2060" w:type="dxa"/>
            <w:vAlign w:val="bottom"/>
          </w:tcPr>
          <w:p>
            <w:pPr>
              <w:jc w:val="center"/>
              <w:ind w:left="600"/>
              <w:spacing w:after="0"/>
              <w:rPr>
                <w:sz w:val="20"/>
                <w:szCs w:val="20"/>
                <w:color w:val="auto"/>
              </w:rPr>
            </w:pPr>
            <w:r>
              <w:rPr>
                <w:rFonts w:ascii="Arial" w:cs="Arial" w:eastAsia="Arial" w:hAnsi="Arial"/>
                <w:sz w:val="12"/>
                <w:szCs w:val="12"/>
                <w:color w:val="auto"/>
                <w:w w:val="99"/>
              </w:rPr>
              <w:t>968</w:t>
            </w: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132547"/>
              </w:rPr>
              <w:t>Finance income</w:t>
            </w:r>
          </w:p>
        </w:tc>
        <w:tc>
          <w:tcPr>
            <w:tcW w:w="2360" w:type="dxa"/>
            <w:vAlign w:val="bottom"/>
          </w:tcPr>
          <w:p>
            <w:pPr>
              <w:jc w:val="center"/>
              <w:ind w:right="520"/>
              <w:spacing w:after="0"/>
              <w:rPr>
                <w:sz w:val="20"/>
                <w:szCs w:val="20"/>
                <w:color w:val="auto"/>
              </w:rPr>
            </w:pPr>
            <w:r>
              <w:rPr>
                <w:rFonts w:ascii="Arial" w:cs="Arial" w:eastAsia="Arial" w:hAnsi="Arial"/>
                <w:sz w:val="12"/>
                <w:szCs w:val="12"/>
                <w:color w:val="auto"/>
                <w:w w:val="99"/>
              </w:rPr>
              <w:t>(8,166)</w:t>
            </w:r>
          </w:p>
        </w:tc>
        <w:tc>
          <w:tcPr>
            <w:tcW w:w="1040" w:type="dxa"/>
            <w:vAlign w:val="bottom"/>
          </w:tcPr>
          <w:p>
            <w:pPr>
              <w:jc w:val="center"/>
              <w:ind w:right="440"/>
              <w:spacing w:after="0"/>
              <w:rPr>
                <w:sz w:val="20"/>
                <w:szCs w:val="20"/>
                <w:color w:val="auto"/>
              </w:rPr>
            </w:pPr>
            <w:r>
              <w:rPr>
                <w:rFonts w:ascii="Arial" w:cs="Arial" w:eastAsia="Arial" w:hAnsi="Arial"/>
                <w:sz w:val="12"/>
                <w:szCs w:val="12"/>
                <w:color w:val="auto"/>
              </w:rPr>
              <w:t>(15,065)</w:t>
            </w:r>
          </w:p>
        </w:tc>
        <w:tc>
          <w:tcPr>
            <w:tcW w:w="920" w:type="dxa"/>
            <w:vAlign w:val="bottom"/>
          </w:tcPr>
          <w:p>
            <w:pPr>
              <w:jc w:val="center"/>
              <w:ind w:left="480"/>
              <w:spacing w:after="0"/>
              <w:rPr>
                <w:sz w:val="20"/>
                <w:szCs w:val="20"/>
                <w:color w:val="auto"/>
              </w:rPr>
            </w:pPr>
            <w:r>
              <w:rPr>
                <w:rFonts w:ascii="Arial" w:cs="Arial" w:eastAsia="Arial" w:hAnsi="Arial"/>
                <w:sz w:val="12"/>
                <w:szCs w:val="12"/>
                <w:color w:val="auto"/>
                <w:w w:val="99"/>
              </w:rPr>
              <w:t>(1,471)</w:t>
            </w:r>
          </w:p>
        </w:tc>
        <w:tc>
          <w:tcPr>
            <w:tcW w:w="2060" w:type="dxa"/>
            <w:vAlign w:val="bottom"/>
          </w:tcPr>
          <w:p>
            <w:pPr>
              <w:jc w:val="center"/>
              <w:ind w:left="580"/>
              <w:spacing w:after="0"/>
              <w:rPr>
                <w:sz w:val="20"/>
                <w:szCs w:val="20"/>
                <w:color w:val="auto"/>
              </w:rPr>
            </w:pPr>
            <w:r>
              <w:rPr>
                <w:rFonts w:ascii="Arial" w:cs="Arial" w:eastAsia="Arial" w:hAnsi="Arial"/>
                <w:sz w:val="12"/>
                <w:szCs w:val="12"/>
                <w:color w:val="auto"/>
                <w:w w:val="99"/>
              </w:rPr>
              <w:t>(7,000)</w:t>
            </w: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132547"/>
              </w:rPr>
              <w:t>Finance expenses</w:t>
            </w:r>
          </w:p>
        </w:tc>
        <w:tc>
          <w:tcPr>
            <w:tcW w:w="2360" w:type="dxa"/>
            <w:vAlign w:val="bottom"/>
          </w:tcPr>
          <w:p>
            <w:pPr>
              <w:jc w:val="center"/>
              <w:ind w:right="500"/>
              <w:spacing w:after="0"/>
              <w:rPr>
                <w:sz w:val="20"/>
                <w:szCs w:val="20"/>
                <w:color w:val="auto"/>
              </w:rPr>
            </w:pPr>
            <w:r>
              <w:rPr>
                <w:rFonts w:ascii="Arial" w:cs="Arial" w:eastAsia="Arial" w:hAnsi="Arial"/>
                <w:sz w:val="12"/>
                <w:szCs w:val="12"/>
                <w:color w:val="auto"/>
                <w:w w:val="97"/>
              </w:rPr>
              <w:t>82,286</w:t>
            </w:r>
          </w:p>
        </w:tc>
        <w:tc>
          <w:tcPr>
            <w:tcW w:w="1040" w:type="dxa"/>
            <w:vAlign w:val="bottom"/>
          </w:tcPr>
          <w:p>
            <w:pPr>
              <w:jc w:val="center"/>
              <w:ind w:right="420"/>
              <w:spacing w:after="0"/>
              <w:rPr>
                <w:sz w:val="20"/>
                <w:szCs w:val="20"/>
                <w:color w:val="auto"/>
              </w:rPr>
            </w:pPr>
            <w:r>
              <w:rPr>
                <w:rFonts w:ascii="Arial" w:cs="Arial" w:eastAsia="Arial" w:hAnsi="Arial"/>
                <w:sz w:val="12"/>
                <w:szCs w:val="12"/>
                <w:color w:val="auto"/>
                <w:w w:val="97"/>
              </w:rPr>
              <w:t>49,311</w:t>
            </w:r>
          </w:p>
        </w:tc>
        <w:tc>
          <w:tcPr>
            <w:tcW w:w="920" w:type="dxa"/>
            <w:vAlign w:val="bottom"/>
          </w:tcPr>
          <w:p>
            <w:pPr>
              <w:jc w:val="center"/>
              <w:ind w:left="460"/>
              <w:spacing w:after="0"/>
              <w:rPr>
                <w:sz w:val="20"/>
                <w:szCs w:val="20"/>
                <w:color w:val="auto"/>
              </w:rPr>
            </w:pPr>
            <w:r>
              <w:rPr>
                <w:rFonts w:ascii="Arial" w:cs="Arial" w:eastAsia="Arial" w:hAnsi="Arial"/>
                <w:sz w:val="12"/>
                <w:szCs w:val="12"/>
                <w:color w:val="auto"/>
                <w:w w:val="97"/>
              </w:rPr>
              <w:t>52,083</w:t>
            </w:r>
          </w:p>
        </w:tc>
        <w:tc>
          <w:tcPr>
            <w:tcW w:w="2060" w:type="dxa"/>
            <w:vAlign w:val="bottom"/>
          </w:tcPr>
          <w:p>
            <w:pPr>
              <w:jc w:val="center"/>
              <w:ind w:left="600"/>
              <w:spacing w:after="0"/>
              <w:rPr>
                <w:sz w:val="20"/>
                <w:szCs w:val="20"/>
                <w:color w:val="auto"/>
              </w:rPr>
            </w:pPr>
            <w:r>
              <w:rPr>
                <w:rFonts w:ascii="Arial" w:cs="Arial" w:eastAsia="Arial" w:hAnsi="Arial"/>
                <w:sz w:val="12"/>
                <w:szCs w:val="12"/>
                <w:color w:val="auto"/>
                <w:w w:val="97"/>
              </w:rPr>
              <w:t>29,818</w:t>
            </w: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132547"/>
              </w:rPr>
              <w:t>Gains from projects disposals (*)</w:t>
            </w:r>
          </w:p>
        </w:tc>
        <w:tc>
          <w:tcPr>
            <w:tcW w:w="2360" w:type="dxa"/>
            <w:vAlign w:val="bottom"/>
          </w:tcPr>
          <w:p>
            <w:pPr>
              <w:jc w:val="center"/>
              <w:ind w:right="500"/>
              <w:spacing w:after="0"/>
              <w:rPr>
                <w:sz w:val="20"/>
                <w:szCs w:val="20"/>
                <w:color w:val="auto"/>
              </w:rPr>
            </w:pPr>
            <w:r>
              <w:rPr>
                <w:rFonts w:ascii="Arial" w:cs="Arial" w:eastAsia="Arial" w:hAnsi="Arial"/>
                <w:sz w:val="12"/>
                <w:szCs w:val="12"/>
                <w:color w:val="auto"/>
                <w:w w:val="98"/>
              </w:rPr>
              <w:t>(55,336)</w:t>
            </w:r>
          </w:p>
        </w:tc>
        <w:tc>
          <w:tcPr>
            <w:tcW w:w="1040" w:type="dxa"/>
            <w:vAlign w:val="bottom"/>
          </w:tcPr>
          <w:p>
            <w:pPr>
              <w:jc w:val="center"/>
              <w:ind w:right="420"/>
              <w:spacing w:after="0"/>
              <w:rPr>
                <w:sz w:val="20"/>
                <w:szCs w:val="20"/>
                <w:color w:val="auto"/>
              </w:rPr>
            </w:pPr>
            <w:r>
              <w:rPr>
                <w:rFonts w:ascii="Arial" w:cs="Arial" w:eastAsia="Arial" w:hAnsi="Arial"/>
                <w:sz w:val="12"/>
                <w:szCs w:val="12"/>
                <w:color w:val="auto"/>
                <w:w w:val="98"/>
              </w:rPr>
              <w:t>-</w:t>
            </w:r>
          </w:p>
        </w:tc>
        <w:tc>
          <w:tcPr>
            <w:tcW w:w="920" w:type="dxa"/>
            <w:vAlign w:val="bottom"/>
          </w:tcPr>
          <w:p>
            <w:pPr>
              <w:jc w:val="center"/>
              <w:ind w:left="460"/>
              <w:spacing w:after="0"/>
              <w:rPr>
                <w:sz w:val="20"/>
                <w:szCs w:val="20"/>
                <w:color w:val="auto"/>
              </w:rPr>
            </w:pPr>
            <w:r>
              <w:rPr>
                <w:rFonts w:ascii="Arial" w:cs="Arial" w:eastAsia="Arial" w:hAnsi="Arial"/>
                <w:sz w:val="12"/>
                <w:szCs w:val="12"/>
                <w:color w:val="auto"/>
                <w:w w:val="99"/>
              </w:rPr>
              <w:t>(363)</w:t>
            </w:r>
          </w:p>
        </w:tc>
        <w:tc>
          <w:tcPr>
            <w:tcW w:w="2060" w:type="dxa"/>
            <w:vAlign w:val="bottom"/>
          </w:tcPr>
          <w:p>
            <w:pPr>
              <w:jc w:val="center"/>
              <w:ind w:left="600"/>
              <w:spacing w:after="0"/>
              <w:rPr>
                <w:sz w:val="20"/>
                <w:szCs w:val="20"/>
                <w:color w:val="auto"/>
              </w:rPr>
            </w:pPr>
            <w:r>
              <w:rPr>
                <w:rFonts w:ascii="Arial" w:cs="Arial" w:eastAsia="Arial" w:hAnsi="Arial"/>
                <w:sz w:val="12"/>
                <w:szCs w:val="12"/>
                <w:color w:val="auto"/>
                <w:w w:val="98"/>
              </w:rPr>
              <w:t>-</w:t>
            </w: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132547"/>
              </w:rPr>
              <w:t>Share of losses of equity accounted investees</w:t>
            </w:r>
          </w:p>
        </w:tc>
        <w:tc>
          <w:tcPr>
            <w:tcW w:w="2360" w:type="dxa"/>
            <w:vAlign w:val="bottom"/>
          </w:tcPr>
          <w:p>
            <w:pPr>
              <w:jc w:val="center"/>
              <w:ind w:right="520"/>
              <w:spacing w:after="0"/>
              <w:rPr>
                <w:sz w:val="20"/>
                <w:szCs w:val="20"/>
                <w:color w:val="auto"/>
              </w:rPr>
            </w:pPr>
            <w:r>
              <w:rPr>
                <w:rFonts w:ascii="Arial" w:cs="Arial" w:eastAsia="Arial" w:hAnsi="Arial"/>
                <w:sz w:val="12"/>
                <w:szCs w:val="12"/>
                <w:color w:val="auto"/>
                <w:w w:val="99"/>
              </w:rPr>
              <w:t>1,645</w:t>
            </w:r>
          </w:p>
        </w:tc>
        <w:tc>
          <w:tcPr>
            <w:tcW w:w="1040" w:type="dxa"/>
            <w:vAlign w:val="bottom"/>
          </w:tcPr>
          <w:p>
            <w:pPr>
              <w:jc w:val="center"/>
              <w:ind w:right="420"/>
              <w:spacing w:after="0"/>
              <w:rPr>
                <w:sz w:val="20"/>
                <w:szCs w:val="20"/>
                <w:color w:val="auto"/>
              </w:rPr>
            </w:pPr>
            <w:r>
              <w:rPr>
                <w:rFonts w:ascii="Arial" w:cs="Arial" w:eastAsia="Arial" w:hAnsi="Arial"/>
                <w:sz w:val="12"/>
                <w:szCs w:val="12"/>
                <w:color w:val="auto"/>
                <w:w w:val="99"/>
              </w:rPr>
              <w:t>449</w:t>
            </w:r>
          </w:p>
        </w:tc>
        <w:tc>
          <w:tcPr>
            <w:tcW w:w="920" w:type="dxa"/>
            <w:vAlign w:val="bottom"/>
          </w:tcPr>
          <w:p>
            <w:pPr>
              <w:jc w:val="center"/>
              <w:ind w:left="460"/>
              <w:spacing w:after="0"/>
              <w:rPr>
                <w:sz w:val="20"/>
                <w:szCs w:val="20"/>
                <w:color w:val="auto"/>
              </w:rPr>
            </w:pPr>
            <w:r>
              <w:rPr>
                <w:rFonts w:ascii="Arial" w:cs="Arial" w:eastAsia="Arial" w:hAnsi="Arial"/>
                <w:sz w:val="12"/>
                <w:szCs w:val="12"/>
                <w:color w:val="auto"/>
                <w:w w:val="99"/>
              </w:rPr>
              <w:t>418</w:t>
            </w:r>
          </w:p>
        </w:tc>
        <w:tc>
          <w:tcPr>
            <w:tcW w:w="2060" w:type="dxa"/>
            <w:vAlign w:val="bottom"/>
          </w:tcPr>
          <w:p>
            <w:pPr>
              <w:jc w:val="center"/>
              <w:ind w:left="600"/>
              <w:spacing w:after="0"/>
              <w:rPr>
                <w:sz w:val="20"/>
                <w:szCs w:val="20"/>
                <w:color w:val="auto"/>
              </w:rPr>
            </w:pPr>
            <w:r>
              <w:rPr>
                <w:rFonts w:ascii="Arial" w:cs="Arial" w:eastAsia="Arial" w:hAnsi="Arial"/>
                <w:sz w:val="12"/>
                <w:szCs w:val="12"/>
                <w:color w:val="auto"/>
                <w:w w:val="99"/>
              </w:rPr>
              <w:t>305</w:t>
            </w:r>
          </w:p>
        </w:tc>
      </w:tr>
      <w:tr>
        <w:trPr>
          <w:trHeight w:val="162"/>
        </w:trPr>
        <w:tc>
          <w:tcPr>
            <w:tcW w:w="4920" w:type="dxa"/>
            <w:vAlign w:val="bottom"/>
          </w:tcPr>
          <w:p>
            <w:pPr>
              <w:spacing w:after="0"/>
              <w:rPr>
                <w:sz w:val="20"/>
                <w:szCs w:val="20"/>
                <w:color w:val="auto"/>
              </w:rPr>
            </w:pPr>
            <w:r>
              <w:rPr>
                <w:rFonts w:ascii="Arial" w:cs="Arial" w:eastAsia="Arial" w:hAnsi="Arial"/>
                <w:sz w:val="12"/>
                <w:szCs w:val="12"/>
                <w:color w:val="132547"/>
              </w:rPr>
              <w:t>Taxes on income</w:t>
            </w:r>
          </w:p>
        </w:tc>
        <w:tc>
          <w:tcPr>
            <w:tcW w:w="2360" w:type="dxa"/>
            <w:vAlign w:val="bottom"/>
          </w:tcPr>
          <w:p>
            <w:pPr>
              <w:jc w:val="center"/>
              <w:ind w:right="500"/>
              <w:spacing w:after="0"/>
              <w:rPr>
                <w:sz w:val="20"/>
                <w:szCs w:val="20"/>
                <w:color w:val="auto"/>
              </w:rPr>
            </w:pPr>
            <w:r>
              <w:rPr>
                <w:rFonts w:ascii="Arial" w:cs="Arial" w:eastAsia="Arial" w:hAnsi="Arial"/>
                <w:sz w:val="12"/>
                <w:szCs w:val="12"/>
                <w:color w:val="auto"/>
                <w:w w:val="97"/>
              </w:rPr>
              <w:t>25,606</w:t>
            </w:r>
          </w:p>
        </w:tc>
        <w:tc>
          <w:tcPr>
            <w:tcW w:w="1040" w:type="dxa"/>
            <w:vAlign w:val="bottom"/>
          </w:tcPr>
          <w:p>
            <w:pPr>
              <w:jc w:val="center"/>
              <w:ind w:right="440"/>
              <w:spacing w:after="0"/>
              <w:rPr>
                <w:sz w:val="20"/>
                <w:szCs w:val="20"/>
                <w:color w:val="auto"/>
              </w:rPr>
            </w:pPr>
            <w:r>
              <w:rPr>
                <w:rFonts w:ascii="Arial" w:cs="Arial" w:eastAsia="Arial" w:hAnsi="Arial"/>
                <w:sz w:val="12"/>
                <w:szCs w:val="12"/>
                <w:color w:val="auto"/>
                <w:w w:val="99"/>
              </w:rPr>
              <w:t>9,130</w:t>
            </w:r>
          </w:p>
        </w:tc>
        <w:tc>
          <w:tcPr>
            <w:tcW w:w="920" w:type="dxa"/>
            <w:vAlign w:val="bottom"/>
          </w:tcPr>
          <w:p>
            <w:pPr>
              <w:jc w:val="center"/>
              <w:ind w:left="460"/>
              <w:spacing w:after="0"/>
              <w:rPr>
                <w:sz w:val="20"/>
                <w:szCs w:val="20"/>
                <w:color w:val="auto"/>
              </w:rPr>
            </w:pPr>
            <w:r>
              <w:rPr>
                <w:rFonts w:ascii="Arial" w:cs="Arial" w:eastAsia="Arial" w:hAnsi="Arial"/>
                <w:sz w:val="12"/>
                <w:szCs w:val="12"/>
                <w:color w:val="auto"/>
                <w:w w:val="99"/>
              </w:rPr>
              <w:t>955</w:t>
            </w:r>
          </w:p>
        </w:tc>
        <w:tc>
          <w:tcPr>
            <w:tcW w:w="2060" w:type="dxa"/>
            <w:vAlign w:val="bottom"/>
          </w:tcPr>
          <w:p>
            <w:pPr>
              <w:jc w:val="center"/>
              <w:ind w:left="580"/>
              <w:spacing w:after="0"/>
              <w:rPr>
                <w:sz w:val="20"/>
                <w:szCs w:val="20"/>
                <w:color w:val="auto"/>
              </w:rPr>
            </w:pPr>
            <w:r>
              <w:rPr>
                <w:rFonts w:ascii="Arial" w:cs="Arial" w:eastAsia="Arial" w:hAnsi="Arial"/>
                <w:sz w:val="12"/>
                <w:szCs w:val="12"/>
                <w:color w:val="auto"/>
                <w:w w:val="99"/>
              </w:rPr>
              <w:t>2,299</w:t>
            </w:r>
          </w:p>
        </w:tc>
      </w:tr>
      <w:tr>
        <w:trPr>
          <w:trHeight w:val="157"/>
        </w:trPr>
        <w:tc>
          <w:tcPr>
            <w:tcW w:w="4920" w:type="dxa"/>
            <w:vAlign w:val="bottom"/>
            <w:shd w:val="clear" w:color="auto" w:fill="BDD6EE"/>
          </w:tcPr>
          <w:p>
            <w:pPr>
              <w:spacing w:after="0"/>
              <w:rPr>
                <w:sz w:val="20"/>
                <w:szCs w:val="20"/>
                <w:color w:val="auto"/>
              </w:rPr>
            </w:pPr>
            <w:r>
              <w:rPr>
                <w:rFonts w:ascii="Arial" w:cs="Arial" w:eastAsia="Arial" w:hAnsi="Arial"/>
                <w:sz w:val="12"/>
                <w:szCs w:val="12"/>
                <w:b w:val="1"/>
                <w:bCs w:val="1"/>
                <w:color w:val="132547"/>
              </w:rPr>
              <w:t>Adjusted EBITDA</w:t>
            </w:r>
          </w:p>
        </w:tc>
        <w:tc>
          <w:tcPr>
            <w:tcW w:w="2360" w:type="dxa"/>
            <w:vAlign w:val="bottom"/>
            <w:shd w:val="clear" w:color="auto" w:fill="BDD6EE"/>
          </w:tcPr>
          <w:p>
            <w:pPr>
              <w:jc w:val="center"/>
              <w:ind w:right="500"/>
              <w:spacing w:after="0"/>
              <w:rPr>
                <w:sz w:val="20"/>
                <w:szCs w:val="20"/>
                <w:color w:val="auto"/>
              </w:rPr>
            </w:pPr>
            <w:r>
              <w:rPr>
                <w:rFonts w:ascii="Arial" w:cs="Arial" w:eastAsia="Arial" w:hAnsi="Arial"/>
                <w:sz w:val="12"/>
                <w:szCs w:val="12"/>
                <w:b w:val="1"/>
                <w:bCs w:val="1"/>
                <w:color w:val="auto"/>
              </w:rPr>
              <w:t>227,418</w:t>
            </w:r>
          </w:p>
        </w:tc>
        <w:tc>
          <w:tcPr>
            <w:tcW w:w="1040" w:type="dxa"/>
            <w:vAlign w:val="bottom"/>
            <w:shd w:val="clear" w:color="auto" w:fill="BDD6EE"/>
          </w:tcPr>
          <w:p>
            <w:pPr>
              <w:jc w:val="center"/>
              <w:ind w:right="440"/>
              <w:spacing w:after="0"/>
              <w:rPr>
                <w:sz w:val="20"/>
                <w:szCs w:val="20"/>
                <w:color w:val="auto"/>
              </w:rPr>
            </w:pPr>
            <w:r>
              <w:rPr>
                <w:rFonts w:ascii="Arial" w:cs="Arial" w:eastAsia="Arial" w:hAnsi="Arial"/>
                <w:sz w:val="12"/>
                <w:szCs w:val="12"/>
                <w:b w:val="1"/>
                <w:bCs w:val="1"/>
                <w:color w:val="auto"/>
                <w:w w:val="96"/>
              </w:rPr>
              <w:t>132,740</w:t>
            </w:r>
          </w:p>
        </w:tc>
        <w:tc>
          <w:tcPr>
            <w:tcW w:w="920" w:type="dxa"/>
            <w:vAlign w:val="bottom"/>
            <w:shd w:val="clear" w:color="auto" w:fill="BDD6EE"/>
          </w:tcPr>
          <w:p>
            <w:pPr>
              <w:jc w:val="center"/>
              <w:ind w:left="460"/>
              <w:spacing w:after="0"/>
              <w:rPr>
                <w:sz w:val="20"/>
                <w:szCs w:val="20"/>
                <w:color w:val="auto"/>
              </w:rPr>
            </w:pPr>
            <w:r>
              <w:rPr>
                <w:rFonts w:ascii="Arial" w:cs="Arial" w:eastAsia="Arial" w:hAnsi="Arial"/>
                <w:sz w:val="12"/>
                <w:szCs w:val="12"/>
                <w:b w:val="1"/>
                <w:bCs w:val="1"/>
                <w:color w:val="auto"/>
                <w:w w:val="97"/>
              </w:rPr>
              <w:t>95,703</w:t>
            </w:r>
          </w:p>
        </w:tc>
        <w:tc>
          <w:tcPr>
            <w:tcW w:w="2060" w:type="dxa"/>
            <w:vAlign w:val="bottom"/>
            <w:shd w:val="clear" w:color="auto" w:fill="BDD6EE"/>
          </w:tcPr>
          <w:p>
            <w:pPr>
              <w:jc w:val="center"/>
              <w:ind w:left="600"/>
              <w:spacing w:after="0"/>
              <w:rPr>
                <w:sz w:val="20"/>
                <w:szCs w:val="20"/>
                <w:color w:val="auto"/>
              </w:rPr>
            </w:pPr>
            <w:r>
              <w:rPr>
                <w:rFonts w:ascii="Arial" w:cs="Arial" w:eastAsia="Arial" w:hAnsi="Arial"/>
                <w:sz w:val="12"/>
                <w:szCs w:val="12"/>
                <w:b w:val="1"/>
                <w:bCs w:val="1"/>
                <w:color w:val="auto"/>
                <w:w w:val="97"/>
              </w:rPr>
              <w:t>61,131</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132547"/>
        </w:rPr>
        <w:t>* Profit from revaluation linked to partial sale of asset.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Appendix 3 – Debentures Covenants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Debentures Covenants</w:t>
      </w:r>
    </w:p>
    <w:p>
      <w:pPr>
        <w:spacing w:after="0" w:line="168" w:lineRule="exact"/>
        <w:rPr>
          <w:sz w:val="20"/>
          <w:szCs w:val="20"/>
          <w:color w:val="auto"/>
        </w:rPr>
      </w:pPr>
    </w:p>
    <w:p>
      <w:pPr>
        <w:ind w:right="180"/>
        <w:spacing w:after="0" w:line="286" w:lineRule="auto"/>
        <w:rPr>
          <w:sz w:val="20"/>
          <w:szCs w:val="20"/>
          <w:color w:val="auto"/>
        </w:rPr>
      </w:pPr>
      <w:r>
        <w:rPr>
          <w:rFonts w:ascii="Arial" w:cs="Arial" w:eastAsia="Arial" w:hAnsi="Arial"/>
          <w:sz w:val="12"/>
          <w:szCs w:val="12"/>
          <w:color w:val="auto"/>
        </w:rPr>
        <w:t>As of June 30, 2025, the Company was in compliance with all of its financial covenants under the indenture for the Series C, D, F, G and H Debentures, based on having achieved the following in its consolidated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Minimum equity</w:t>
      </w:r>
    </w:p>
    <w:p>
      <w:pPr>
        <w:spacing w:after="0" w:line="159" w:lineRule="exact"/>
        <w:rPr>
          <w:sz w:val="20"/>
          <w:szCs w:val="20"/>
          <w:color w:val="auto"/>
        </w:rPr>
      </w:pPr>
    </w:p>
    <w:p>
      <w:pPr>
        <w:ind w:right="20"/>
        <w:spacing w:after="0" w:line="301" w:lineRule="auto"/>
        <w:rPr>
          <w:sz w:val="20"/>
          <w:szCs w:val="20"/>
          <w:color w:val="auto"/>
        </w:rPr>
      </w:pPr>
      <w:r>
        <w:rPr>
          <w:rFonts w:ascii="Arial" w:cs="Arial" w:eastAsia="Arial" w:hAnsi="Arial"/>
          <w:sz w:val="12"/>
          <w:szCs w:val="12"/>
          <w:color w:val="auto"/>
        </w:rPr>
        <w:t>The company's equity shall be maintained at no less than NIS 375 million so long as debentures F remain outstanding, NIS 1,250 million so long as debentures C and D remain outstanding, and USD 600 million so long as debentures G and H remain outstanding.</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2025, the company’s equity amounted to NIS 5,559 million (USD 1,648 million).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Net financial debt to net CAP</w:t>
      </w:r>
    </w:p>
    <w:p>
      <w:pPr>
        <w:spacing w:after="0" w:line="159" w:lineRule="exact"/>
        <w:rPr>
          <w:sz w:val="20"/>
          <w:szCs w:val="20"/>
          <w:color w:val="auto"/>
        </w:rPr>
      </w:pPr>
    </w:p>
    <w:p>
      <w:pPr>
        <w:ind w:right="80"/>
        <w:spacing w:after="0" w:line="301" w:lineRule="auto"/>
        <w:rPr>
          <w:sz w:val="20"/>
          <w:szCs w:val="20"/>
          <w:color w:val="auto"/>
        </w:rPr>
      </w:pPr>
      <w:r>
        <w:rPr>
          <w:rFonts w:ascii="Arial" w:cs="Arial" w:eastAsia="Arial" w:hAnsi="Arial"/>
          <w:sz w:val="12"/>
          <w:szCs w:val="12"/>
          <w:color w:val="auto"/>
        </w:rPr>
        <w:t>The ratio of standalone net financial debt to net CAP shall not exceed 70% for two consecutive financial periods so long as debentures F remain outstanding and shall not exceed 65% for two consecutive financial periods so long as debentures C, D, G and H remain outstanding.</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2025, the net financial debt to net CAP ratio, as defined above, stands at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189230</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u w:val="single" w:color="auto"/>
          <w:color w:val="auto"/>
        </w:rPr>
        <w:t>Net financial debt to EBITDA</w:t>
      </w:r>
    </w:p>
    <w:p>
      <w:pPr>
        <w:spacing w:after="0" w:line="158" w:lineRule="exact"/>
        <w:rPr>
          <w:sz w:val="20"/>
          <w:szCs w:val="20"/>
          <w:color w:val="auto"/>
        </w:rPr>
      </w:pPr>
    </w:p>
    <w:p>
      <w:pPr>
        <w:ind w:right="400"/>
        <w:spacing w:after="0" w:line="301" w:lineRule="auto"/>
        <w:rPr>
          <w:sz w:val="20"/>
          <w:szCs w:val="20"/>
          <w:color w:val="auto"/>
        </w:rPr>
      </w:pPr>
      <w:r>
        <w:rPr>
          <w:rFonts w:ascii="Arial" w:cs="Arial" w:eastAsia="Arial" w:hAnsi="Arial"/>
          <w:sz w:val="12"/>
          <w:szCs w:val="12"/>
          <w:color w:val="auto"/>
        </w:rPr>
        <w:t>So long as debentures F remain outstanding, standalone financial debt shall not exceed NIS 10 million, and the consolidated financial debt to EBITDA ratio shall not exceed 18 for more than two consecutive financial periods.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For as long as debentures C and D remain outstanding, the consolidated financial debt to EBITDA ratio shall not exceed 15 for more than two consecutive financial periods.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For as long as debentures G and H remain outstanding, the consolidated financial debt to EBITDA ratio shall not exceed 17 for more than two consecutive financial periods.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2025, the net financial debt to EBITDA ratio, as defined above, stands at 7.</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Equity to balance sheet</w:t>
      </w:r>
    </w:p>
    <w:p>
      <w:pPr>
        <w:spacing w:after="0" w:line="168" w:lineRule="exact"/>
        <w:rPr>
          <w:sz w:val="20"/>
          <w:szCs w:val="20"/>
          <w:color w:val="auto"/>
        </w:rPr>
      </w:pPr>
    </w:p>
    <w:p>
      <w:pPr>
        <w:ind w:right="180"/>
        <w:spacing w:after="0" w:line="286" w:lineRule="auto"/>
        <w:rPr>
          <w:sz w:val="20"/>
          <w:szCs w:val="20"/>
          <w:color w:val="auto"/>
        </w:rPr>
      </w:pPr>
      <w:r>
        <w:rPr>
          <w:rFonts w:ascii="Arial" w:cs="Arial" w:eastAsia="Arial" w:hAnsi="Arial"/>
          <w:sz w:val="12"/>
          <w:szCs w:val="12"/>
          <w:color w:val="auto"/>
        </w:rPr>
        <w:t>The standalone equity to total balance sheet ratio shall be maintained at no less than 20% ,25% and 28%, respectively, for two consecutive financial periods for as long as debentures F, debentures C and D and debentures G and H remain outstanding.</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2025, the equity to balance sheet ratio, as defined above, stands at 53%.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Appendix 4 – Foreign exchange rate sensitivities</w:t>
      </w:r>
    </w:p>
    <w:p>
      <w:pPr>
        <w:spacing w:after="0" w:line="159" w:lineRule="exact"/>
        <w:rPr>
          <w:sz w:val="20"/>
          <w:szCs w:val="20"/>
          <w:color w:val="auto"/>
        </w:rPr>
      </w:pPr>
    </w:p>
    <w:p>
      <w:pPr>
        <w:spacing w:after="0" w:line="301" w:lineRule="auto"/>
        <w:rPr>
          <w:sz w:val="20"/>
          <w:szCs w:val="20"/>
          <w:color w:val="auto"/>
        </w:rPr>
      </w:pPr>
      <w:r>
        <w:rPr>
          <w:rFonts w:ascii="Arial" w:cs="Arial" w:eastAsia="Arial" w:hAnsi="Arial"/>
          <w:sz w:val="12"/>
          <w:szCs w:val="12"/>
          <w:color w:val="auto"/>
        </w:rPr>
        <w:t>Enlight operates generation facilities in Israel, Europe, and the US, and records revenues and income in multiple currencies. As of the end of 2Q25, the Company’s revenues and income sensitivity to fluctuations in foreign exchange rates for FY25 is as follows:</w:t>
      </w:r>
    </w:p>
    <w:p>
      <w:pPr>
        <w:spacing w:after="0" w:line="104" w:lineRule="exact"/>
        <w:rPr>
          <w:sz w:val="20"/>
          <w:szCs w:val="20"/>
          <w:color w:val="auto"/>
        </w:rPr>
      </w:pPr>
    </w:p>
    <w:p>
      <w:pPr>
        <w:ind w:left="640" w:hanging="216"/>
        <w:spacing w:after="0"/>
        <w:tabs>
          <w:tab w:leader="none" w:pos="640" w:val="left"/>
        </w:tabs>
        <w:numPr>
          <w:ilvl w:val="0"/>
          <w:numId w:val="28"/>
        </w:numPr>
        <w:rPr>
          <w:rFonts w:ascii="Courier New" w:cs="Courier New" w:eastAsia="Courier New" w:hAnsi="Courier New"/>
          <w:sz w:val="12"/>
          <w:szCs w:val="12"/>
          <w:color w:val="auto"/>
        </w:rPr>
      </w:pPr>
      <w:r>
        <w:rPr>
          <w:rFonts w:ascii="Arial" w:cs="Arial" w:eastAsia="Arial" w:hAnsi="Arial"/>
          <w:sz w:val="12"/>
          <w:szCs w:val="12"/>
          <w:color w:val="auto"/>
        </w:rPr>
        <w:t>A 5% change in the USD/ILS exchange rate would result in a ~$5m change in revenues</w:t>
      </w:r>
    </w:p>
    <w:p>
      <w:pPr>
        <w:spacing w:after="0" w:line="7" w:lineRule="exact"/>
        <w:rPr>
          <w:rFonts w:ascii="Courier New" w:cs="Courier New" w:eastAsia="Courier New" w:hAnsi="Courier New"/>
          <w:sz w:val="12"/>
          <w:szCs w:val="12"/>
          <w:color w:val="auto"/>
        </w:rPr>
      </w:pPr>
    </w:p>
    <w:p>
      <w:pPr>
        <w:ind w:left="640" w:hanging="216"/>
        <w:spacing w:after="0" w:line="232" w:lineRule="auto"/>
        <w:tabs>
          <w:tab w:leader="none" w:pos="640" w:val="left"/>
        </w:tabs>
        <w:numPr>
          <w:ilvl w:val="0"/>
          <w:numId w:val="28"/>
        </w:numPr>
        <w:rPr>
          <w:rFonts w:ascii="Courier New" w:cs="Courier New" w:eastAsia="Courier New" w:hAnsi="Courier New"/>
          <w:sz w:val="12"/>
          <w:szCs w:val="12"/>
          <w:color w:val="auto"/>
        </w:rPr>
      </w:pPr>
      <w:r>
        <w:rPr>
          <w:rFonts w:ascii="Arial" w:cs="Arial" w:eastAsia="Arial" w:hAnsi="Arial"/>
          <w:sz w:val="12"/>
          <w:szCs w:val="12"/>
          <w:color w:val="auto"/>
        </w:rPr>
        <w:t>A 5% change in the USD/EUR exchange rate would result in a ~$5m change in revenues</w:t>
      </w:r>
    </w:p>
    <w:p>
      <w:pPr>
        <w:ind w:left="640" w:hanging="216"/>
        <w:spacing w:after="0"/>
        <w:tabs>
          <w:tab w:leader="none" w:pos="640" w:val="left"/>
        </w:tabs>
        <w:numPr>
          <w:ilvl w:val="0"/>
          <w:numId w:val="28"/>
        </w:numPr>
        <w:rPr>
          <w:rFonts w:ascii="Courier New" w:cs="Courier New" w:eastAsia="Courier New" w:hAnsi="Courier New"/>
          <w:sz w:val="12"/>
          <w:szCs w:val="12"/>
          <w:color w:val="auto"/>
        </w:rPr>
      </w:pPr>
      <w:r>
        <w:rPr>
          <w:rFonts w:ascii="Arial" w:cs="Arial" w:eastAsia="Arial" w:hAnsi="Arial"/>
          <w:sz w:val="12"/>
          <w:szCs w:val="12"/>
          <w:color w:val="auto"/>
        </w:rPr>
        <w:t xml:space="preserve">A 5% change in the USD/EUR </w:t>
      </w:r>
      <w:r>
        <w:rPr>
          <w:rFonts w:ascii="Arial" w:cs="Arial" w:eastAsia="Arial" w:hAnsi="Arial"/>
          <w:sz w:val="12"/>
          <w:szCs w:val="12"/>
          <w:b w:val="1"/>
          <w:bCs w:val="1"/>
          <w:color w:val="auto"/>
        </w:rPr>
        <w:t>and</w:t>
      </w:r>
      <w:r>
        <w:rPr>
          <w:rFonts w:ascii="Arial" w:cs="Arial" w:eastAsia="Arial" w:hAnsi="Arial"/>
          <w:sz w:val="12"/>
          <w:szCs w:val="12"/>
          <w:color w:val="auto"/>
        </w:rPr>
        <w:t xml:space="preserve"> the USD/ILS exchange rate would result in a ~$11m change 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Appendix 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 Segment information: Operational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7178040" cy="548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4864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800" w:type="dxa"/>
            <w:vAlign w:val="bottom"/>
            <w:shd w:val="clear" w:color="auto" w:fill="1764AC"/>
          </w:tcPr>
          <w:p>
            <w:pPr>
              <w:ind w:left="20"/>
              <w:spacing w:after="0"/>
              <w:rPr>
                <w:sz w:val="20"/>
                <w:szCs w:val="20"/>
                <w:color w:val="auto"/>
              </w:rPr>
            </w:pPr>
            <w:r>
              <w:rPr>
                <w:rFonts w:ascii="Arial" w:cs="Arial" w:eastAsia="Arial" w:hAnsi="Arial"/>
                <w:sz w:val="11"/>
                <w:szCs w:val="11"/>
                <w:i w:val="1"/>
                <w:iCs w:val="1"/>
                <w:color w:val="FFFFFF"/>
              </w:rPr>
              <w:t>($ thousands)</w:t>
            </w:r>
          </w:p>
        </w:tc>
        <w:tc>
          <w:tcPr>
            <w:tcW w:w="660" w:type="dxa"/>
            <w:vAlign w:val="bottom"/>
            <w:shd w:val="clear" w:color="auto" w:fill="1764AC"/>
          </w:tcPr>
          <w:p>
            <w:pPr>
              <w:spacing w:after="0"/>
              <w:rPr>
                <w:sz w:val="14"/>
                <w:szCs w:val="14"/>
                <w:color w:val="auto"/>
              </w:rPr>
            </w:pPr>
          </w:p>
        </w:tc>
        <w:tc>
          <w:tcPr>
            <w:tcW w:w="700" w:type="dxa"/>
            <w:vAlign w:val="bottom"/>
            <w:tcBorders>
              <w:right w:val="single" w:sz="8" w:color="1764AC"/>
            </w:tcBorders>
            <w:shd w:val="clear" w:color="auto" w:fill="1764AC"/>
          </w:tcPr>
          <w:p>
            <w:pPr>
              <w:spacing w:after="0"/>
              <w:rPr>
                <w:sz w:val="14"/>
                <w:szCs w:val="14"/>
                <w:color w:val="auto"/>
              </w:rPr>
            </w:pPr>
          </w:p>
        </w:tc>
        <w:tc>
          <w:tcPr>
            <w:tcW w:w="480" w:type="dxa"/>
            <w:vAlign w:val="bottom"/>
            <w:shd w:val="clear" w:color="auto" w:fill="1764AC"/>
          </w:tcPr>
          <w:p>
            <w:pPr>
              <w:spacing w:after="0"/>
              <w:rPr>
                <w:sz w:val="14"/>
                <w:szCs w:val="14"/>
                <w:color w:val="auto"/>
              </w:rPr>
            </w:pPr>
          </w:p>
        </w:tc>
        <w:tc>
          <w:tcPr>
            <w:tcW w:w="780" w:type="dxa"/>
            <w:vAlign w:val="bottom"/>
            <w:shd w:val="clear" w:color="auto" w:fill="1764AC"/>
          </w:tcPr>
          <w:p>
            <w:pPr>
              <w:spacing w:after="0"/>
              <w:rPr>
                <w:sz w:val="14"/>
                <w:szCs w:val="14"/>
                <w:color w:val="auto"/>
              </w:rPr>
            </w:pPr>
          </w:p>
        </w:tc>
        <w:tc>
          <w:tcPr>
            <w:tcW w:w="1460" w:type="dxa"/>
            <w:vAlign w:val="bottom"/>
            <w:gridSpan w:val="2"/>
            <w:shd w:val="clear" w:color="auto" w:fill="1764AC"/>
          </w:tcPr>
          <w:p>
            <w:pPr>
              <w:jc w:val="center"/>
              <w:spacing w:after="0"/>
              <w:rPr>
                <w:sz w:val="20"/>
                <w:szCs w:val="20"/>
                <w:color w:val="auto"/>
              </w:rPr>
            </w:pPr>
            <w:r>
              <w:rPr>
                <w:rFonts w:ascii="Arial" w:cs="Arial" w:eastAsia="Arial" w:hAnsi="Arial"/>
                <w:sz w:val="11"/>
                <w:szCs w:val="11"/>
                <w:b w:val="1"/>
                <w:bCs w:val="1"/>
                <w:color w:val="FFFFFF"/>
                <w:w w:val="97"/>
              </w:rPr>
              <w:t>6 Months ended June 30</w:t>
            </w:r>
          </w:p>
        </w:tc>
        <w:tc>
          <w:tcPr>
            <w:tcW w:w="620" w:type="dxa"/>
            <w:vAlign w:val="bottom"/>
            <w:shd w:val="clear" w:color="auto" w:fill="1764AC"/>
          </w:tcPr>
          <w:p>
            <w:pPr>
              <w:spacing w:after="0"/>
              <w:rPr>
                <w:sz w:val="14"/>
                <w:szCs w:val="14"/>
                <w:color w:val="auto"/>
              </w:rPr>
            </w:pPr>
          </w:p>
        </w:tc>
        <w:tc>
          <w:tcPr>
            <w:tcW w:w="680" w:type="dxa"/>
            <w:vAlign w:val="bottom"/>
            <w:tcBorders>
              <w:right w:val="single" w:sz="8" w:color="1764AC"/>
            </w:tcBorders>
            <w:shd w:val="clear" w:color="auto" w:fill="1764AC"/>
          </w:tcPr>
          <w:p>
            <w:pPr>
              <w:spacing w:after="0"/>
              <w:rPr>
                <w:sz w:val="14"/>
                <w:szCs w:val="14"/>
                <w:color w:val="auto"/>
              </w:rPr>
            </w:pPr>
          </w:p>
        </w:tc>
        <w:tc>
          <w:tcPr>
            <w:tcW w:w="500" w:type="dxa"/>
            <w:vAlign w:val="bottom"/>
            <w:shd w:val="clear" w:color="auto" w:fill="1764AC"/>
          </w:tcPr>
          <w:p>
            <w:pPr>
              <w:spacing w:after="0"/>
              <w:rPr>
                <w:sz w:val="14"/>
                <w:szCs w:val="14"/>
                <w:color w:val="auto"/>
              </w:rPr>
            </w:pPr>
          </w:p>
        </w:tc>
        <w:tc>
          <w:tcPr>
            <w:tcW w:w="780" w:type="dxa"/>
            <w:vAlign w:val="bottom"/>
            <w:shd w:val="clear" w:color="auto" w:fill="1764AC"/>
          </w:tcPr>
          <w:p>
            <w:pPr>
              <w:spacing w:after="0"/>
              <w:rPr>
                <w:sz w:val="14"/>
                <w:szCs w:val="14"/>
                <w:color w:val="auto"/>
              </w:rPr>
            </w:pPr>
          </w:p>
        </w:tc>
        <w:tc>
          <w:tcPr>
            <w:tcW w:w="1500" w:type="dxa"/>
            <w:vAlign w:val="bottom"/>
            <w:gridSpan w:val="2"/>
            <w:shd w:val="clear" w:color="auto" w:fill="1764AC"/>
          </w:tcPr>
          <w:p>
            <w:pPr>
              <w:jc w:val="center"/>
              <w:ind w:left="6"/>
              <w:spacing w:after="0"/>
              <w:rPr>
                <w:sz w:val="20"/>
                <w:szCs w:val="20"/>
                <w:color w:val="auto"/>
              </w:rPr>
            </w:pPr>
            <w:r>
              <w:rPr>
                <w:rFonts w:ascii="Arial" w:cs="Arial" w:eastAsia="Arial" w:hAnsi="Arial"/>
                <w:sz w:val="11"/>
                <w:szCs w:val="11"/>
                <w:b w:val="1"/>
                <w:bCs w:val="1"/>
                <w:color w:val="FFFFFF"/>
                <w:w w:val="97"/>
              </w:rPr>
              <w:t>3 Months ended June 30</w:t>
            </w:r>
          </w:p>
        </w:tc>
        <w:tc>
          <w:tcPr>
            <w:tcW w:w="860" w:type="dxa"/>
            <w:vAlign w:val="bottom"/>
            <w:shd w:val="clear" w:color="auto" w:fill="1764AC"/>
          </w:tcPr>
          <w:p>
            <w:pPr>
              <w:spacing w:after="0"/>
              <w:rPr>
                <w:sz w:val="14"/>
                <w:szCs w:val="14"/>
                <w:color w:val="auto"/>
              </w:rPr>
            </w:pPr>
          </w:p>
        </w:tc>
        <w:tc>
          <w:tcPr>
            <w:tcW w:w="480" w:type="dxa"/>
            <w:vAlign w:val="bottom"/>
            <w:shd w:val="clear" w:color="auto" w:fill="1764A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800" w:type="dxa"/>
            <w:vAlign w:val="bottom"/>
            <w:shd w:val="clear" w:color="auto" w:fill="1764AC"/>
          </w:tcPr>
          <w:p>
            <w:pPr>
              <w:spacing w:after="0"/>
              <w:rPr>
                <w:sz w:val="17"/>
                <w:szCs w:val="17"/>
                <w:color w:val="auto"/>
              </w:rPr>
            </w:pPr>
          </w:p>
        </w:tc>
        <w:tc>
          <w:tcPr>
            <w:tcW w:w="660" w:type="dxa"/>
            <w:vAlign w:val="bottom"/>
            <w:shd w:val="clear" w:color="auto" w:fill="1764AC"/>
          </w:tcPr>
          <w:p>
            <w:pPr>
              <w:jc w:val="center"/>
              <w:spacing w:after="0"/>
              <w:rPr>
                <w:sz w:val="20"/>
                <w:szCs w:val="20"/>
                <w:color w:val="auto"/>
              </w:rPr>
            </w:pPr>
            <w:r>
              <w:rPr>
                <w:rFonts w:ascii="Arial" w:cs="Arial" w:eastAsia="Arial" w:hAnsi="Arial"/>
                <w:sz w:val="11"/>
                <w:szCs w:val="11"/>
                <w:color w:val="FFFFFF"/>
                <w:w w:val="97"/>
              </w:rPr>
              <w:t>Installed</w:t>
            </w:r>
          </w:p>
        </w:tc>
        <w:tc>
          <w:tcPr>
            <w:tcW w:w="700" w:type="dxa"/>
            <w:vAlign w:val="bottom"/>
            <w:tcBorders>
              <w:right w:val="single" w:sz="8" w:color="1764AC"/>
            </w:tcBorders>
            <w:shd w:val="clear" w:color="auto" w:fill="1764AC"/>
          </w:tcPr>
          <w:p>
            <w:pPr>
              <w:jc w:val="center"/>
              <w:spacing w:after="0"/>
              <w:rPr>
                <w:sz w:val="20"/>
                <w:szCs w:val="20"/>
                <w:color w:val="auto"/>
              </w:rPr>
            </w:pPr>
            <w:r>
              <w:rPr>
                <w:rFonts w:ascii="Arial" w:cs="Arial" w:eastAsia="Arial" w:hAnsi="Arial"/>
                <w:sz w:val="11"/>
                <w:szCs w:val="11"/>
                <w:color w:val="FFFFFF"/>
                <w:w w:val="97"/>
              </w:rPr>
              <w:t>Installed</w:t>
            </w:r>
          </w:p>
        </w:tc>
        <w:tc>
          <w:tcPr>
            <w:tcW w:w="1260" w:type="dxa"/>
            <w:vAlign w:val="bottom"/>
            <w:gridSpan w:val="2"/>
            <w:vMerge w:val="restart"/>
            <w:shd w:val="clear" w:color="auto" w:fill="1764AC"/>
          </w:tcPr>
          <w:p>
            <w:pPr>
              <w:jc w:val="center"/>
              <w:ind w:left="26"/>
              <w:spacing w:after="0"/>
              <w:rPr>
                <w:sz w:val="20"/>
                <w:szCs w:val="20"/>
                <w:color w:val="auto"/>
              </w:rPr>
            </w:pPr>
            <w:r>
              <w:rPr>
                <w:rFonts w:ascii="Arial" w:cs="Arial" w:eastAsia="Arial" w:hAnsi="Arial"/>
                <w:sz w:val="11"/>
                <w:szCs w:val="11"/>
                <w:color w:val="FFFFFF"/>
                <w:w w:val="99"/>
              </w:rPr>
              <w:t>Generation</w:t>
            </w:r>
          </w:p>
        </w:tc>
        <w:tc>
          <w:tcPr>
            <w:tcW w:w="1460" w:type="dxa"/>
            <w:vAlign w:val="bottom"/>
            <w:gridSpan w:val="2"/>
            <w:vMerge w:val="restart"/>
            <w:shd w:val="clear" w:color="auto" w:fill="1764AC"/>
          </w:tcPr>
          <w:p>
            <w:pPr>
              <w:jc w:val="center"/>
              <w:spacing w:after="0"/>
              <w:rPr>
                <w:sz w:val="20"/>
                <w:szCs w:val="20"/>
                <w:color w:val="auto"/>
              </w:rPr>
            </w:pPr>
            <w:r>
              <w:rPr>
                <w:rFonts w:ascii="Arial" w:cs="Arial" w:eastAsia="Arial" w:hAnsi="Arial"/>
                <w:sz w:val="11"/>
                <w:szCs w:val="11"/>
                <w:color w:val="FFFFFF"/>
                <w:w w:val="98"/>
              </w:rPr>
              <w:t>Revenues and</w:t>
            </w:r>
          </w:p>
        </w:tc>
        <w:tc>
          <w:tcPr>
            <w:tcW w:w="1300" w:type="dxa"/>
            <w:vAlign w:val="bottom"/>
            <w:tcBorders>
              <w:right w:val="single" w:sz="8" w:color="1764AC"/>
            </w:tcBorders>
            <w:gridSpan w:val="2"/>
            <w:vMerge w:val="restart"/>
            <w:shd w:val="clear" w:color="auto" w:fill="1764AC"/>
          </w:tcPr>
          <w:p>
            <w:pPr>
              <w:jc w:val="center"/>
              <w:ind w:right="6"/>
              <w:spacing w:after="0"/>
              <w:rPr>
                <w:sz w:val="20"/>
                <w:szCs w:val="20"/>
                <w:color w:val="auto"/>
              </w:rPr>
            </w:pPr>
            <w:r>
              <w:rPr>
                <w:rFonts w:ascii="Arial" w:cs="Arial" w:eastAsia="Arial" w:hAnsi="Arial"/>
                <w:sz w:val="11"/>
                <w:szCs w:val="11"/>
                <w:color w:val="FFFFFF"/>
                <w:w w:val="97"/>
              </w:rPr>
              <w:t>Segment Adjusted</w:t>
            </w:r>
          </w:p>
        </w:tc>
        <w:tc>
          <w:tcPr>
            <w:tcW w:w="1280" w:type="dxa"/>
            <w:vAlign w:val="bottom"/>
            <w:gridSpan w:val="2"/>
            <w:vMerge w:val="restart"/>
            <w:shd w:val="clear" w:color="auto" w:fill="1764AC"/>
          </w:tcPr>
          <w:p>
            <w:pPr>
              <w:jc w:val="center"/>
              <w:ind w:left="26"/>
              <w:spacing w:after="0"/>
              <w:rPr>
                <w:sz w:val="20"/>
                <w:szCs w:val="20"/>
                <w:color w:val="auto"/>
              </w:rPr>
            </w:pPr>
            <w:r>
              <w:rPr>
                <w:rFonts w:ascii="Arial" w:cs="Arial" w:eastAsia="Arial" w:hAnsi="Arial"/>
                <w:sz w:val="11"/>
                <w:szCs w:val="11"/>
                <w:color w:val="FFFFFF"/>
                <w:w w:val="95"/>
              </w:rPr>
              <w:t>Generation</w:t>
            </w:r>
          </w:p>
        </w:tc>
        <w:tc>
          <w:tcPr>
            <w:tcW w:w="1500" w:type="dxa"/>
            <w:vAlign w:val="bottom"/>
            <w:gridSpan w:val="2"/>
            <w:vMerge w:val="restart"/>
            <w:shd w:val="clear" w:color="auto" w:fill="1764AC"/>
          </w:tcPr>
          <w:p>
            <w:pPr>
              <w:jc w:val="center"/>
              <w:spacing w:after="0"/>
              <w:rPr>
                <w:sz w:val="20"/>
                <w:szCs w:val="20"/>
                <w:color w:val="auto"/>
              </w:rPr>
            </w:pPr>
            <w:r>
              <w:rPr>
                <w:rFonts w:ascii="Arial" w:cs="Arial" w:eastAsia="Arial" w:hAnsi="Arial"/>
                <w:sz w:val="11"/>
                <w:szCs w:val="11"/>
                <w:color w:val="FFFFFF"/>
                <w:w w:val="97"/>
              </w:rPr>
              <w:t>Reported Revenue</w:t>
            </w:r>
          </w:p>
        </w:tc>
        <w:tc>
          <w:tcPr>
            <w:tcW w:w="1340" w:type="dxa"/>
            <w:vAlign w:val="bottom"/>
            <w:gridSpan w:val="2"/>
            <w:vMerge w:val="restart"/>
            <w:shd w:val="clear" w:color="auto" w:fill="1764AC"/>
          </w:tcPr>
          <w:p>
            <w:pPr>
              <w:jc w:val="center"/>
              <w:ind w:right="6"/>
              <w:spacing w:after="0"/>
              <w:rPr>
                <w:sz w:val="20"/>
                <w:szCs w:val="20"/>
                <w:color w:val="auto"/>
              </w:rPr>
            </w:pPr>
            <w:r>
              <w:rPr>
                <w:rFonts w:ascii="Arial" w:cs="Arial" w:eastAsia="Arial" w:hAnsi="Arial"/>
                <w:sz w:val="11"/>
                <w:szCs w:val="11"/>
                <w:color w:val="FFFFFF"/>
                <w:w w:val="97"/>
              </w:rPr>
              <w:t>Segment Adjusted</w:t>
            </w:r>
          </w:p>
        </w:tc>
        <w:tc>
          <w:tcPr>
            <w:tcW w:w="0" w:type="dxa"/>
            <w:vAlign w:val="bottom"/>
          </w:tcPr>
          <w:p>
            <w:pPr>
              <w:spacing w:after="0"/>
              <w:rPr>
                <w:sz w:val="1"/>
                <w:szCs w:val="1"/>
                <w:color w:val="auto"/>
              </w:rPr>
            </w:pPr>
          </w:p>
        </w:tc>
      </w:tr>
      <w:tr>
        <w:trPr>
          <w:trHeight w:val="54"/>
        </w:trPr>
        <w:tc>
          <w:tcPr>
            <w:tcW w:w="1800" w:type="dxa"/>
            <w:vAlign w:val="bottom"/>
            <w:vMerge w:val="restart"/>
            <w:shd w:val="clear" w:color="auto" w:fill="1764AC"/>
          </w:tcPr>
          <w:p>
            <w:pPr>
              <w:ind w:left="120"/>
              <w:spacing w:after="0"/>
              <w:rPr>
                <w:sz w:val="20"/>
                <w:szCs w:val="20"/>
                <w:color w:val="auto"/>
              </w:rPr>
            </w:pPr>
            <w:r>
              <w:rPr>
                <w:rFonts w:ascii="Arial" w:cs="Arial" w:eastAsia="Arial" w:hAnsi="Arial"/>
                <w:sz w:val="11"/>
                <w:szCs w:val="11"/>
                <w:b w:val="1"/>
                <w:bCs w:val="1"/>
                <w:color w:val="FFFFFF"/>
              </w:rPr>
              <w:t>Operational Project Segments</w:t>
            </w: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1"/>
                <w:szCs w:val="11"/>
                <w:color w:val="FFFFFF"/>
                <w:w w:val="98"/>
              </w:rPr>
              <w:t>Capacity</w:t>
            </w:r>
          </w:p>
        </w:tc>
        <w:tc>
          <w:tcPr>
            <w:tcW w:w="70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1"/>
                <w:szCs w:val="11"/>
                <w:color w:val="FFFFFF"/>
                <w:w w:val="93"/>
              </w:rPr>
              <w:t>Storage</w:t>
            </w:r>
          </w:p>
        </w:tc>
        <w:tc>
          <w:tcPr>
            <w:tcW w:w="1260" w:type="dxa"/>
            <w:vAlign w:val="bottom"/>
            <w:gridSpan w:val="2"/>
            <w:vMerge w:val="continue"/>
            <w:shd w:val="clear" w:color="auto" w:fill="1764AC"/>
          </w:tcPr>
          <w:p>
            <w:pPr>
              <w:spacing w:after="0"/>
              <w:rPr>
                <w:sz w:val="4"/>
                <w:szCs w:val="4"/>
                <w:color w:val="auto"/>
              </w:rPr>
            </w:pPr>
          </w:p>
        </w:tc>
        <w:tc>
          <w:tcPr>
            <w:tcW w:w="1460" w:type="dxa"/>
            <w:vAlign w:val="bottom"/>
            <w:gridSpan w:val="2"/>
            <w:vMerge w:val="continue"/>
            <w:shd w:val="clear" w:color="auto" w:fill="1764AC"/>
          </w:tcPr>
          <w:p>
            <w:pPr>
              <w:spacing w:after="0"/>
              <w:rPr>
                <w:sz w:val="4"/>
                <w:szCs w:val="4"/>
                <w:color w:val="auto"/>
              </w:rPr>
            </w:pPr>
          </w:p>
        </w:tc>
        <w:tc>
          <w:tcPr>
            <w:tcW w:w="1300" w:type="dxa"/>
            <w:vAlign w:val="bottom"/>
            <w:tcBorders>
              <w:right w:val="single" w:sz="8" w:color="1764AC"/>
            </w:tcBorders>
            <w:gridSpan w:val="2"/>
            <w:vMerge w:val="continue"/>
            <w:shd w:val="clear" w:color="auto" w:fill="1764AC"/>
          </w:tcPr>
          <w:p>
            <w:pPr>
              <w:spacing w:after="0"/>
              <w:rPr>
                <w:sz w:val="4"/>
                <w:szCs w:val="4"/>
                <w:color w:val="auto"/>
              </w:rPr>
            </w:pPr>
          </w:p>
        </w:tc>
        <w:tc>
          <w:tcPr>
            <w:tcW w:w="1280" w:type="dxa"/>
            <w:vAlign w:val="bottom"/>
            <w:gridSpan w:val="2"/>
            <w:vMerge w:val="continue"/>
            <w:shd w:val="clear" w:color="auto" w:fill="1764AC"/>
          </w:tcPr>
          <w:p>
            <w:pPr>
              <w:spacing w:after="0"/>
              <w:rPr>
                <w:sz w:val="4"/>
                <w:szCs w:val="4"/>
                <w:color w:val="auto"/>
              </w:rPr>
            </w:pPr>
          </w:p>
        </w:tc>
        <w:tc>
          <w:tcPr>
            <w:tcW w:w="1500" w:type="dxa"/>
            <w:vAlign w:val="bottom"/>
            <w:gridSpan w:val="2"/>
            <w:vMerge w:val="continue"/>
            <w:shd w:val="clear" w:color="auto" w:fill="1764AC"/>
          </w:tcPr>
          <w:p>
            <w:pPr>
              <w:spacing w:after="0"/>
              <w:rPr>
                <w:sz w:val="4"/>
                <w:szCs w:val="4"/>
                <w:color w:val="auto"/>
              </w:rPr>
            </w:pPr>
          </w:p>
        </w:tc>
        <w:tc>
          <w:tcPr>
            <w:tcW w:w="1340" w:type="dxa"/>
            <w:vAlign w:val="bottom"/>
            <w:gridSpan w:val="2"/>
            <w:vMerge w:val="continue"/>
            <w:shd w:val="clear" w:color="auto" w:fill="1764AC"/>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shd w:val="clear" w:color="auto" w:fill="1764AC"/>
          </w:tcPr>
          <w:p>
            <w:pPr>
              <w:spacing w:after="0"/>
              <w:rPr>
                <w:sz w:val="7"/>
                <w:szCs w:val="7"/>
                <w:color w:val="auto"/>
              </w:rPr>
            </w:pPr>
          </w:p>
        </w:tc>
        <w:tc>
          <w:tcPr>
            <w:tcW w:w="660" w:type="dxa"/>
            <w:vAlign w:val="bottom"/>
            <w:vMerge w:val="continue"/>
            <w:shd w:val="clear" w:color="auto" w:fill="1764AC"/>
          </w:tcPr>
          <w:p>
            <w:pPr>
              <w:spacing w:after="0"/>
              <w:rPr>
                <w:sz w:val="7"/>
                <w:szCs w:val="7"/>
                <w:color w:val="auto"/>
              </w:rPr>
            </w:pPr>
          </w:p>
        </w:tc>
        <w:tc>
          <w:tcPr>
            <w:tcW w:w="700" w:type="dxa"/>
            <w:vAlign w:val="bottom"/>
            <w:tcBorders>
              <w:right w:val="single" w:sz="8" w:color="1764AC"/>
            </w:tcBorders>
            <w:vMerge w:val="continue"/>
            <w:shd w:val="clear" w:color="auto" w:fill="1764AC"/>
          </w:tcPr>
          <w:p>
            <w:pPr>
              <w:spacing w:after="0"/>
              <w:rPr>
                <w:sz w:val="7"/>
                <w:szCs w:val="7"/>
                <w:color w:val="auto"/>
              </w:rPr>
            </w:pPr>
          </w:p>
        </w:tc>
        <w:tc>
          <w:tcPr>
            <w:tcW w:w="480" w:type="dxa"/>
            <w:vAlign w:val="bottom"/>
            <w:shd w:val="clear" w:color="auto" w:fill="1764AC"/>
          </w:tcPr>
          <w:p>
            <w:pPr>
              <w:spacing w:after="0"/>
              <w:rPr>
                <w:sz w:val="7"/>
                <w:szCs w:val="7"/>
                <w:color w:val="auto"/>
              </w:rPr>
            </w:pPr>
          </w:p>
        </w:tc>
        <w:tc>
          <w:tcPr>
            <w:tcW w:w="780" w:type="dxa"/>
            <w:vAlign w:val="bottom"/>
            <w:vMerge w:val="restart"/>
            <w:shd w:val="clear" w:color="auto" w:fill="1764AC"/>
          </w:tcPr>
          <w:p>
            <w:pPr>
              <w:jc w:val="center"/>
              <w:ind w:right="366"/>
              <w:spacing w:after="0"/>
              <w:rPr>
                <w:sz w:val="20"/>
                <w:szCs w:val="20"/>
                <w:color w:val="auto"/>
              </w:rPr>
            </w:pPr>
            <w:r>
              <w:rPr>
                <w:rFonts w:ascii="Arial" w:cs="Arial" w:eastAsia="Arial" w:hAnsi="Arial"/>
                <w:sz w:val="11"/>
                <w:szCs w:val="11"/>
                <w:color w:val="FFFFFF"/>
                <w:w w:val="98"/>
              </w:rPr>
              <w:t>(GWh)</w:t>
            </w:r>
          </w:p>
        </w:tc>
        <w:tc>
          <w:tcPr>
            <w:tcW w:w="1460" w:type="dxa"/>
            <w:vAlign w:val="bottom"/>
            <w:gridSpan w:val="2"/>
            <w:vMerge w:val="restart"/>
            <w:shd w:val="clear" w:color="auto" w:fill="1764AC"/>
          </w:tcPr>
          <w:p>
            <w:pPr>
              <w:jc w:val="center"/>
              <w:spacing w:after="0"/>
              <w:rPr>
                <w:sz w:val="20"/>
                <w:szCs w:val="20"/>
                <w:color w:val="auto"/>
              </w:rPr>
            </w:pPr>
            <w:r>
              <w:rPr>
                <w:rFonts w:ascii="Arial" w:cs="Arial" w:eastAsia="Arial" w:hAnsi="Arial"/>
                <w:sz w:val="11"/>
                <w:szCs w:val="11"/>
                <w:color w:val="FFFFFF"/>
                <w:w w:val="95"/>
              </w:rPr>
              <w:t>income</w:t>
            </w:r>
          </w:p>
        </w:tc>
        <w:tc>
          <w:tcPr>
            <w:tcW w:w="1300" w:type="dxa"/>
            <w:vAlign w:val="bottom"/>
            <w:tcBorders>
              <w:right w:val="single" w:sz="8" w:color="1764AC"/>
            </w:tcBorders>
            <w:gridSpan w:val="2"/>
            <w:vMerge w:val="restart"/>
            <w:shd w:val="clear" w:color="auto" w:fill="1764AC"/>
          </w:tcPr>
          <w:p>
            <w:pPr>
              <w:jc w:val="center"/>
              <w:ind w:right="6"/>
              <w:spacing w:after="0"/>
              <w:rPr>
                <w:sz w:val="20"/>
                <w:szCs w:val="20"/>
                <w:color w:val="auto"/>
              </w:rPr>
            </w:pPr>
            <w:r>
              <w:rPr>
                <w:rFonts w:ascii="Arial" w:cs="Arial" w:eastAsia="Arial" w:hAnsi="Arial"/>
                <w:sz w:val="11"/>
                <w:szCs w:val="11"/>
                <w:color w:val="FFFFFF"/>
                <w:w w:val="99"/>
              </w:rPr>
              <w:t>EBITDA*</w:t>
            </w:r>
          </w:p>
        </w:tc>
        <w:tc>
          <w:tcPr>
            <w:tcW w:w="500" w:type="dxa"/>
            <w:vAlign w:val="bottom"/>
            <w:shd w:val="clear" w:color="auto" w:fill="1764AC"/>
          </w:tcPr>
          <w:p>
            <w:pPr>
              <w:spacing w:after="0"/>
              <w:rPr>
                <w:sz w:val="7"/>
                <w:szCs w:val="7"/>
                <w:color w:val="auto"/>
              </w:rPr>
            </w:pPr>
          </w:p>
        </w:tc>
        <w:tc>
          <w:tcPr>
            <w:tcW w:w="780" w:type="dxa"/>
            <w:vAlign w:val="bottom"/>
            <w:vMerge w:val="restart"/>
            <w:shd w:val="clear" w:color="auto" w:fill="1764AC"/>
          </w:tcPr>
          <w:p>
            <w:pPr>
              <w:jc w:val="center"/>
              <w:ind w:right="366"/>
              <w:spacing w:after="0"/>
              <w:rPr>
                <w:sz w:val="20"/>
                <w:szCs w:val="20"/>
                <w:color w:val="auto"/>
              </w:rPr>
            </w:pPr>
            <w:r>
              <w:rPr>
                <w:rFonts w:ascii="Arial" w:cs="Arial" w:eastAsia="Arial" w:hAnsi="Arial"/>
                <w:sz w:val="11"/>
                <w:szCs w:val="11"/>
                <w:color w:val="FFFFFF"/>
                <w:w w:val="98"/>
              </w:rPr>
              <w:t>(GWh)</w:t>
            </w:r>
          </w:p>
        </w:tc>
        <w:tc>
          <w:tcPr>
            <w:tcW w:w="1500" w:type="dxa"/>
            <w:vAlign w:val="bottom"/>
            <w:gridSpan w:val="2"/>
            <w:vMerge w:val="continue"/>
            <w:shd w:val="clear" w:color="auto" w:fill="1764AC"/>
          </w:tcPr>
          <w:p>
            <w:pPr>
              <w:spacing w:after="0"/>
              <w:rPr>
                <w:sz w:val="7"/>
                <w:szCs w:val="7"/>
                <w:color w:val="auto"/>
              </w:rPr>
            </w:pPr>
          </w:p>
        </w:tc>
        <w:tc>
          <w:tcPr>
            <w:tcW w:w="860" w:type="dxa"/>
            <w:vAlign w:val="bottom"/>
            <w:vMerge w:val="restart"/>
            <w:shd w:val="clear" w:color="auto" w:fill="1764AC"/>
          </w:tcPr>
          <w:p>
            <w:pPr>
              <w:jc w:val="center"/>
              <w:ind w:left="366"/>
              <w:spacing w:after="0"/>
              <w:rPr>
                <w:sz w:val="20"/>
                <w:szCs w:val="20"/>
                <w:color w:val="auto"/>
              </w:rPr>
            </w:pPr>
            <w:r>
              <w:rPr>
                <w:rFonts w:ascii="Arial" w:cs="Arial" w:eastAsia="Arial" w:hAnsi="Arial"/>
                <w:sz w:val="11"/>
                <w:szCs w:val="11"/>
                <w:color w:val="FFFFFF"/>
                <w:w w:val="99"/>
              </w:rPr>
              <w:t>EBITDA*</w:t>
            </w:r>
          </w:p>
        </w:tc>
        <w:tc>
          <w:tcPr>
            <w:tcW w:w="480" w:type="dxa"/>
            <w:vAlign w:val="bottom"/>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800" w:type="dxa"/>
            <w:vAlign w:val="bottom"/>
            <w:shd w:val="clear" w:color="auto" w:fill="1764AC"/>
          </w:tcPr>
          <w:p>
            <w:pPr>
              <w:spacing w:after="0"/>
              <w:rPr>
                <w:sz w:val="5"/>
                <w:szCs w:val="5"/>
                <w:color w:val="auto"/>
              </w:rPr>
            </w:pP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1"/>
                <w:szCs w:val="11"/>
                <w:color w:val="FFFFFF"/>
                <w:w w:val="96"/>
              </w:rPr>
              <w:t>(MW)</w:t>
            </w:r>
          </w:p>
        </w:tc>
        <w:tc>
          <w:tcPr>
            <w:tcW w:w="70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1"/>
                <w:szCs w:val="11"/>
                <w:color w:val="FFFFFF"/>
                <w:w w:val="96"/>
              </w:rPr>
              <w:t>(MWh)</w:t>
            </w:r>
          </w:p>
        </w:tc>
        <w:tc>
          <w:tcPr>
            <w:tcW w:w="480" w:type="dxa"/>
            <w:vAlign w:val="bottom"/>
            <w:shd w:val="clear" w:color="auto" w:fill="1764AC"/>
          </w:tcPr>
          <w:p>
            <w:pPr>
              <w:spacing w:after="0"/>
              <w:rPr>
                <w:sz w:val="5"/>
                <w:szCs w:val="5"/>
                <w:color w:val="auto"/>
              </w:rPr>
            </w:pPr>
          </w:p>
        </w:tc>
        <w:tc>
          <w:tcPr>
            <w:tcW w:w="780" w:type="dxa"/>
            <w:vAlign w:val="bottom"/>
            <w:vMerge w:val="continue"/>
            <w:shd w:val="clear" w:color="auto" w:fill="1764AC"/>
          </w:tcPr>
          <w:p>
            <w:pPr>
              <w:spacing w:after="0"/>
              <w:rPr>
                <w:sz w:val="5"/>
                <w:szCs w:val="5"/>
                <w:color w:val="auto"/>
              </w:rPr>
            </w:pPr>
          </w:p>
        </w:tc>
        <w:tc>
          <w:tcPr>
            <w:tcW w:w="1460" w:type="dxa"/>
            <w:vAlign w:val="bottom"/>
            <w:gridSpan w:val="2"/>
            <w:vMerge w:val="continue"/>
            <w:shd w:val="clear" w:color="auto" w:fill="1764AC"/>
          </w:tcPr>
          <w:p>
            <w:pPr>
              <w:spacing w:after="0"/>
              <w:rPr>
                <w:sz w:val="5"/>
                <w:szCs w:val="5"/>
                <w:color w:val="auto"/>
              </w:rPr>
            </w:pPr>
          </w:p>
        </w:tc>
        <w:tc>
          <w:tcPr>
            <w:tcW w:w="1300" w:type="dxa"/>
            <w:vAlign w:val="bottom"/>
            <w:tcBorders>
              <w:right w:val="single" w:sz="8" w:color="1764AC"/>
            </w:tcBorders>
            <w:gridSpan w:val="2"/>
            <w:vMerge w:val="continue"/>
            <w:shd w:val="clear" w:color="auto" w:fill="1764AC"/>
          </w:tcPr>
          <w:p>
            <w:pPr>
              <w:spacing w:after="0"/>
              <w:rPr>
                <w:sz w:val="5"/>
                <w:szCs w:val="5"/>
                <w:color w:val="auto"/>
              </w:rPr>
            </w:pPr>
          </w:p>
        </w:tc>
        <w:tc>
          <w:tcPr>
            <w:tcW w:w="500" w:type="dxa"/>
            <w:vAlign w:val="bottom"/>
            <w:shd w:val="clear" w:color="auto" w:fill="1764AC"/>
          </w:tcPr>
          <w:p>
            <w:pPr>
              <w:spacing w:after="0"/>
              <w:rPr>
                <w:sz w:val="5"/>
                <w:szCs w:val="5"/>
                <w:color w:val="auto"/>
              </w:rPr>
            </w:pPr>
          </w:p>
        </w:tc>
        <w:tc>
          <w:tcPr>
            <w:tcW w:w="780" w:type="dxa"/>
            <w:vAlign w:val="bottom"/>
            <w:vMerge w:val="continue"/>
            <w:shd w:val="clear" w:color="auto" w:fill="1764AC"/>
          </w:tcPr>
          <w:p>
            <w:pPr>
              <w:spacing w:after="0"/>
              <w:rPr>
                <w:sz w:val="5"/>
                <w:szCs w:val="5"/>
                <w:color w:val="auto"/>
              </w:rPr>
            </w:pPr>
          </w:p>
        </w:tc>
        <w:tc>
          <w:tcPr>
            <w:tcW w:w="780" w:type="dxa"/>
            <w:vAlign w:val="bottom"/>
            <w:shd w:val="clear" w:color="auto" w:fill="1764AC"/>
          </w:tcPr>
          <w:p>
            <w:pPr>
              <w:spacing w:after="0"/>
              <w:rPr>
                <w:sz w:val="5"/>
                <w:szCs w:val="5"/>
                <w:color w:val="auto"/>
              </w:rPr>
            </w:pPr>
          </w:p>
        </w:tc>
        <w:tc>
          <w:tcPr>
            <w:tcW w:w="720" w:type="dxa"/>
            <w:vAlign w:val="bottom"/>
            <w:shd w:val="clear" w:color="auto" w:fill="1764AC"/>
          </w:tcPr>
          <w:p>
            <w:pPr>
              <w:spacing w:after="0"/>
              <w:rPr>
                <w:sz w:val="5"/>
                <w:szCs w:val="5"/>
                <w:color w:val="auto"/>
              </w:rPr>
            </w:pPr>
          </w:p>
        </w:tc>
        <w:tc>
          <w:tcPr>
            <w:tcW w:w="860" w:type="dxa"/>
            <w:vAlign w:val="bottom"/>
            <w:vMerge w:val="continue"/>
            <w:shd w:val="clear" w:color="auto" w:fill="1764AC"/>
          </w:tcPr>
          <w:p>
            <w:pPr>
              <w:spacing w:after="0"/>
              <w:rPr>
                <w:sz w:val="5"/>
                <w:szCs w:val="5"/>
                <w:color w:val="auto"/>
              </w:rPr>
            </w:pPr>
          </w:p>
        </w:tc>
        <w:tc>
          <w:tcPr>
            <w:tcW w:w="480" w:type="dxa"/>
            <w:vAlign w:val="bottom"/>
            <w:shd w:val="clear" w:color="auto" w:fill="1764A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00" w:type="dxa"/>
            <w:vAlign w:val="bottom"/>
            <w:shd w:val="clear" w:color="auto" w:fill="1764AC"/>
          </w:tcPr>
          <w:p>
            <w:pPr>
              <w:spacing w:after="0"/>
              <w:rPr>
                <w:sz w:val="7"/>
                <w:szCs w:val="7"/>
                <w:color w:val="auto"/>
              </w:rPr>
            </w:pPr>
          </w:p>
        </w:tc>
        <w:tc>
          <w:tcPr>
            <w:tcW w:w="660" w:type="dxa"/>
            <w:vAlign w:val="bottom"/>
            <w:vMerge w:val="continue"/>
            <w:shd w:val="clear" w:color="auto" w:fill="1764AC"/>
          </w:tcPr>
          <w:p>
            <w:pPr>
              <w:spacing w:after="0"/>
              <w:rPr>
                <w:sz w:val="7"/>
                <w:szCs w:val="7"/>
                <w:color w:val="auto"/>
              </w:rPr>
            </w:pPr>
          </w:p>
        </w:tc>
        <w:tc>
          <w:tcPr>
            <w:tcW w:w="700" w:type="dxa"/>
            <w:vAlign w:val="bottom"/>
            <w:tcBorders>
              <w:right w:val="single" w:sz="8" w:color="1764AC"/>
            </w:tcBorders>
            <w:vMerge w:val="continue"/>
            <w:shd w:val="clear" w:color="auto" w:fill="1764AC"/>
          </w:tcPr>
          <w:p>
            <w:pPr>
              <w:spacing w:after="0"/>
              <w:rPr>
                <w:sz w:val="7"/>
                <w:szCs w:val="7"/>
                <w:color w:val="auto"/>
              </w:rPr>
            </w:pPr>
          </w:p>
        </w:tc>
        <w:tc>
          <w:tcPr>
            <w:tcW w:w="480" w:type="dxa"/>
            <w:vAlign w:val="bottom"/>
            <w:shd w:val="clear" w:color="auto" w:fill="1764AC"/>
          </w:tcPr>
          <w:p>
            <w:pPr>
              <w:spacing w:after="0"/>
              <w:rPr>
                <w:sz w:val="7"/>
                <w:szCs w:val="7"/>
                <w:color w:val="auto"/>
              </w:rPr>
            </w:pPr>
          </w:p>
        </w:tc>
        <w:tc>
          <w:tcPr>
            <w:tcW w:w="780" w:type="dxa"/>
            <w:vAlign w:val="bottom"/>
            <w:shd w:val="clear" w:color="auto" w:fill="1764AC"/>
          </w:tcPr>
          <w:p>
            <w:pPr>
              <w:spacing w:after="0"/>
              <w:rPr>
                <w:sz w:val="7"/>
                <w:szCs w:val="7"/>
                <w:color w:val="auto"/>
              </w:rPr>
            </w:pPr>
          </w:p>
        </w:tc>
        <w:tc>
          <w:tcPr>
            <w:tcW w:w="760" w:type="dxa"/>
            <w:vAlign w:val="bottom"/>
            <w:shd w:val="clear" w:color="auto" w:fill="1764AC"/>
          </w:tcPr>
          <w:p>
            <w:pPr>
              <w:spacing w:after="0"/>
              <w:rPr>
                <w:sz w:val="7"/>
                <w:szCs w:val="7"/>
                <w:color w:val="auto"/>
              </w:rPr>
            </w:pPr>
          </w:p>
        </w:tc>
        <w:tc>
          <w:tcPr>
            <w:tcW w:w="700" w:type="dxa"/>
            <w:vAlign w:val="bottom"/>
            <w:shd w:val="clear" w:color="auto" w:fill="1764AC"/>
          </w:tcPr>
          <w:p>
            <w:pPr>
              <w:spacing w:after="0"/>
              <w:rPr>
                <w:sz w:val="7"/>
                <w:szCs w:val="7"/>
                <w:color w:val="auto"/>
              </w:rPr>
            </w:pPr>
          </w:p>
        </w:tc>
        <w:tc>
          <w:tcPr>
            <w:tcW w:w="620" w:type="dxa"/>
            <w:vAlign w:val="bottom"/>
            <w:shd w:val="clear" w:color="auto" w:fill="1764AC"/>
          </w:tcPr>
          <w:p>
            <w:pPr>
              <w:spacing w:after="0"/>
              <w:rPr>
                <w:sz w:val="7"/>
                <w:szCs w:val="7"/>
                <w:color w:val="auto"/>
              </w:rPr>
            </w:pPr>
          </w:p>
        </w:tc>
        <w:tc>
          <w:tcPr>
            <w:tcW w:w="680" w:type="dxa"/>
            <w:vAlign w:val="bottom"/>
            <w:tcBorders>
              <w:right w:val="single" w:sz="8" w:color="1764AC"/>
            </w:tcBorders>
            <w:shd w:val="clear" w:color="auto" w:fill="1764AC"/>
          </w:tcPr>
          <w:p>
            <w:pPr>
              <w:spacing w:after="0"/>
              <w:rPr>
                <w:sz w:val="7"/>
                <w:szCs w:val="7"/>
                <w:color w:val="auto"/>
              </w:rPr>
            </w:pPr>
          </w:p>
        </w:tc>
        <w:tc>
          <w:tcPr>
            <w:tcW w:w="500" w:type="dxa"/>
            <w:vAlign w:val="bottom"/>
            <w:shd w:val="clear" w:color="auto" w:fill="1764AC"/>
          </w:tcPr>
          <w:p>
            <w:pPr>
              <w:spacing w:after="0"/>
              <w:rPr>
                <w:sz w:val="7"/>
                <w:szCs w:val="7"/>
                <w:color w:val="auto"/>
              </w:rPr>
            </w:pPr>
          </w:p>
        </w:tc>
        <w:tc>
          <w:tcPr>
            <w:tcW w:w="780" w:type="dxa"/>
            <w:vAlign w:val="bottom"/>
            <w:shd w:val="clear" w:color="auto" w:fill="1764AC"/>
          </w:tcPr>
          <w:p>
            <w:pPr>
              <w:spacing w:after="0"/>
              <w:rPr>
                <w:sz w:val="7"/>
                <w:szCs w:val="7"/>
                <w:color w:val="auto"/>
              </w:rPr>
            </w:pPr>
          </w:p>
        </w:tc>
        <w:tc>
          <w:tcPr>
            <w:tcW w:w="780" w:type="dxa"/>
            <w:vAlign w:val="bottom"/>
            <w:shd w:val="clear" w:color="auto" w:fill="1764AC"/>
          </w:tcPr>
          <w:p>
            <w:pPr>
              <w:spacing w:after="0"/>
              <w:rPr>
                <w:sz w:val="7"/>
                <w:szCs w:val="7"/>
                <w:color w:val="auto"/>
              </w:rPr>
            </w:pPr>
          </w:p>
        </w:tc>
        <w:tc>
          <w:tcPr>
            <w:tcW w:w="720" w:type="dxa"/>
            <w:vAlign w:val="bottom"/>
            <w:shd w:val="clear" w:color="auto" w:fill="1764AC"/>
          </w:tcPr>
          <w:p>
            <w:pPr>
              <w:spacing w:after="0"/>
              <w:rPr>
                <w:sz w:val="7"/>
                <w:szCs w:val="7"/>
                <w:color w:val="auto"/>
              </w:rPr>
            </w:pPr>
          </w:p>
        </w:tc>
        <w:tc>
          <w:tcPr>
            <w:tcW w:w="860" w:type="dxa"/>
            <w:vAlign w:val="bottom"/>
            <w:shd w:val="clear" w:color="auto" w:fill="1764AC"/>
          </w:tcPr>
          <w:p>
            <w:pPr>
              <w:spacing w:after="0"/>
              <w:rPr>
                <w:sz w:val="7"/>
                <w:szCs w:val="7"/>
                <w:color w:val="auto"/>
              </w:rPr>
            </w:pPr>
          </w:p>
        </w:tc>
        <w:tc>
          <w:tcPr>
            <w:tcW w:w="480" w:type="dxa"/>
            <w:vAlign w:val="bottom"/>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800" w:type="dxa"/>
            <w:vAlign w:val="bottom"/>
            <w:tcBorders>
              <w:bottom w:val="single" w:sz="8" w:color="1764AC"/>
            </w:tcBorders>
            <w:shd w:val="clear" w:color="auto" w:fill="1764AC"/>
          </w:tcPr>
          <w:p>
            <w:pPr>
              <w:spacing w:after="0"/>
              <w:rPr>
                <w:sz w:val="17"/>
                <w:szCs w:val="17"/>
                <w:color w:val="auto"/>
              </w:rPr>
            </w:pPr>
          </w:p>
        </w:tc>
        <w:tc>
          <w:tcPr>
            <w:tcW w:w="660" w:type="dxa"/>
            <w:vAlign w:val="bottom"/>
            <w:tcBorders>
              <w:bottom w:val="single" w:sz="8" w:color="1764AC"/>
            </w:tcBorders>
            <w:shd w:val="clear" w:color="auto" w:fill="1764AC"/>
          </w:tcPr>
          <w:p>
            <w:pPr>
              <w:spacing w:after="0"/>
              <w:rPr>
                <w:sz w:val="17"/>
                <w:szCs w:val="17"/>
                <w:color w:val="auto"/>
              </w:rPr>
            </w:pPr>
          </w:p>
        </w:tc>
        <w:tc>
          <w:tcPr>
            <w:tcW w:w="700" w:type="dxa"/>
            <w:vAlign w:val="bottom"/>
            <w:tcBorders>
              <w:bottom w:val="single" w:sz="8" w:color="1764AC"/>
              <w:right w:val="single" w:sz="8" w:color="1764AC"/>
            </w:tcBorders>
            <w:shd w:val="clear" w:color="auto" w:fill="1764AC"/>
          </w:tcPr>
          <w:p>
            <w:pPr>
              <w:spacing w:after="0"/>
              <w:rPr>
                <w:sz w:val="17"/>
                <w:szCs w:val="17"/>
                <w:color w:val="auto"/>
              </w:rPr>
            </w:pPr>
          </w:p>
        </w:tc>
        <w:tc>
          <w:tcPr>
            <w:tcW w:w="480" w:type="dxa"/>
            <w:vAlign w:val="bottom"/>
            <w:tcBorders>
              <w:bottom w:val="single" w:sz="8" w:color="1764AC"/>
            </w:tcBorders>
            <w:shd w:val="clear" w:color="auto" w:fill="1764AC"/>
          </w:tcPr>
          <w:p>
            <w:pPr>
              <w:jc w:val="center"/>
              <w:ind w:left="106"/>
              <w:spacing w:after="0"/>
              <w:rPr>
                <w:sz w:val="20"/>
                <w:szCs w:val="20"/>
                <w:color w:val="auto"/>
              </w:rPr>
            </w:pPr>
            <w:r>
              <w:rPr>
                <w:rFonts w:ascii="Arial" w:cs="Arial" w:eastAsia="Arial" w:hAnsi="Arial"/>
                <w:sz w:val="11"/>
                <w:szCs w:val="11"/>
                <w:color w:val="FFFFFF"/>
                <w:w w:val="97"/>
              </w:rPr>
              <w:t>2025</w:t>
            </w:r>
          </w:p>
        </w:tc>
        <w:tc>
          <w:tcPr>
            <w:tcW w:w="780" w:type="dxa"/>
            <w:vAlign w:val="bottom"/>
            <w:tcBorders>
              <w:bottom w:val="single" w:sz="8" w:color="1764AC"/>
            </w:tcBorders>
            <w:shd w:val="clear" w:color="auto" w:fill="1764AC"/>
          </w:tcPr>
          <w:p>
            <w:pPr>
              <w:jc w:val="center"/>
              <w:ind w:left="206"/>
              <w:spacing w:after="0"/>
              <w:rPr>
                <w:sz w:val="20"/>
                <w:szCs w:val="20"/>
                <w:color w:val="auto"/>
              </w:rPr>
            </w:pPr>
            <w:r>
              <w:rPr>
                <w:rFonts w:ascii="Arial" w:cs="Arial" w:eastAsia="Arial" w:hAnsi="Arial"/>
                <w:sz w:val="11"/>
                <w:szCs w:val="11"/>
                <w:color w:val="FFFFFF"/>
                <w:w w:val="97"/>
              </w:rPr>
              <w:t>2024</w:t>
            </w:r>
          </w:p>
        </w:tc>
        <w:tc>
          <w:tcPr>
            <w:tcW w:w="760" w:type="dxa"/>
            <w:vAlign w:val="bottom"/>
            <w:tcBorders>
              <w:bottom w:val="single" w:sz="8" w:color="1764AC"/>
            </w:tcBorders>
            <w:shd w:val="clear" w:color="auto" w:fill="1764AC"/>
          </w:tcPr>
          <w:p>
            <w:pPr>
              <w:jc w:val="center"/>
              <w:ind w:left="26"/>
              <w:spacing w:after="0"/>
              <w:rPr>
                <w:sz w:val="20"/>
                <w:szCs w:val="20"/>
                <w:color w:val="auto"/>
              </w:rPr>
            </w:pPr>
            <w:r>
              <w:rPr>
                <w:rFonts w:ascii="Arial" w:cs="Arial" w:eastAsia="Arial" w:hAnsi="Arial"/>
                <w:sz w:val="11"/>
                <w:szCs w:val="11"/>
                <w:color w:val="FFFFFF"/>
                <w:w w:val="97"/>
              </w:rPr>
              <w:t>2025</w:t>
            </w:r>
          </w:p>
        </w:tc>
        <w:tc>
          <w:tcPr>
            <w:tcW w:w="700" w:type="dxa"/>
            <w:vAlign w:val="bottom"/>
            <w:tcBorders>
              <w:bottom w:val="single" w:sz="8" w:color="1764AC"/>
            </w:tcBorders>
            <w:shd w:val="clear" w:color="auto" w:fill="1764AC"/>
          </w:tcPr>
          <w:p>
            <w:pPr>
              <w:jc w:val="center"/>
              <w:ind w:right="6"/>
              <w:spacing w:after="0"/>
              <w:rPr>
                <w:sz w:val="20"/>
                <w:szCs w:val="20"/>
                <w:color w:val="auto"/>
              </w:rPr>
            </w:pPr>
            <w:r>
              <w:rPr>
                <w:rFonts w:ascii="Arial" w:cs="Arial" w:eastAsia="Arial" w:hAnsi="Arial"/>
                <w:sz w:val="11"/>
                <w:szCs w:val="11"/>
                <w:color w:val="FFFFFF"/>
                <w:w w:val="97"/>
              </w:rPr>
              <w:t>2024</w:t>
            </w:r>
          </w:p>
        </w:tc>
        <w:tc>
          <w:tcPr>
            <w:tcW w:w="620" w:type="dxa"/>
            <w:vAlign w:val="bottom"/>
            <w:tcBorders>
              <w:bottom w:val="single" w:sz="8" w:color="1764AC"/>
            </w:tcBorders>
            <w:shd w:val="clear" w:color="auto" w:fill="1764AC"/>
          </w:tcPr>
          <w:p>
            <w:pPr>
              <w:jc w:val="center"/>
              <w:spacing w:after="0"/>
              <w:rPr>
                <w:sz w:val="20"/>
                <w:szCs w:val="20"/>
                <w:color w:val="auto"/>
              </w:rPr>
            </w:pPr>
            <w:r>
              <w:rPr>
                <w:rFonts w:ascii="Arial" w:cs="Arial" w:eastAsia="Arial" w:hAnsi="Arial"/>
                <w:sz w:val="11"/>
                <w:szCs w:val="11"/>
                <w:color w:val="FFFFFF"/>
                <w:w w:val="97"/>
              </w:rPr>
              <w:t>2025</w:t>
            </w:r>
          </w:p>
        </w:tc>
        <w:tc>
          <w:tcPr>
            <w:tcW w:w="680" w:type="dxa"/>
            <w:vAlign w:val="bottom"/>
            <w:tcBorders>
              <w:bottom w:val="single" w:sz="8" w:color="1764AC"/>
              <w:right w:val="single" w:sz="8" w:color="1764AC"/>
            </w:tcBorders>
            <w:shd w:val="clear" w:color="auto" w:fill="1764AC"/>
          </w:tcPr>
          <w:p>
            <w:pPr>
              <w:jc w:val="center"/>
              <w:spacing w:after="0"/>
              <w:rPr>
                <w:sz w:val="20"/>
                <w:szCs w:val="20"/>
                <w:color w:val="auto"/>
              </w:rPr>
            </w:pPr>
            <w:r>
              <w:rPr>
                <w:rFonts w:ascii="Arial" w:cs="Arial" w:eastAsia="Arial" w:hAnsi="Arial"/>
                <w:sz w:val="11"/>
                <w:szCs w:val="11"/>
                <w:color w:val="FFFFFF"/>
                <w:w w:val="97"/>
              </w:rPr>
              <w:t>2024</w:t>
            </w:r>
          </w:p>
        </w:tc>
        <w:tc>
          <w:tcPr>
            <w:tcW w:w="500" w:type="dxa"/>
            <w:vAlign w:val="bottom"/>
            <w:tcBorders>
              <w:bottom w:val="single" w:sz="8" w:color="1764AC"/>
            </w:tcBorders>
            <w:shd w:val="clear" w:color="auto" w:fill="1764AC"/>
          </w:tcPr>
          <w:p>
            <w:pPr>
              <w:jc w:val="center"/>
              <w:ind w:left="126"/>
              <w:spacing w:after="0"/>
              <w:rPr>
                <w:sz w:val="20"/>
                <w:szCs w:val="20"/>
                <w:color w:val="auto"/>
              </w:rPr>
            </w:pPr>
            <w:r>
              <w:rPr>
                <w:rFonts w:ascii="Arial" w:cs="Arial" w:eastAsia="Arial" w:hAnsi="Arial"/>
                <w:sz w:val="11"/>
                <w:szCs w:val="11"/>
                <w:color w:val="FFFFFF"/>
                <w:w w:val="97"/>
              </w:rPr>
              <w:t>2025</w:t>
            </w:r>
          </w:p>
        </w:tc>
        <w:tc>
          <w:tcPr>
            <w:tcW w:w="780" w:type="dxa"/>
            <w:vAlign w:val="bottom"/>
            <w:tcBorders>
              <w:bottom w:val="single" w:sz="8" w:color="1764AC"/>
            </w:tcBorders>
            <w:shd w:val="clear" w:color="auto" w:fill="1764AC"/>
          </w:tcPr>
          <w:p>
            <w:pPr>
              <w:jc w:val="center"/>
              <w:ind w:left="206"/>
              <w:spacing w:after="0"/>
              <w:rPr>
                <w:sz w:val="20"/>
                <w:szCs w:val="20"/>
                <w:color w:val="auto"/>
              </w:rPr>
            </w:pPr>
            <w:r>
              <w:rPr>
                <w:rFonts w:ascii="Arial" w:cs="Arial" w:eastAsia="Arial" w:hAnsi="Arial"/>
                <w:sz w:val="11"/>
                <w:szCs w:val="11"/>
                <w:color w:val="FFFFFF"/>
                <w:w w:val="97"/>
              </w:rPr>
              <w:t>2024</w:t>
            </w:r>
          </w:p>
        </w:tc>
        <w:tc>
          <w:tcPr>
            <w:tcW w:w="780" w:type="dxa"/>
            <w:vAlign w:val="bottom"/>
            <w:tcBorders>
              <w:bottom w:val="single" w:sz="8" w:color="1764AC"/>
            </w:tcBorders>
            <w:shd w:val="clear" w:color="auto" w:fill="1764AC"/>
          </w:tcPr>
          <w:p>
            <w:pPr>
              <w:jc w:val="center"/>
              <w:ind w:left="6"/>
              <w:spacing w:after="0"/>
              <w:rPr>
                <w:sz w:val="20"/>
                <w:szCs w:val="20"/>
                <w:color w:val="auto"/>
              </w:rPr>
            </w:pPr>
            <w:r>
              <w:rPr>
                <w:rFonts w:ascii="Arial" w:cs="Arial" w:eastAsia="Arial" w:hAnsi="Arial"/>
                <w:sz w:val="11"/>
                <w:szCs w:val="11"/>
                <w:color w:val="FFFFFF"/>
                <w:w w:val="97"/>
              </w:rPr>
              <w:t>2025</w:t>
            </w:r>
          </w:p>
        </w:tc>
        <w:tc>
          <w:tcPr>
            <w:tcW w:w="720" w:type="dxa"/>
            <w:vAlign w:val="bottom"/>
            <w:tcBorders>
              <w:bottom w:val="single" w:sz="8" w:color="1764AC"/>
            </w:tcBorders>
            <w:shd w:val="clear" w:color="auto" w:fill="1764AC"/>
          </w:tcPr>
          <w:p>
            <w:pPr>
              <w:jc w:val="center"/>
              <w:ind w:right="26"/>
              <w:spacing w:after="0"/>
              <w:rPr>
                <w:sz w:val="20"/>
                <w:szCs w:val="20"/>
                <w:color w:val="auto"/>
              </w:rPr>
            </w:pPr>
            <w:r>
              <w:rPr>
                <w:rFonts w:ascii="Arial" w:cs="Arial" w:eastAsia="Arial" w:hAnsi="Arial"/>
                <w:sz w:val="11"/>
                <w:szCs w:val="11"/>
                <w:color w:val="FFFFFF"/>
                <w:w w:val="97"/>
              </w:rPr>
              <w:t>2024</w:t>
            </w:r>
          </w:p>
        </w:tc>
        <w:tc>
          <w:tcPr>
            <w:tcW w:w="860" w:type="dxa"/>
            <w:vAlign w:val="bottom"/>
            <w:tcBorders>
              <w:bottom w:val="single" w:sz="8" w:color="1764AC"/>
            </w:tcBorders>
            <w:shd w:val="clear" w:color="auto" w:fill="1764AC"/>
          </w:tcPr>
          <w:p>
            <w:pPr>
              <w:jc w:val="center"/>
              <w:ind w:right="206"/>
              <w:spacing w:after="0"/>
              <w:rPr>
                <w:sz w:val="20"/>
                <w:szCs w:val="20"/>
                <w:color w:val="auto"/>
              </w:rPr>
            </w:pPr>
            <w:r>
              <w:rPr>
                <w:rFonts w:ascii="Arial" w:cs="Arial" w:eastAsia="Arial" w:hAnsi="Arial"/>
                <w:sz w:val="11"/>
                <w:szCs w:val="11"/>
                <w:color w:val="FFFFFF"/>
                <w:w w:val="97"/>
              </w:rPr>
              <w:t>2025</w:t>
            </w:r>
          </w:p>
        </w:tc>
        <w:tc>
          <w:tcPr>
            <w:tcW w:w="480" w:type="dxa"/>
            <w:vAlign w:val="bottom"/>
            <w:tcBorders>
              <w:bottom w:val="single" w:sz="8" w:color="1764AC"/>
            </w:tcBorders>
            <w:shd w:val="clear" w:color="auto" w:fill="1764AC"/>
          </w:tcPr>
          <w:p>
            <w:pPr>
              <w:jc w:val="center"/>
              <w:ind w:right="66"/>
              <w:spacing w:after="0"/>
              <w:rPr>
                <w:sz w:val="20"/>
                <w:szCs w:val="20"/>
                <w:color w:val="auto"/>
              </w:rPr>
            </w:pPr>
            <w:r>
              <w:rPr>
                <w:rFonts w:ascii="Arial" w:cs="Arial" w:eastAsia="Arial" w:hAnsi="Arial"/>
                <w:sz w:val="11"/>
                <w:szCs w:val="11"/>
                <w:color w:val="FFFFFF"/>
                <w:w w:val="97"/>
              </w:rPr>
              <w:t>2024</w:t>
            </w: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1"/>
                <w:szCs w:val="11"/>
                <w:color w:val="auto"/>
              </w:rPr>
              <w:t>MENA</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675</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797</w:t>
            </w:r>
          </w:p>
        </w:tc>
        <w:tc>
          <w:tcPr>
            <w:tcW w:w="480" w:type="dxa"/>
            <w:vAlign w:val="bottom"/>
          </w:tcPr>
          <w:p>
            <w:pPr>
              <w:jc w:val="center"/>
              <w:ind w:left="126"/>
              <w:spacing w:after="0"/>
              <w:rPr>
                <w:sz w:val="20"/>
                <w:szCs w:val="20"/>
                <w:color w:val="auto"/>
              </w:rPr>
            </w:pPr>
            <w:r>
              <w:rPr>
                <w:rFonts w:ascii="Arial" w:cs="Arial" w:eastAsia="Arial" w:hAnsi="Arial"/>
                <w:sz w:val="11"/>
                <w:szCs w:val="11"/>
                <w:color w:val="auto"/>
                <w:w w:val="97"/>
              </w:rPr>
              <w:t>695</w:t>
            </w:r>
          </w:p>
        </w:tc>
        <w:tc>
          <w:tcPr>
            <w:tcW w:w="780" w:type="dxa"/>
            <w:vAlign w:val="bottom"/>
          </w:tcPr>
          <w:p>
            <w:pPr>
              <w:jc w:val="center"/>
              <w:ind w:left="186"/>
              <w:spacing w:after="0"/>
              <w:rPr>
                <w:sz w:val="20"/>
                <w:szCs w:val="20"/>
                <w:color w:val="auto"/>
              </w:rPr>
            </w:pPr>
            <w:r>
              <w:rPr>
                <w:rFonts w:ascii="Arial" w:cs="Arial" w:eastAsia="Arial" w:hAnsi="Arial"/>
                <w:sz w:val="11"/>
                <w:szCs w:val="11"/>
                <w:color w:val="auto"/>
                <w:w w:val="97"/>
              </w:rPr>
              <w:t>580</w:t>
            </w:r>
          </w:p>
        </w:tc>
        <w:tc>
          <w:tcPr>
            <w:tcW w:w="760" w:type="dxa"/>
            <w:vAlign w:val="bottom"/>
          </w:tcPr>
          <w:p>
            <w:pPr>
              <w:jc w:val="center"/>
              <w:ind w:left="26"/>
              <w:spacing w:after="0"/>
              <w:rPr>
                <w:sz w:val="20"/>
                <w:szCs w:val="20"/>
                <w:color w:val="auto"/>
              </w:rPr>
            </w:pPr>
            <w:r>
              <w:rPr>
                <w:rFonts w:ascii="Arial" w:cs="Arial" w:eastAsia="Arial" w:hAnsi="Arial"/>
                <w:sz w:val="11"/>
                <w:szCs w:val="11"/>
                <w:color w:val="auto"/>
                <w:w w:val="94"/>
              </w:rPr>
              <w:t>95,636</w:t>
            </w:r>
          </w:p>
        </w:tc>
        <w:tc>
          <w:tcPr>
            <w:tcW w:w="700" w:type="dxa"/>
            <w:vAlign w:val="bottom"/>
          </w:tcPr>
          <w:p>
            <w:pPr>
              <w:jc w:val="right"/>
              <w:ind w:right="146"/>
              <w:spacing w:after="0"/>
              <w:rPr>
                <w:sz w:val="20"/>
                <w:szCs w:val="20"/>
                <w:color w:val="auto"/>
              </w:rPr>
            </w:pPr>
            <w:r>
              <w:rPr>
                <w:rFonts w:ascii="Arial" w:cs="Arial" w:eastAsia="Arial" w:hAnsi="Arial"/>
                <w:sz w:val="11"/>
                <w:szCs w:val="11"/>
                <w:color w:val="auto"/>
              </w:rPr>
              <w:t>66,041</w:t>
            </w:r>
          </w:p>
        </w:tc>
        <w:tc>
          <w:tcPr>
            <w:tcW w:w="620" w:type="dxa"/>
            <w:vAlign w:val="bottom"/>
          </w:tcPr>
          <w:p>
            <w:pPr>
              <w:jc w:val="center"/>
              <w:spacing w:after="0"/>
              <w:rPr>
                <w:sz w:val="20"/>
                <w:szCs w:val="20"/>
                <w:color w:val="auto"/>
              </w:rPr>
            </w:pPr>
            <w:r>
              <w:rPr>
                <w:rFonts w:ascii="Arial" w:cs="Arial" w:eastAsia="Arial" w:hAnsi="Arial"/>
                <w:sz w:val="11"/>
                <w:szCs w:val="11"/>
                <w:color w:val="auto"/>
              </w:rPr>
              <w:t>64,387</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54,873</w:t>
            </w:r>
          </w:p>
        </w:tc>
        <w:tc>
          <w:tcPr>
            <w:tcW w:w="500" w:type="dxa"/>
            <w:vAlign w:val="bottom"/>
          </w:tcPr>
          <w:p>
            <w:pPr>
              <w:jc w:val="center"/>
              <w:ind w:left="146"/>
              <w:spacing w:after="0"/>
              <w:rPr>
                <w:sz w:val="20"/>
                <w:szCs w:val="20"/>
                <w:color w:val="auto"/>
              </w:rPr>
            </w:pPr>
            <w:r>
              <w:rPr>
                <w:rFonts w:ascii="Arial" w:cs="Arial" w:eastAsia="Arial" w:hAnsi="Arial"/>
                <w:sz w:val="11"/>
                <w:szCs w:val="11"/>
                <w:color w:val="auto"/>
                <w:w w:val="97"/>
              </w:rPr>
              <w:t>378</w:t>
            </w:r>
          </w:p>
        </w:tc>
        <w:tc>
          <w:tcPr>
            <w:tcW w:w="780" w:type="dxa"/>
            <w:vAlign w:val="bottom"/>
          </w:tcPr>
          <w:p>
            <w:pPr>
              <w:jc w:val="center"/>
              <w:ind w:left="206"/>
              <w:spacing w:after="0"/>
              <w:rPr>
                <w:sz w:val="20"/>
                <w:szCs w:val="20"/>
                <w:color w:val="auto"/>
              </w:rPr>
            </w:pPr>
            <w:r>
              <w:rPr>
                <w:rFonts w:ascii="Arial" w:cs="Arial" w:eastAsia="Arial" w:hAnsi="Arial"/>
                <w:sz w:val="11"/>
                <w:szCs w:val="11"/>
                <w:color w:val="auto"/>
              </w:rPr>
              <w:t>329</w:t>
            </w:r>
          </w:p>
        </w:tc>
        <w:tc>
          <w:tcPr>
            <w:tcW w:w="780" w:type="dxa"/>
            <w:vAlign w:val="bottom"/>
          </w:tcPr>
          <w:p>
            <w:pPr>
              <w:jc w:val="center"/>
              <w:ind w:left="6"/>
              <w:spacing w:after="0"/>
              <w:rPr>
                <w:sz w:val="20"/>
                <w:szCs w:val="20"/>
                <w:color w:val="auto"/>
              </w:rPr>
            </w:pPr>
            <w:r>
              <w:rPr>
                <w:rFonts w:ascii="Arial" w:cs="Arial" w:eastAsia="Arial" w:hAnsi="Arial"/>
                <w:sz w:val="11"/>
                <w:szCs w:val="11"/>
                <w:color w:val="auto"/>
                <w:w w:val="94"/>
              </w:rPr>
              <w:t>52,769</w:t>
            </w:r>
          </w:p>
        </w:tc>
        <w:tc>
          <w:tcPr>
            <w:tcW w:w="720" w:type="dxa"/>
            <w:vAlign w:val="bottom"/>
          </w:tcPr>
          <w:p>
            <w:pPr>
              <w:jc w:val="center"/>
              <w:ind w:right="6"/>
              <w:spacing w:after="0"/>
              <w:rPr>
                <w:sz w:val="20"/>
                <w:szCs w:val="20"/>
                <w:color w:val="auto"/>
              </w:rPr>
            </w:pPr>
            <w:r>
              <w:rPr>
                <w:rFonts w:ascii="Arial" w:cs="Arial" w:eastAsia="Arial" w:hAnsi="Arial"/>
                <w:sz w:val="11"/>
                <w:szCs w:val="11"/>
                <w:color w:val="auto"/>
              </w:rPr>
              <w:t>37,567</w:t>
            </w:r>
          </w:p>
        </w:tc>
        <w:tc>
          <w:tcPr>
            <w:tcW w:w="860" w:type="dxa"/>
            <w:vAlign w:val="bottom"/>
          </w:tcPr>
          <w:p>
            <w:pPr>
              <w:jc w:val="center"/>
              <w:ind w:right="226"/>
              <w:spacing w:after="0"/>
              <w:rPr>
                <w:sz w:val="20"/>
                <w:szCs w:val="20"/>
                <w:color w:val="auto"/>
              </w:rPr>
            </w:pPr>
            <w:r>
              <w:rPr>
                <w:rFonts w:ascii="Arial" w:cs="Arial" w:eastAsia="Arial" w:hAnsi="Arial"/>
                <w:sz w:val="11"/>
                <w:szCs w:val="11"/>
                <w:color w:val="auto"/>
              </w:rPr>
              <w:t>38,637</w:t>
            </w:r>
          </w:p>
        </w:tc>
        <w:tc>
          <w:tcPr>
            <w:tcW w:w="480" w:type="dxa"/>
            <w:vAlign w:val="bottom"/>
          </w:tcPr>
          <w:p>
            <w:pPr>
              <w:jc w:val="center"/>
              <w:ind w:right="86"/>
              <w:spacing w:after="0"/>
              <w:rPr>
                <w:sz w:val="20"/>
                <w:szCs w:val="20"/>
                <w:color w:val="auto"/>
              </w:rPr>
            </w:pPr>
            <w:r>
              <w:rPr>
                <w:rFonts w:ascii="Arial" w:cs="Arial" w:eastAsia="Arial" w:hAnsi="Arial"/>
                <w:sz w:val="11"/>
                <w:szCs w:val="11"/>
                <w:color w:val="auto"/>
              </w:rPr>
              <w:t>30,345</w:t>
            </w: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Arial" w:cs="Arial" w:eastAsia="Arial" w:hAnsi="Arial"/>
                <w:sz w:val="11"/>
                <w:szCs w:val="11"/>
                <w:color w:val="auto"/>
              </w:rPr>
              <w:t>Europe</w:t>
            </w:r>
          </w:p>
        </w:tc>
        <w:tc>
          <w:tcPr>
            <w:tcW w:w="660" w:type="dxa"/>
            <w:vAlign w:val="bottom"/>
          </w:tcPr>
          <w:p>
            <w:pPr>
              <w:jc w:val="center"/>
              <w:spacing w:after="0"/>
              <w:rPr>
                <w:sz w:val="20"/>
                <w:szCs w:val="20"/>
                <w:color w:val="auto"/>
              </w:rPr>
            </w:pPr>
            <w:r>
              <w:rPr>
                <w:rFonts w:ascii="Arial" w:cs="Arial" w:eastAsia="Arial" w:hAnsi="Arial"/>
                <w:sz w:val="11"/>
                <w:szCs w:val="11"/>
                <w:color w:val="auto"/>
                <w:w w:val="94"/>
              </w:rPr>
              <w:t>1,327</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480" w:type="dxa"/>
            <w:vAlign w:val="bottom"/>
          </w:tcPr>
          <w:p>
            <w:pPr>
              <w:jc w:val="center"/>
              <w:ind w:left="106"/>
              <w:spacing w:after="0"/>
              <w:rPr>
                <w:sz w:val="20"/>
                <w:szCs w:val="20"/>
                <w:color w:val="auto"/>
              </w:rPr>
            </w:pPr>
            <w:r>
              <w:rPr>
                <w:rFonts w:ascii="Arial" w:cs="Arial" w:eastAsia="Arial" w:hAnsi="Arial"/>
                <w:sz w:val="11"/>
                <w:szCs w:val="11"/>
                <w:color w:val="auto"/>
              </w:rPr>
              <w:t>1,353</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1,396</w:t>
            </w:r>
          </w:p>
        </w:tc>
        <w:tc>
          <w:tcPr>
            <w:tcW w:w="760" w:type="dxa"/>
            <w:vAlign w:val="bottom"/>
          </w:tcPr>
          <w:p>
            <w:pPr>
              <w:jc w:val="center"/>
              <w:ind w:left="26"/>
              <w:spacing w:after="0"/>
              <w:rPr>
                <w:sz w:val="20"/>
                <w:szCs w:val="20"/>
                <w:color w:val="auto"/>
              </w:rPr>
            </w:pPr>
            <w:r>
              <w:rPr>
                <w:rFonts w:ascii="Arial" w:cs="Arial" w:eastAsia="Arial" w:hAnsi="Arial"/>
                <w:sz w:val="11"/>
                <w:szCs w:val="11"/>
                <w:color w:val="auto"/>
                <w:w w:val="94"/>
              </w:rPr>
              <w:t>99,184</w:t>
            </w:r>
          </w:p>
        </w:tc>
        <w:tc>
          <w:tcPr>
            <w:tcW w:w="700" w:type="dxa"/>
            <w:vAlign w:val="bottom"/>
          </w:tcPr>
          <w:p>
            <w:pPr>
              <w:jc w:val="center"/>
              <w:spacing w:after="0"/>
              <w:rPr>
                <w:sz w:val="20"/>
                <w:szCs w:val="20"/>
                <w:color w:val="auto"/>
              </w:rPr>
            </w:pPr>
            <w:r>
              <w:rPr>
                <w:rFonts w:ascii="Arial" w:cs="Arial" w:eastAsia="Arial" w:hAnsi="Arial"/>
                <w:sz w:val="11"/>
                <w:szCs w:val="11"/>
                <w:color w:val="auto"/>
                <w:w w:val="95"/>
              </w:rPr>
              <w:t>101,123</w:t>
            </w:r>
          </w:p>
        </w:tc>
        <w:tc>
          <w:tcPr>
            <w:tcW w:w="620" w:type="dxa"/>
            <w:vAlign w:val="bottom"/>
          </w:tcPr>
          <w:p>
            <w:pPr>
              <w:jc w:val="center"/>
              <w:spacing w:after="0"/>
              <w:rPr>
                <w:sz w:val="20"/>
                <w:szCs w:val="20"/>
                <w:color w:val="auto"/>
              </w:rPr>
            </w:pPr>
            <w:r>
              <w:rPr>
                <w:rFonts w:ascii="Arial" w:cs="Arial" w:eastAsia="Arial" w:hAnsi="Arial"/>
                <w:sz w:val="11"/>
                <w:szCs w:val="11"/>
                <w:color w:val="auto"/>
              </w:rPr>
              <w:t>82,226</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83,253</w:t>
            </w:r>
          </w:p>
        </w:tc>
        <w:tc>
          <w:tcPr>
            <w:tcW w:w="500" w:type="dxa"/>
            <w:vAlign w:val="bottom"/>
          </w:tcPr>
          <w:p>
            <w:pPr>
              <w:jc w:val="center"/>
              <w:ind w:left="146"/>
              <w:spacing w:after="0"/>
              <w:rPr>
                <w:sz w:val="20"/>
                <w:szCs w:val="20"/>
                <w:color w:val="auto"/>
              </w:rPr>
            </w:pPr>
            <w:r>
              <w:rPr>
                <w:rFonts w:ascii="Arial" w:cs="Arial" w:eastAsia="Arial" w:hAnsi="Arial"/>
                <w:sz w:val="11"/>
                <w:szCs w:val="11"/>
                <w:color w:val="auto"/>
                <w:w w:val="97"/>
              </w:rPr>
              <w:t>649</w:t>
            </w:r>
          </w:p>
        </w:tc>
        <w:tc>
          <w:tcPr>
            <w:tcW w:w="780" w:type="dxa"/>
            <w:vAlign w:val="bottom"/>
          </w:tcPr>
          <w:p>
            <w:pPr>
              <w:jc w:val="center"/>
              <w:ind w:left="206"/>
              <w:spacing w:after="0"/>
              <w:rPr>
                <w:sz w:val="20"/>
                <w:szCs w:val="20"/>
                <w:color w:val="auto"/>
              </w:rPr>
            </w:pPr>
            <w:r>
              <w:rPr>
                <w:rFonts w:ascii="Arial" w:cs="Arial" w:eastAsia="Arial" w:hAnsi="Arial"/>
                <w:sz w:val="11"/>
                <w:szCs w:val="11"/>
                <w:color w:val="auto"/>
              </w:rPr>
              <w:t>573</w:t>
            </w:r>
          </w:p>
        </w:tc>
        <w:tc>
          <w:tcPr>
            <w:tcW w:w="780" w:type="dxa"/>
            <w:vAlign w:val="bottom"/>
          </w:tcPr>
          <w:p>
            <w:pPr>
              <w:jc w:val="center"/>
              <w:ind w:left="6"/>
              <w:spacing w:after="0"/>
              <w:rPr>
                <w:sz w:val="20"/>
                <w:szCs w:val="20"/>
                <w:color w:val="auto"/>
              </w:rPr>
            </w:pPr>
            <w:r>
              <w:rPr>
                <w:rFonts w:ascii="Arial" w:cs="Arial" w:eastAsia="Arial" w:hAnsi="Arial"/>
                <w:sz w:val="11"/>
                <w:szCs w:val="11"/>
                <w:color w:val="auto"/>
                <w:w w:val="94"/>
              </w:rPr>
              <w:t>47,800</w:t>
            </w:r>
          </w:p>
        </w:tc>
        <w:tc>
          <w:tcPr>
            <w:tcW w:w="720" w:type="dxa"/>
            <w:vAlign w:val="bottom"/>
          </w:tcPr>
          <w:p>
            <w:pPr>
              <w:jc w:val="center"/>
              <w:ind w:right="6"/>
              <w:spacing w:after="0"/>
              <w:rPr>
                <w:sz w:val="20"/>
                <w:szCs w:val="20"/>
                <w:color w:val="auto"/>
              </w:rPr>
            </w:pPr>
            <w:r>
              <w:rPr>
                <w:rFonts w:ascii="Arial" w:cs="Arial" w:eastAsia="Arial" w:hAnsi="Arial"/>
                <w:sz w:val="11"/>
                <w:szCs w:val="11"/>
                <w:color w:val="auto"/>
              </w:rPr>
              <w:t>41,963</w:t>
            </w:r>
          </w:p>
        </w:tc>
        <w:tc>
          <w:tcPr>
            <w:tcW w:w="860" w:type="dxa"/>
            <w:vAlign w:val="bottom"/>
          </w:tcPr>
          <w:p>
            <w:pPr>
              <w:jc w:val="center"/>
              <w:ind w:right="226"/>
              <w:spacing w:after="0"/>
              <w:rPr>
                <w:sz w:val="20"/>
                <w:szCs w:val="20"/>
                <w:color w:val="auto"/>
              </w:rPr>
            </w:pPr>
            <w:r>
              <w:rPr>
                <w:rFonts w:ascii="Arial" w:cs="Arial" w:eastAsia="Arial" w:hAnsi="Arial"/>
                <w:sz w:val="11"/>
                <w:szCs w:val="11"/>
                <w:color w:val="auto"/>
              </w:rPr>
              <w:t>37,563</w:t>
            </w:r>
          </w:p>
        </w:tc>
        <w:tc>
          <w:tcPr>
            <w:tcW w:w="480" w:type="dxa"/>
            <w:vAlign w:val="bottom"/>
          </w:tcPr>
          <w:p>
            <w:pPr>
              <w:jc w:val="center"/>
              <w:ind w:right="86"/>
              <w:spacing w:after="0"/>
              <w:rPr>
                <w:sz w:val="20"/>
                <w:szCs w:val="20"/>
                <w:color w:val="auto"/>
              </w:rPr>
            </w:pPr>
            <w:r>
              <w:rPr>
                <w:rFonts w:ascii="Arial" w:cs="Arial" w:eastAsia="Arial" w:hAnsi="Arial"/>
                <w:sz w:val="11"/>
                <w:szCs w:val="11"/>
                <w:color w:val="auto"/>
              </w:rPr>
              <w:t>32,546</w:t>
            </w: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Arial" w:cs="Arial" w:eastAsia="Arial" w:hAnsi="Arial"/>
                <w:sz w:val="11"/>
                <w:szCs w:val="11"/>
                <w:color w:val="auto"/>
              </w:rPr>
              <w:t>USA</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470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1,200</w:t>
            </w:r>
          </w:p>
        </w:tc>
        <w:tc>
          <w:tcPr>
            <w:tcW w:w="480" w:type="dxa"/>
            <w:vAlign w:val="bottom"/>
          </w:tcPr>
          <w:p>
            <w:pPr>
              <w:jc w:val="center"/>
              <w:ind w:left="126"/>
              <w:spacing w:after="0"/>
              <w:rPr>
                <w:sz w:val="20"/>
                <w:szCs w:val="20"/>
                <w:color w:val="auto"/>
              </w:rPr>
            </w:pPr>
            <w:r>
              <w:rPr>
                <w:rFonts w:ascii="Arial" w:cs="Arial" w:eastAsia="Arial" w:hAnsi="Arial"/>
                <w:sz w:val="11"/>
                <w:szCs w:val="11"/>
                <w:color w:val="auto"/>
                <w:w w:val="97"/>
              </w:rPr>
              <w:t>519</w:t>
            </w:r>
          </w:p>
        </w:tc>
        <w:tc>
          <w:tcPr>
            <w:tcW w:w="780" w:type="dxa"/>
            <w:vAlign w:val="bottom"/>
          </w:tcPr>
          <w:p>
            <w:pPr>
              <w:jc w:val="center"/>
              <w:ind w:left="206"/>
              <w:spacing w:after="0"/>
              <w:rPr>
                <w:sz w:val="20"/>
                <w:szCs w:val="20"/>
                <w:color w:val="auto"/>
              </w:rPr>
            </w:pPr>
            <w:r>
              <w:rPr>
                <w:rFonts w:ascii="Arial" w:cs="Arial" w:eastAsia="Arial" w:hAnsi="Arial"/>
                <w:sz w:val="11"/>
                <w:szCs w:val="11"/>
                <w:color w:val="auto"/>
                <w:w w:val="97"/>
              </w:rPr>
              <w:t>73</w:t>
            </w:r>
          </w:p>
        </w:tc>
        <w:tc>
          <w:tcPr>
            <w:tcW w:w="760" w:type="dxa"/>
            <w:vAlign w:val="bottom"/>
          </w:tcPr>
          <w:p>
            <w:pPr>
              <w:jc w:val="center"/>
              <w:ind w:left="26"/>
              <w:spacing w:after="0"/>
              <w:rPr>
                <w:sz w:val="20"/>
                <w:szCs w:val="20"/>
                <w:color w:val="auto"/>
              </w:rPr>
            </w:pPr>
            <w:r>
              <w:rPr>
                <w:rFonts w:ascii="Arial" w:cs="Arial" w:eastAsia="Arial" w:hAnsi="Arial"/>
                <w:sz w:val="11"/>
                <w:szCs w:val="11"/>
                <w:color w:val="auto"/>
                <w:w w:val="94"/>
              </w:rPr>
              <w:t>68,980</w:t>
            </w:r>
          </w:p>
        </w:tc>
        <w:tc>
          <w:tcPr>
            <w:tcW w:w="700" w:type="dxa"/>
            <w:vAlign w:val="bottom"/>
          </w:tcPr>
          <w:p>
            <w:pPr>
              <w:jc w:val="center"/>
              <w:spacing w:after="0"/>
              <w:rPr>
                <w:sz w:val="20"/>
                <w:szCs w:val="20"/>
                <w:color w:val="auto"/>
              </w:rPr>
            </w:pPr>
            <w:r>
              <w:rPr>
                <w:rFonts w:ascii="Arial" w:cs="Arial" w:eastAsia="Arial" w:hAnsi="Arial"/>
                <w:sz w:val="11"/>
                <w:szCs w:val="11"/>
                <w:color w:val="auto"/>
                <w:w w:val="94"/>
              </w:rPr>
              <w:t>9,957</w:t>
            </w:r>
          </w:p>
        </w:tc>
        <w:tc>
          <w:tcPr>
            <w:tcW w:w="620" w:type="dxa"/>
            <w:vAlign w:val="bottom"/>
          </w:tcPr>
          <w:p>
            <w:pPr>
              <w:jc w:val="center"/>
              <w:spacing w:after="0"/>
              <w:rPr>
                <w:sz w:val="20"/>
                <w:szCs w:val="20"/>
                <w:color w:val="auto"/>
              </w:rPr>
            </w:pPr>
            <w:r>
              <w:rPr>
                <w:rFonts w:ascii="Arial" w:cs="Arial" w:eastAsia="Arial" w:hAnsi="Arial"/>
                <w:sz w:val="11"/>
                <w:szCs w:val="11"/>
                <w:color w:val="auto"/>
              </w:rPr>
              <w:t>59,913</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7,831</w:t>
            </w:r>
          </w:p>
        </w:tc>
        <w:tc>
          <w:tcPr>
            <w:tcW w:w="500" w:type="dxa"/>
            <w:vAlign w:val="bottom"/>
          </w:tcPr>
          <w:p>
            <w:pPr>
              <w:jc w:val="center"/>
              <w:ind w:left="146"/>
              <w:spacing w:after="0"/>
              <w:rPr>
                <w:sz w:val="20"/>
                <w:szCs w:val="20"/>
                <w:color w:val="auto"/>
              </w:rPr>
            </w:pPr>
            <w:r>
              <w:rPr>
                <w:rFonts w:ascii="Arial" w:cs="Arial" w:eastAsia="Arial" w:hAnsi="Arial"/>
                <w:sz w:val="11"/>
                <w:szCs w:val="11"/>
                <w:color w:val="auto"/>
                <w:w w:val="97"/>
              </w:rPr>
              <w:t>310</w:t>
            </w:r>
          </w:p>
        </w:tc>
        <w:tc>
          <w:tcPr>
            <w:tcW w:w="780" w:type="dxa"/>
            <w:vAlign w:val="bottom"/>
          </w:tcPr>
          <w:p>
            <w:pPr>
              <w:jc w:val="center"/>
              <w:ind w:left="206"/>
              <w:spacing w:after="0"/>
              <w:rPr>
                <w:sz w:val="20"/>
                <w:szCs w:val="20"/>
                <w:color w:val="auto"/>
              </w:rPr>
            </w:pPr>
            <w:r>
              <w:rPr>
                <w:rFonts w:ascii="Arial" w:cs="Arial" w:eastAsia="Arial" w:hAnsi="Arial"/>
                <w:sz w:val="11"/>
                <w:szCs w:val="11"/>
                <w:color w:val="auto"/>
                <w:w w:val="97"/>
              </w:rPr>
              <w:t>47</w:t>
            </w:r>
          </w:p>
        </w:tc>
        <w:tc>
          <w:tcPr>
            <w:tcW w:w="780" w:type="dxa"/>
            <w:vAlign w:val="bottom"/>
          </w:tcPr>
          <w:p>
            <w:pPr>
              <w:jc w:val="center"/>
              <w:ind w:left="6"/>
              <w:spacing w:after="0"/>
              <w:rPr>
                <w:sz w:val="20"/>
                <w:szCs w:val="20"/>
                <w:color w:val="auto"/>
              </w:rPr>
            </w:pPr>
            <w:r>
              <w:rPr>
                <w:rFonts w:ascii="Arial" w:cs="Arial" w:eastAsia="Arial" w:hAnsi="Arial"/>
                <w:sz w:val="11"/>
                <w:szCs w:val="11"/>
                <w:color w:val="auto"/>
                <w:w w:val="94"/>
              </w:rPr>
              <w:t>34,191</w:t>
            </w:r>
          </w:p>
        </w:tc>
        <w:tc>
          <w:tcPr>
            <w:tcW w:w="720" w:type="dxa"/>
            <w:vAlign w:val="bottom"/>
          </w:tcPr>
          <w:p>
            <w:pPr>
              <w:jc w:val="center"/>
              <w:ind w:right="6"/>
              <w:spacing w:after="0"/>
              <w:rPr>
                <w:sz w:val="20"/>
                <w:szCs w:val="20"/>
                <w:color w:val="auto"/>
              </w:rPr>
            </w:pPr>
            <w:r>
              <w:rPr>
                <w:rFonts w:ascii="Arial" w:cs="Arial" w:eastAsia="Arial" w:hAnsi="Arial"/>
                <w:sz w:val="11"/>
                <w:szCs w:val="11"/>
                <w:color w:val="auto"/>
                <w:w w:val="94"/>
              </w:rPr>
              <w:t>5,463</w:t>
            </w:r>
          </w:p>
        </w:tc>
        <w:tc>
          <w:tcPr>
            <w:tcW w:w="860" w:type="dxa"/>
            <w:vAlign w:val="bottom"/>
          </w:tcPr>
          <w:p>
            <w:pPr>
              <w:jc w:val="center"/>
              <w:ind w:right="226"/>
              <w:spacing w:after="0"/>
              <w:rPr>
                <w:sz w:val="20"/>
                <w:szCs w:val="20"/>
                <w:color w:val="auto"/>
              </w:rPr>
            </w:pPr>
            <w:r>
              <w:rPr>
                <w:rFonts w:ascii="Arial" w:cs="Arial" w:eastAsia="Arial" w:hAnsi="Arial"/>
                <w:sz w:val="11"/>
                <w:szCs w:val="11"/>
                <w:color w:val="auto"/>
              </w:rPr>
              <w:t>29,364</w:t>
            </w:r>
          </w:p>
        </w:tc>
        <w:tc>
          <w:tcPr>
            <w:tcW w:w="480" w:type="dxa"/>
            <w:vAlign w:val="bottom"/>
          </w:tcPr>
          <w:p>
            <w:pPr>
              <w:jc w:val="center"/>
              <w:ind w:right="86"/>
              <w:spacing w:after="0"/>
              <w:rPr>
                <w:sz w:val="20"/>
                <w:szCs w:val="20"/>
                <w:color w:val="auto"/>
              </w:rPr>
            </w:pPr>
            <w:r>
              <w:rPr>
                <w:rFonts w:ascii="Arial" w:cs="Arial" w:eastAsia="Arial" w:hAnsi="Arial"/>
                <w:sz w:val="11"/>
                <w:szCs w:val="11"/>
                <w:color w:val="auto"/>
                <w:w w:val="94"/>
              </w:rPr>
              <w:t>4,710</w:t>
            </w:r>
          </w:p>
        </w:tc>
        <w:tc>
          <w:tcPr>
            <w:tcW w:w="0" w:type="dxa"/>
            <w:vAlign w:val="bottom"/>
          </w:tcPr>
          <w:p>
            <w:pPr>
              <w:spacing w:after="0"/>
              <w:rPr>
                <w:sz w:val="1"/>
                <w:szCs w:val="1"/>
                <w:color w:val="auto"/>
              </w:rPr>
            </w:pPr>
          </w:p>
        </w:tc>
      </w:tr>
      <w:tr>
        <w:trPr>
          <w:trHeight w:val="29"/>
        </w:trPr>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800" w:type="dxa"/>
            <w:vAlign w:val="bottom"/>
            <w:tcBorders>
              <w:bottom w:val="single" w:sz="8" w:color="BDD6EE"/>
            </w:tcBorders>
            <w:shd w:val="clear" w:color="auto" w:fill="BDD6EE"/>
          </w:tcPr>
          <w:p>
            <w:pPr>
              <w:ind w:left="20"/>
              <w:spacing w:after="0"/>
              <w:rPr>
                <w:sz w:val="20"/>
                <w:szCs w:val="20"/>
                <w:color w:val="auto"/>
              </w:rPr>
            </w:pPr>
            <w:r>
              <w:rPr>
                <w:rFonts w:ascii="Arial" w:cs="Arial" w:eastAsia="Arial" w:hAnsi="Arial"/>
                <w:sz w:val="11"/>
                <w:szCs w:val="11"/>
                <w:b w:val="1"/>
                <w:bCs w:val="1"/>
                <w:color w:val="auto"/>
              </w:rPr>
              <w:t>Total Consolidated</w:t>
            </w:r>
          </w:p>
        </w:tc>
        <w:tc>
          <w:tcPr>
            <w:tcW w:w="66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1"/>
                <w:szCs w:val="11"/>
                <w:b w:val="1"/>
                <w:bCs w:val="1"/>
                <w:color w:val="auto"/>
                <w:w w:val="94"/>
              </w:rPr>
              <w:t>2,472</w:t>
            </w:r>
          </w:p>
        </w:tc>
        <w:tc>
          <w:tcPr>
            <w:tcW w:w="700" w:type="dxa"/>
            <w:vAlign w:val="bottom"/>
            <w:tcBorders>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1"/>
                <w:szCs w:val="11"/>
                <w:b w:val="1"/>
                <w:bCs w:val="1"/>
                <w:color w:val="auto"/>
              </w:rPr>
              <w:t>1,997</w:t>
            </w:r>
          </w:p>
        </w:tc>
        <w:tc>
          <w:tcPr>
            <w:tcW w:w="480" w:type="dxa"/>
            <w:vAlign w:val="bottom"/>
            <w:tcBorders>
              <w:bottom w:val="single" w:sz="8" w:color="BDD6EE"/>
            </w:tcBorders>
            <w:shd w:val="clear" w:color="auto" w:fill="BDD6EE"/>
          </w:tcPr>
          <w:p>
            <w:pPr>
              <w:jc w:val="center"/>
              <w:ind w:left="106"/>
              <w:spacing w:after="0"/>
              <w:rPr>
                <w:sz w:val="20"/>
                <w:szCs w:val="20"/>
                <w:color w:val="auto"/>
              </w:rPr>
            </w:pPr>
            <w:r>
              <w:rPr>
                <w:rFonts w:ascii="Arial" w:cs="Arial" w:eastAsia="Arial" w:hAnsi="Arial"/>
                <w:sz w:val="11"/>
                <w:szCs w:val="11"/>
                <w:b w:val="1"/>
                <w:bCs w:val="1"/>
                <w:color w:val="auto"/>
              </w:rPr>
              <w:t>2,567</w:t>
            </w:r>
          </w:p>
        </w:tc>
        <w:tc>
          <w:tcPr>
            <w:tcW w:w="780" w:type="dxa"/>
            <w:vAlign w:val="bottom"/>
            <w:tcBorders>
              <w:bottom w:val="single" w:sz="8" w:color="BDD6EE"/>
            </w:tcBorders>
            <w:shd w:val="clear" w:color="auto" w:fill="BDD6EE"/>
          </w:tcPr>
          <w:p>
            <w:pPr>
              <w:jc w:val="center"/>
              <w:ind w:left="206"/>
              <w:spacing w:after="0"/>
              <w:rPr>
                <w:sz w:val="20"/>
                <w:szCs w:val="20"/>
                <w:color w:val="auto"/>
              </w:rPr>
            </w:pPr>
            <w:r>
              <w:rPr>
                <w:rFonts w:ascii="Arial" w:cs="Arial" w:eastAsia="Arial" w:hAnsi="Arial"/>
                <w:sz w:val="11"/>
                <w:szCs w:val="11"/>
                <w:b w:val="1"/>
                <w:bCs w:val="1"/>
                <w:color w:val="auto"/>
              </w:rPr>
              <w:t>2,049</w:t>
            </w:r>
          </w:p>
        </w:tc>
        <w:tc>
          <w:tcPr>
            <w:tcW w:w="760" w:type="dxa"/>
            <w:vAlign w:val="bottom"/>
            <w:tcBorders>
              <w:bottom w:val="single" w:sz="8" w:color="BDD6EE"/>
            </w:tcBorders>
            <w:shd w:val="clear" w:color="auto" w:fill="BDD6EE"/>
          </w:tcPr>
          <w:p>
            <w:pPr>
              <w:jc w:val="center"/>
              <w:ind w:left="26"/>
              <w:spacing w:after="0"/>
              <w:rPr>
                <w:sz w:val="20"/>
                <w:szCs w:val="20"/>
                <w:color w:val="auto"/>
              </w:rPr>
            </w:pPr>
            <w:r>
              <w:rPr>
                <w:rFonts w:ascii="Arial" w:cs="Arial" w:eastAsia="Arial" w:hAnsi="Arial"/>
                <w:sz w:val="11"/>
                <w:szCs w:val="11"/>
                <w:b w:val="1"/>
                <w:bCs w:val="1"/>
                <w:color w:val="auto"/>
              </w:rPr>
              <w:t>263,800</w:t>
            </w:r>
          </w:p>
        </w:tc>
        <w:tc>
          <w:tcPr>
            <w:tcW w:w="70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1"/>
                <w:szCs w:val="11"/>
                <w:b w:val="1"/>
                <w:bCs w:val="1"/>
                <w:color w:val="auto"/>
                <w:w w:val="95"/>
              </w:rPr>
              <w:t>177,121</w:t>
            </w:r>
          </w:p>
        </w:tc>
        <w:tc>
          <w:tcPr>
            <w:tcW w:w="62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1"/>
                <w:szCs w:val="11"/>
                <w:b w:val="1"/>
                <w:bCs w:val="1"/>
                <w:color w:val="auto"/>
              </w:rPr>
              <w:t>206,526</w:t>
            </w:r>
          </w:p>
        </w:tc>
        <w:tc>
          <w:tcPr>
            <w:tcW w:w="680" w:type="dxa"/>
            <w:vAlign w:val="bottom"/>
            <w:tcBorders>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1"/>
                <w:szCs w:val="11"/>
                <w:b w:val="1"/>
                <w:bCs w:val="1"/>
                <w:color w:val="auto"/>
              </w:rPr>
              <w:t>145,957</w:t>
            </w:r>
          </w:p>
        </w:tc>
        <w:tc>
          <w:tcPr>
            <w:tcW w:w="500" w:type="dxa"/>
            <w:vAlign w:val="bottom"/>
            <w:tcBorders>
              <w:bottom w:val="single" w:sz="8" w:color="BDD6EE"/>
            </w:tcBorders>
            <w:shd w:val="clear" w:color="auto" w:fill="BDD6EE"/>
          </w:tcPr>
          <w:p>
            <w:pPr>
              <w:jc w:val="center"/>
              <w:ind w:left="126"/>
              <w:spacing w:after="0"/>
              <w:rPr>
                <w:sz w:val="20"/>
                <w:szCs w:val="20"/>
                <w:color w:val="auto"/>
              </w:rPr>
            </w:pPr>
            <w:r>
              <w:rPr>
                <w:rFonts w:ascii="Arial" w:cs="Arial" w:eastAsia="Arial" w:hAnsi="Arial"/>
                <w:sz w:val="11"/>
                <w:szCs w:val="11"/>
                <w:b w:val="1"/>
                <w:bCs w:val="1"/>
                <w:color w:val="auto"/>
              </w:rPr>
              <w:t>1,337</w:t>
            </w:r>
          </w:p>
        </w:tc>
        <w:tc>
          <w:tcPr>
            <w:tcW w:w="780" w:type="dxa"/>
            <w:vAlign w:val="bottom"/>
            <w:tcBorders>
              <w:bottom w:val="single" w:sz="8" w:color="BDD6EE"/>
            </w:tcBorders>
            <w:shd w:val="clear" w:color="auto" w:fill="BDD6EE"/>
          </w:tcPr>
          <w:p>
            <w:pPr>
              <w:jc w:val="center"/>
              <w:ind w:left="206"/>
              <w:spacing w:after="0"/>
              <w:rPr>
                <w:sz w:val="20"/>
                <w:szCs w:val="20"/>
                <w:color w:val="auto"/>
              </w:rPr>
            </w:pPr>
            <w:r>
              <w:rPr>
                <w:rFonts w:ascii="Arial" w:cs="Arial" w:eastAsia="Arial" w:hAnsi="Arial"/>
                <w:sz w:val="11"/>
                <w:szCs w:val="11"/>
                <w:b w:val="1"/>
                <w:bCs w:val="1"/>
                <w:color w:val="auto"/>
              </w:rPr>
              <w:t>949</w:t>
            </w:r>
          </w:p>
        </w:tc>
        <w:tc>
          <w:tcPr>
            <w:tcW w:w="780" w:type="dxa"/>
            <w:vAlign w:val="bottom"/>
            <w:tcBorders>
              <w:bottom w:val="single" w:sz="8" w:color="BDD6EE"/>
            </w:tcBorders>
            <w:shd w:val="clear" w:color="auto" w:fill="BDD6EE"/>
          </w:tcPr>
          <w:p>
            <w:pPr>
              <w:jc w:val="center"/>
              <w:ind w:left="6"/>
              <w:spacing w:after="0"/>
              <w:rPr>
                <w:sz w:val="20"/>
                <w:szCs w:val="20"/>
                <w:color w:val="auto"/>
              </w:rPr>
            </w:pPr>
            <w:r>
              <w:rPr>
                <w:rFonts w:ascii="Arial" w:cs="Arial" w:eastAsia="Arial" w:hAnsi="Arial"/>
                <w:sz w:val="11"/>
                <w:szCs w:val="11"/>
                <w:b w:val="1"/>
                <w:bCs w:val="1"/>
                <w:color w:val="auto"/>
              </w:rPr>
              <w:t>134,760</w:t>
            </w:r>
          </w:p>
        </w:tc>
        <w:tc>
          <w:tcPr>
            <w:tcW w:w="720" w:type="dxa"/>
            <w:vAlign w:val="bottom"/>
            <w:tcBorders>
              <w:bottom w:val="single" w:sz="8" w:color="BDD6EE"/>
            </w:tcBorders>
            <w:shd w:val="clear" w:color="auto" w:fill="BDD6EE"/>
          </w:tcPr>
          <w:p>
            <w:pPr>
              <w:jc w:val="center"/>
              <w:ind w:right="6"/>
              <w:spacing w:after="0"/>
              <w:rPr>
                <w:sz w:val="20"/>
                <w:szCs w:val="20"/>
                <w:color w:val="auto"/>
              </w:rPr>
            </w:pPr>
            <w:r>
              <w:rPr>
                <w:rFonts w:ascii="Arial" w:cs="Arial" w:eastAsia="Arial" w:hAnsi="Arial"/>
                <w:sz w:val="11"/>
                <w:szCs w:val="11"/>
                <w:b w:val="1"/>
                <w:bCs w:val="1"/>
                <w:color w:val="auto"/>
              </w:rPr>
              <w:t>84,993</w:t>
            </w:r>
          </w:p>
        </w:tc>
        <w:tc>
          <w:tcPr>
            <w:tcW w:w="860" w:type="dxa"/>
            <w:vAlign w:val="bottom"/>
            <w:tcBorders>
              <w:bottom w:val="single" w:sz="8" w:color="BDD6EE"/>
            </w:tcBorders>
            <w:shd w:val="clear" w:color="auto" w:fill="BDD6EE"/>
          </w:tcPr>
          <w:p>
            <w:pPr>
              <w:jc w:val="center"/>
              <w:ind w:right="226"/>
              <w:spacing w:after="0"/>
              <w:rPr>
                <w:sz w:val="20"/>
                <w:szCs w:val="20"/>
                <w:color w:val="auto"/>
              </w:rPr>
            </w:pPr>
            <w:r>
              <w:rPr>
                <w:rFonts w:ascii="Arial" w:cs="Arial" w:eastAsia="Arial" w:hAnsi="Arial"/>
                <w:sz w:val="11"/>
                <w:szCs w:val="11"/>
                <w:b w:val="1"/>
                <w:bCs w:val="1"/>
                <w:color w:val="auto"/>
                <w:w w:val="95"/>
              </w:rPr>
              <w:t>105,564</w:t>
            </w:r>
          </w:p>
        </w:tc>
        <w:tc>
          <w:tcPr>
            <w:tcW w:w="480" w:type="dxa"/>
            <w:vAlign w:val="bottom"/>
            <w:tcBorders>
              <w:bottom w:val="single" w:sz="8" w:color="BDD6EE"/>
            </w:tcBorders>
            <w:shd w:val="clear" w:color="auto" w:fill="BDD6EE"/>
          </w:tcPr>
          <w:p>
            <w:pPr>
              <w:jc w:val="center"/>
              <w:ind w:right="86"/>
              <w:spacing w:after="0"/>
              <w:rPr>
                <w:sz w:val="20"/>
                <w:szCs w:val="20"/>
                <w:color w:val="auto"/>
              </w:rPr>
            </w:pPr>
            <w:r>
              <w:rPr>
                <w:rFonts w:ascii="Arial" w:cs="Arial" w:eastAsia="Arial" w:hAnsi="Arial"/>
                <w:sz w:val="11"/>
                <w:szCs w:val="11"/>
                <w:b w:val="1"/>
                <w:bCs w:val="1"/>
                <w:color w:val="auto"/>
              </w:rPr>
              <w:t>67,601</w:t>
            </w: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1"/>
                <w:szCs w:val="11"/>
                <w:color w:val="auto"/>
              </w:rPr>
              <w:t>Unconsolidated at Share</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42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41</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1800" w:type="dxa"/>
            <w:vAlign w:val="bottom"/>
            <w:tcBorders>
              <w:bottom w:val="single" w:sz="8" w:color="BDD6EE"/>
            </w:tcBorders>
            <w:shd w:val="clear" w:color="auto" w:fill="BDD6EE"/>
          </w:tcPr>
          <w:p>
            <w:pPr>
              <w:ind w:left="20"/>
              <w:spacing w:after="0"/>
              <w:rPr>
                <w:sz w:val="20"/>
                <w:szCs w:val="20"/>
                <w:color w:val="auto"/>
              </w:rPr>
            </w:pPr>
            <w:r>
              <w:rPr>
                <w:rFonts w:ascii="Arial" w:cs="Arial" w:eastAsia="Arial" w:hAnsi="Arial"/>
                <w:sz w:val="11"/>
                <w:szCs w:val="11"/>
                <w:b w:val="1"/>
                <w:bCs w:val="1"/>
                <w:color w:val="auto"/>
              </w:rPr>
              <w:t>Total</w:t>
            </w:r>
          </w:p>
        </w:tc>
        <w:tc>
          <w:tcPr>
            <w:tcW w:w="66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1"/>
                <w:szCs w:val="11"/>
                <w:b w:val="1"/>
                <w:bCs w:val="1"/>
                <w:color w:val="auto"/>
                <w:w w:val="94"/>
              </w:rPr>
              <w:t>2,514</w:t>
            </w:r>
          </w:p>
        </w:tc>
        <w:tc>
          <w:tcPr>
            <w:tcW w:w="700" w:type="dxa"/>
            <w:vAlign w:val="bottom"/>
            <w:tcBorders>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1"/>
                <w:szCs w:val="11"/>
                <w:b w:val="1"/>
                <w:bCs w:val="1"/>
                <w:color w:val="auto"/>
              </w:rPr>
              <w:t>2,038</w:t>
            </w:r>
          </w:p>
        </w:tc>
        <w:tc>
          <w:tcPr>
            <w:tcW w:w="480" w:type="dxa"/>
            <w:vAlign w:val="bottom"/>
            <w:tcBorders>
              <w:bottom w:val="single" w:sz="8" w:color="BDD6EE"/>
            </w:tcBorders>
            <w:shd w:val="clear" w:color="auto" w:fill="BDD6EE"/>
          </w:tcPr>
          <w:p>
            <w:pPr>
              <w:spacing w:after="0"/>
              <w:rPr>
                <w:sz w:val="15"/>
                <w:szCs w:val="15"/>
                <w:color w:val="auto"/>
              </w:rPr>
            </w:pPr>
          </w:p>
        </w:tc>
        <w:tc>
          <w:tcPr>
            <w:tcW w:w="780" w:type="dxa"/>
            <w:vAlign w:val="bottom"/>
            <w:tcBorders>
              <w:bottom w:val="single" w:sz="8" w:color="BDD6EE"/>
            </w:tcBorders>
            <w:shd w:val="clear" w:color="auto" w:fill="BDD6EE"/>
          </w:tcPr>
          <w:p>
            <w:pPr>
              <w:spacing w:after="0"/>
              <w:rPr>
                <w:sz w:val="15"/>
                <w:szCs w:val="15"/>
                <w:color w:val="auto"/>
              </w:rPr>
            </w:pPr>
          </w:p>
        </w:tc>
        <w:tc>
          <w:tcPr>
            <w:tcW w:w="760" w:type="dxa"/>
            <w:vAlign w:val="bottom"/>
            <w:tcBorders>
              <w:bottom w:val="single" w:sz="8" w:color="BDD6EE"/>
            </w:tcBorders>
            <w:shd w:val="clear" w:color="auto" w:fill="BDD6EE"/>
          </w:tcPr>
          <w:p>
            <w:pPr>
              <w:spacing w:after="0"/>
              <w:rPr>
                <w:sz w:val="15"/>
                <w:szCs w:val="15"/>
                <w:color w:val="auto"/>
              </w:rPr>
            </w:pPr>
          </w:p>
        </w:tc>
        <w:tc>
          <w:tcPr>
            <w:tcW w:w="700" w:type="dxa"/>
            <w:vAlign w:val="bottom"/>
            <w:tcBorders>
              <w:bottom w:val="single" w:sz="8" w:color="BDD6EE"/>
            </w:tcBorders>
            <w:shd w:val="clear" w:color="auto" w:fill="BDD6EE"/>
          </w:tcPr>
          <w:p>
            <w:pPr>
              <w:spacing w:after="0"/>
              <w:rPr>
                <w:sz w:val="15"/>
                <w:szCs w:val="15"/>
                <w:color w:val="auto"/>
              </w:rPr>
            </w:pPr>
          </w:p>
        </w:tc>
        <w:tc>
          <w:tcPr>
            <w:tcW w:w="620" w:type="dxa"/>
            <w:vAlign w:val="bottom"/>
            <w:tcBorders>
              <w:bottom w:val="single" w:sz="8" w:color="BDD6EE"/>
            </w:tcBorders>
            <w:shd w:val="clear" w:color="auto" w:fill="BDD6EE"/>
          </w:tcPr>
          <w:p>
            <w:pPr>
              <w:spacing w:after="0"/>
              <w:rPr>
                <w:sz w:val="15"/>
                <w:szCs w:val="15"/>
                <w:color w:val="auto"/>
              </w:rPr>
            </w:pPr>
          </w:p>
        </w:tc>
        <w:tc>
          <w:tcPr>
            <w:tcW w:w="680" w:type="dxa"/>
            <w:vAlign w:val="bottom"/>
            <w:tcBorders>
              <w:bottom w:val="single" w:sz="8" w:color="BDD6EE"/>
              <w:right w:val="single" w:sz="8" w:color="BDD6EE"/>
            </w:tcBorders>
            <w:shd w:val="clear" w:color="auto" w:fill="BDD6EE"/>
          </w:tcPr>
          <w:p>
            <w:pPr>
              <w:spacing w:after="0"/>
              <w:rPr>
                <w:sz w:val="15"/>
                <w:szCs w:val="15"/>
                <w:color w:val="auto"/>
              </w:rPr>
            </w:pPr>
          </w:p>
        </w:tc>
        <w:tc>
          <w:tcPr>
            <w:tcW w:w="500" w:type="dxa"/>
            <w:vAlign w:val="bottom"/>
            <w:tcBorders>
              <w:bottom w:val="single" w:sz="8" w:color="BDD6EE"/>
            </w:tcBorders>
            <w:shd w:val="clear" w:color="auto" w:fill="BDD6EE"/>
          </w:tcPr>
          <w:p>
            <w:pPr>
              <w:spacing w:after="0"/>
              <w:rPr>
                <w:sz w:val="15"/>
                <w:szCs w:val="15"/>
                <w:color w:val="auto"/>
              </w:rPr>
            </w:pPr>
          </w:p>
        </w:tc>
        <w:tc>
          <w:tcPr>
            <w:tcW w:w="780" w:type="dxa"/>
            <w:vAlign w:val="bottom"/>
            <w:tcBorders>
              <w:bottom w:val="single" w:sz="8" w:color="BDD6EE"/>
            </w:tcBorders>
            <w:shd w:val="clear" w:color="auto" w:fill="BDD6EE"/>
          </w:tcPr>
          <w:p>
            <w:pPr>
              <w:spacing w:after="0"/>
              <w:rPr>
                <w:sz w:val="15"/>
                <w:szCs w:val="15"/>
                <w:color w:val="auto"/>
              </w:rPr>
            </w:pPr>
          </w:p>
        </w:tc>
        <w:tc>
          <w:tcPr>
            <w:tcW w:w="780" w:type="dxa"/>
            <w:vAlign w:val="bottom"/>
            <w:tcBorders>
              <w:bottom w:val="single" w:sz="8" w:color="BDD6EE"/>
            </w:tcBorders>
            <w:shd w:val="clear" w:color="auto" w:fill="BDD6EE"/>
          </w:tcPr>
          <w:p>
            <w:pPr>
              <w:spacing w:after="0"/>
              <w:rPr>
                <w:sz w:val="15"/>
                <w:szCs w:val="15"/>
                <w:color w:val="auto"/>
              </w:rPr>
            </w:pPr>
          </w:p>
        </w:tc>
        <w:tc>
          <w:tcPr>
            <w:tcW w:w="720" w:type="dxa"/>
            <w:vAlign w:val="bottom"/>
            <w:tcBorders>
              <w:bottom w:val="single" w:sz="8" w:color="BDD6EE"/>
            </w:tcBorders>
            <w:shd w:val="clear" w:color="auto" w:fill="BDD6EE"/>
          </w:tcPr>
          <w:p>
            <w:pPr>
              <w:spacing w:after="0"/>
              <w:rPr>
                <w:sz w:val="15"/>
                <w:szCs w:val="15"/>
                <w:color w:val="auto"/>
              </w:rPr>
            </w:pPr>
          </w:p>
        </w:tc>
        <w:tc>
          <w:tcPr>
            <w:tcW w:w="860" w:type="dxa"/>
            <w:vAlign w:val="bottom"/>
            <w:tcBorders>
              <w:bottom w:val="single" w:sz="8" w:color="BDD6EE"/>
            </w:tcBorders>
            <w:shd w:val="clear" w:color="auto" w:fill="BDD6EE"/>
          </w:tcPr>
          <w:p>
            <w:pPr>
              <w:spacing w:after="0"/>
              <w:rPr>
                <w:sz w:val="15"/>
                <w:szCs w:val="15"/>
                <w:color w:val="auto"/>
              </w:rPr>
            </w:pPr>
          </w:p>
        </w:tc>
        <w:tc>
          <w:tcPr>
            <w:tcW w:w="480" w:type="dxa"/>
            <w:vAlign w:val="bottom"/>
            <w:tcBorders>
              <w:bottom w:val="single" w:sz="8" w:color="BDD6EE"/>
            </w:tcBorders>
            <w:shd w:val="clear" w:color="auto" w:fill="BDD6E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8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8" w:right="299" w:bottom="1440" w:gutter="0" w:footer="0" w:header="0"/>
        </w:sectPr>
      </w:pPr>
    </w:p>
    <w:bookmarkStart w:id="26" w:name="page27"/>
    <w:bookmarkEnd w:id="26"/>
    <w:p>
      <w:pPr>
        <w:ind w:left="8"/>
        <w:spacing w:after="0"/>
        <w:tabs>
          <w:tab w:leader="none" w:pos="188" w:val="left"/>
        </w:tabs>
        <w:rPr>
          <w:sz w:val="20"/>
          <w:szCs w:val="20"/>
          <w:color w:val="auto"/>
        </w:rPr>
      </w:pPr>
      <w:r>
        <w:rPr>
          <w:rFonts w:ascii="Arial" w:cs="Arial" w:eastAsia="Arial" w:hAnsi="Arial"/>
          <w:sz w:val="12"/>
          <w:szCs w:val="12"/>
          <w:b w:val="1"/>
          <w:bCs w:val="1"/>
          <w:color w:val="auto"/>
        </w:rPr>
        <w:t>b)</w:t>
        <w:tab/>
        <w:t>Operational Projects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178040" cy="485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485775"/>
                    </a:xfrm>
                    <a:prstGeom prst="rect">
                      <a:avLst/>
                    </a:prstGeom>
                    <a:noFill/>
                  </pic:spPr>
                </pic:pic>
              </a:graphicData>
            </a:graphic>
          </wp:anchor>
        </w:drawing>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88"/>
        </w:trPr>
        <w:tc>
          <w:tcPr>
            <w:tcW w:w="2160" w:type="dxa"/>
            <w:vAlign w:val="bottom"/>
            <w:shd w:val="clear" w:color="auto" w:fill="1764AC"/>
          </w:tcPr>
          <w:p>
            <w:pPr>
              <w:ind w:left="40"/>
              <w:spacing w:after="0"/>
              <w:rPr>
                <w:sz w:val="20"/>
                <w:szCs w:val="20"/>
                <w:color w:val="auto"/>
              </w:rPr>
            </w:pPr>
            <w:r>
              <w:rPr>
                <w:rFonts w:ascii="Arial" w:cs="Arial" w:eastAsia="Arial" w:hAnsi="Arial"/>
                <w:sz w:val="12"/>
                <w:szCs w:val="12"/>
                <w:i w:val="1"/>
                <w:iCs w:val="1"/>
                <w:color w:val="FFFFFF"/>
              </w:rPr>
              <w:t>($ thousands)</w:t>
            </w:r>
          </w:p>
        </w:tc>
        <w:tc>
          <w:tcPr>
            <w:tcW w:w="900" w:type="dxa"/>
            <w:vAlign w:val="bottom"/>
            <w:shd w:val="clear" w:color="auto" w:fill="1764AC"/>
          </w:tcPr>
          <w:p>
            <w:pPr>
              <w:spacing w:after="0"/>
              <w:rPr>
                <w:sz w:val="16"/>
                <w:szCs w:val="16"/>
                <w:color w:val="auto"/>
              </w:rPr>
            </w:pPr>
          </w:p>
        </w:tc>
        <w:tc>
          <w:tcPr>
            <w:tcW w:w="1140" w:type="dxa"/>
            <w:vAlign w:val="bottom"/>
            <w:shd w:val="clear" w:color="auto" w:fill="1764AC"/>
          </w:tcPr>
          <w:p>
            <w:pPr>
              <w:spacing w:after="0"/>
              <w:rPr>
                <w:sz w:val="16"/>
                <w:szCs w:val="16"/>
                <w:color w:val="auto"/>
              </w:rPr>
            </w:pPr>
          </w:p>
        </w:tc>
        <w:tc>
          <w:tcPr>
            <w:tcW w:w="1020" w:type="dxa"/>
            <w:vAlign w:val="bottom"/>
            <w:tcBorders>
              <w:right w:val="single" w:sz="8" w:color="1764AC"/>
            </w:tcBorders>
            <w:shd w:val="clear" w:color="auto" w:fill="1764AC"/>
          </w:tcPr>
          <w:p>
            <w:pPr>
              <w:spacing w:after="0"/>
              <w:rPr>
                <w:sz w:val="16"/>
                <w:szCs w:val="16"/>
                <w:color w:val="auto"/>
              </w:rPr>
            </w:pPr>
          </w:p>
        </w:tc>
        <w:tc>
          <w:tcPr>
            <w:tcW w:w="2020" w:type="dxa"/>
            <w:vAlign w:val="bottom"/>
            <w:tcBorders>
              <w:right w:val="single" w:sz="8" w:color="1764AC"/>
            </w:tcBorders>
            <w:gridSpan w:val="2"/>
            <w:shd w:val="clear" w:color="auto" w:fill="1764AC"/>
          </w:tcPr>
          <w:p>
            <w:pPr>
              <w:ind w:left="140"/>
              <w:spacing w:after="0"/>
              <w:rPr>
                <w:sz w:val="20"/>
                <w:szCs w:val="20"/>
                <w:color w:val="auto"/>
              </w:rPr>
            </w:pPr>
            <w:r>
              <w:rPr>
                <w:rFonts w:ascii="Arial" w:cs="Arial" w:eastAsia="Arial" w:hAnsi="Arial"/>
                <w:sz w:val="12"/>
                <w:szCs w:val="12"/>
                <w:b w:val="1"/>
                <w:bCs w:val="1"/>
                <w:color w:val="FFFFFF"/>
              </w:rPr>
              <w:t>6 Months ended June 30, 2025</w:t>
            </w:r>
          </w:p>
        </w:tc>
        <w:tc>
          <w:tcPr>
            <w:tcW w:w="2040" w:type="dxa"/>
            <w:vAlign w:val="bottom"/>
            <w:tcBorders>
              <w:right w:val="single" w:sz="8" w:color="1764AC"/>
            </w:tcBorders>
            <w:gridSpan w:val="2"/>
            <w:shd w:val="clear" w:color="auto" w:fill="1764AC"/>
          </w:tcPr>
          <w:p>
            <w:pPr>
              <w:ind w:left="160"/>
              <w:spacing w:after="0"/>
              <w:rPr>
                <w:sz w:val="20"/>
                <w:szCs w:val="20"/>
                <w:color w:val="auto"/>
              </w:rPr>
            </w:pPr>
            <w:r>
              <w:rPr>
                <w:rFonts w:ascii="Arial" w:cs="Arial" w:eastAsia="Arial" w:hAnsi="Arial"/>
                <w:sz w:val="12"/>
                <w:szCs w:val="12"/>
                <w:b w:val="1"/>
                <w:bCs w:val="1"/>
                <w:color w:val="FFFFFF"/>
              </w:rPr>
              <w:t>3 Months ended June 30, 2025</w:t>
            </w:r>
          </w:p>
        </w:tc>
        <w:tc>
          <w:tcPr>
            <w:tcW w:w="1020" w:type="dxa"/>
            <w:vAlign w:val="bottom"/>
            <w:shd w:val="clear" w:color="auto" w:fill="1764AC"/>
          </w:tcPr>
          <w:p>
            <w:pPr>
              <w:spacing w:after="0"/>
              <w:rPr>
                <w:sz w:val="16"/>
                <w:szCs w:val="16"/>
                <w:color w:val="auto"/>
              </w:rPr>
            </w:pPr>
          </w:p>
        </w:tc>
        <w:tc>
          <w:tcPr>
            <w:tcW w:w="1000" w:type="dxa"/>
            <w:vAlign w:val="bottom"/>
            <w:shd w:val="clear" w:color="auto" w:fill="1764A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160" w:type="dxa"/>
            <w:vAlign w:val="bottom"/>
            <w:shd w:val="clear" w:color="auto" w:fill="1764AC"/>
          </w:tcPr>
          <w:p>
            <w:pPr>
              <w:spacing w:after="0"/>
              <w:rPr>
                <w:sz w:val="17"/>
                <w:szCs w:val="17"/>
                <w:color w:val="auto"/>
              </w:rPr>
            </w:pPr>
          </w:p>
        </w:tc>
        <w:tc>
          <w:tcPr>
            <w:tcW w:w="900" w:type="dxa"/>
            <w:vAlign w:val="bottom"/>
            <w:shd w:val="clear" w:color="auto" w:fill="1764AC"/>
          </w:tcPr>
          <w:p>
            <w:pPr>
              <w:spacing w:after="0"/>
              <w:rPr>
                <w:sz w:val="17"/>
                <w:szCs w:val="17"/>
                <w:color w:val="auto"/>
              </w:rPr>
            </w:pPr>
          </w:p>
        </w:tc>
        <w:tc>
          <w:tcPr>
            <w:tcW w:w="1140" w:type="dxa"/>
            <w:vAlign w:val="bottom"/>
            <w:vMerge w:val="restart"/>
            <w:shd w:val="clear" w:color="auto" w:fill="1764AC"/>
          </w:tcPr>
          <w:p>
            <w:pPr>
              <w:jc w:val="center"/>
              <w:ind w:left="40"/>
              <w:spacing w:after="0"/>
              <w:rPr>
                <w:sz w:val="20"/>
                <w:szCs w:val="20"/>
                <w:color w:val="auto"/>
              </w:rPr>
            </w:pPr>
            <w:r>
              <w:rPr>
                <w:rFonts w:ascii="Arial" w:cs="Arial" w:eastAsia="Arial" w:hAnsi="Arial"/>
                <w:sz w:val="12"/>
                <w:szCs w:val="12"/>
                <w:color w:val="FFFFFF"/>
              </w:rPr>
              <w:t>Installed Capacity</w:t>
            </w:r>
          </w:p>
        </w:tc>
        <w:tc>
          <w:tcPr>
            <w:tcW w:w="102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Installed Storage</w:t>
            </w:r>
          </w:p>
        </w:tc>
        <w:tc>
          <w:tcPr>
            <w:tcW w:w="1080" w:type="dxa"/>
            <w:vAlign w:val="bottom"/>
            <w:vMerge w:val="restart"/>
            <w:shd w:val="clear" w:color="auto" w:fill="1764AC"/>
          </w:tcPr>
          <w:p>
            <w:pPr>
              <w:jc w:val="center"/>
              <w:ind w:right="40"/>
              <w:spacing w:after="0"/>
              <w:rPr>
                <w:sz w:val="20"/>
                <w:szCs w:val="20"/>
                <w:color w:val="auto"/>
              </w:rPr>
            </w:pPr>
            <w:r>
              <w:rPr>
                <w:rFonts w:ascii="Arial" w:cs="Arial" w:eastAsia="Arial" w:hAnsi="Arial"/>
                <w:sz w:val="12"/>
                <w:szCs w:val="12"/>
                <w:color w:val="FFFFFF"/>
              </w:rPr>
              <w:t>Revenues and</w:t>
            </w:r>
          </w:p>
        </w:tc>
        <w:tc>
          <w:tcPr>
            <w:tcW w:w="940" w:type="dxa"/>
            <w:vAlign w:val="bottom"/>
            <w:tcBorders>
              <w:right w:val="single" w:sz="8" w:color="1764AC"/>
            </w:tcBorders>
            <w:shd w:val="clear" w:color="auto" w:fill="1764AC"/>
          </w:tcPr>
          <w:p>
            <w:pPr>
              <w:ind w:left="180"/>
              <w:spacing w:after="0"/>
              <w:rPr>
                <w:sz w:val="20"/>
                <w:szCs w:val="20"/>
                <w:color w:val="auto"/>
              </w:rPr>
            </w:pPr>
            <w:r>
              <w:rPr>
                <w:rFonts w:ascii="Arial" w:cs="Arial" w:eastAsia="Arial" w:hAnsi="Arial"/>
                <w:sz w:val="12"/>
                <w:szCs w:val="12"/>
                <w:color w:val="FFFFFF"/>
              </w:rPr>
              <w:t>Segment</w:t>
            </w:r>
          </w:p>
        </w:tc>
        <w:tc>
          <w:tcPr>
            <w:tcW w:w="1020" w:type="dxa"/>
            <w:vAlign w:val="bottom"/>
            <w:vMerge w:val="restart"/>
            <w:shd w:val="clear" w:color="auto" w:fill="1764AC"/>
          </w:tcPr>
          <w:p>
            <w:pPr>
              <w:ind w:left="260"/>
              <w:spacing w:after="0"/>
              <w:rPr>
                <w:sz w:val="20"/>
                <w:szCs w:val="20"/>
                <w:color w:val="auto"/>
              </w:rPr>
            </w:pPr>
            <w:r>
              <w:rPr>
                <w:rFonts w:ascii="Arial" w:cs="Arial" w:eastAsia="Arial" w:hAnsi="Arial"/>
                <w:sz w:val="12"/>
                <w:szCs w:val="12"/>
                <w:color w:val="FFFFFF"/>
              </w:rPr>
              <w:t>Reported</w:t>
            </w:r>
          </w:p>
        </w:tc>
        <w:tc>
          <w:tcPr>
            <w:tcW w:w="1020" w:type="dxa"/>
            <w:vAlign w:val="bottom"/>
            <w:tcBorders>
              <w:right w:val="single" w:sz="8" w:color="1764AC"/>
            </w:tcBorders>
            <w:shd w:val="clear" w:color="auto" w:fill="1764AC"/>
          </w:tcPr>
          <w:p>
            <w:pPr>
              <w:ind w:left="260"/>
              <w:spacing w:after="0"/>
              <w:rPr>
                <w:sz w:val="20"/>
                <w:szCs w:val="20"/>
                <w:color w:val="auto"/>
              </w:rPr>
            </w:pPr>
            <w:r>
              <w:rPr>
                <w:rFonts w:ascii="Arial" w:cs="Arial" w:eastAsia="Arial" w:hAnsi="Arial"/>
                <w:sz w:val="12"/>
                <w:szCs w:val="12"/>
                <w:color w:val="FFFFFF"/>
              </w:rPr>
              <w:t>Segment</w:t>
            </w:r>
          </w:p>
        </w:tc>
        <w:tc>
          <w:tcPr>
            <w:tcW w:w="1020" w:type="dxa"/>
            <w:vAlign w:val="bottom"/>
            <w:vMerge w:val="restart"/>
            <w:shd w:val="clear" w:color="auto" w:fill="1764AC"/>
          </w:tcPr>
          <w:p>
            <w:pPr>
              <w:ind w:left="80"/>
              <w:spacing w:after="0"/>
              <w:rPr>
                <w:sz w:val="20"/>
                <w:szCs w:val="20"/>
                <w:color w:val="auto"/>
              </w:rPr>
            </w:pPr>
            <w:r>
              <w:rPr>
                <w:rFonts w:ascii="Arial" w:cs="Arial" w:eastAsia="Arial" w:hAnsi="Arial"/>
                <w:sz w:val="12"/>
                <w:szCs w:val="12"/>
                <w:color w:val="FFFFFF"/>
              </w:rPr>
              <w:t>Debt balance as</w:t>
            </w:r>
          </w:p>
        </w:tc>
        <w:tc>
          <w:tcPr>
            <w:tcW w:w="1000" w:type="dxa"/>
            <w:vAlign w:val="bottom"/>
            <w:shd w:val="clear" w:color="auto" w:fill="1764AC"/>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2160" w:type="dxa"/>
            <w:vAlign w:val="bottom"/>
            <w:vMerge w:val="restart"/>
            <w:shd w:val="clear" w:color="auto" w:fill="1764AC"/>
          </w:tcPr>
          <w:p>
            <w:pPr>
              <w:ind w:left="40"/>
              <w:spacing w:after="0"/>
              <w:rPr>
                <w:sz w:val="20"/>
                <w:szCs w:val="20"/>
                <w:color w:val="auto"/>
              </w:rPr>
            </w:pPr>
            <w:r>
              <w:rPr>
                <w:rFonts w:ascii="Arial" w:cs="Arial" w:eastAsia="Arial" w:hAnsi="Arial"/>
                <w:sz w:val="12"/>
                <w:szCs w:val="12"/>
                <w:b w:val="1"/>
                <w:bCs w:val="1"/>
                <w:color w:val="FFFFFF"/>
              </w:rPr>
              <w:t>Operational Project</w:t>
            </w:r>
          </w:p>
        </w:tc>
        <w:tc>
          <w:tcPr>
            <w:tcW w:w="900" w:type="dxa"/>
            <w:vAlign w:val="bottom"/>
            <w:vMerge w:val="restart"/>
            <w:shd w:val="clear" w:color="auto" w:fill="1764AC"/>
          </w:tcPr>
          <w:p>
            <w:pPr>
              <w:jc w:val="center"/>
              <w:ind w:left="40"/>
              <w:spacing w:after="0"/>
              <w:rPr>
                <w:sz w:val="20"/>
                <w:szCs w:val="20"/>
                <w:color w:val="auto"/>
              </w:rPr>
            </w:pPr>
            <w:r>
              <w:rPr>
                <w:rFonts w:ascii="Arial" w:cs="Arial" w:eastAsia="Arial" w:hAnsi="Arial"/>
                <w:sz w:val="12"/>
                <w:szCs w:val="12"/>
                <w:b w:val="1"/>
                <w:bCs w:val="1"/>
                <w:color w:val="FFFFFF"/>
              </w:rPr>
              <w:t>Segment</w:t>
            </w:r>
          </w:p>
        </w:tc>
        <w:tc>
          <w:tcPr>
            <w:tcW w:w="1140" w:type="dxa"/>
            <w:vAlign w:val="bottom"/>
            <w:vMerge w:val="continue"/>
            <w:shd w:val="clear" w:color="auto" w:fill="1764AC"/>
          </w:tcPr>
          <w:p>
            <w:pPr>
              <w:spacing w:after="0"/>
              <w:rPr>
                <w:sz w:val="6"/>
                <w:szCs w:val="6"/>
                <w:color w:val="auto"/>
              </w:rPr>
            </w:pPr>
          </w:p>
        </w:tc>
        <w:tc>
          <w:tcPr>
            <w:tcW w:w="1020" w:type="dxa"/>
            <w:vAlign w:val="bottom"/>
            <w:tcBorders>
              <w:right w:val="single" w:sz="8" w:color="1764AC"/>
            </w:tcBorders>
            <w:vMerge w:val="continue"/>
            <w:shd w:val="clear" w:color="auto" w:fill="1764AC"/>
          </w:tcPr>
          <w:p>
            <w:pPr>
              <w:spacing w:after="0"/>
              <w:rPr>
                <w:sz w:val="6"/>
                <w:szCs w:val="6"/>
                <w:color w:val="auto"/>
              </w:rPr>
            </w:pPr>
          </w:p>
        </w:tc>
        <w:tc>
          <w:tcPr>
            <w:tcW w:w="1080" w:type="dxa"/>
            <w:vAlign w:val="bottom"/>
            <w:vMerge w:val="continue"/>
            <w:shd w:val="clear" w:color="auto" w:fill="1764AC"/>
          </w:tcPr>
          <w:p>
            <w:pPr>
              <w:spacing w:after="0"/>
              <w:rPr>
                <w:sz w:val="6"/>
                <w:szCs w:val="6"/>
                <w:color w:val="auto"/>
              </w:rPr>
            </w:pPr>
          </w:p>
        </w:tc>
        <w:tc>
          <w:tcPr>
            <w:tcW w:w="940" w:type="dxa"/>
            <w:vAlign w:val="bottom"/>
            <w:tcBorders>
              <w:right w:val="single" w:sz="8" w:color="1764AC"/>
            </w:tcBorders>
            <w:vMerge w:val="restart"/>
            <w:shd w:val="clear" w:color="auto" w:fill="1764AC"/>
          </w:tcPr>
          <w:p>
            <w:pPr>
              <w:ind w:left="200"/>
              <w:spacing w:after="0"/>
              <w:rPr>
                <w:sz w:val="20"/>
                <w:szCs w:val="20"/>
                <w:color w:val="auto"/>
              </w:rPr>
            </w:pPr>
            <w:r>
              <w:rPr>
                <w:rFonts w:ascii="Arial" w:cs="Arial" w:eastAsia="Arial" w:hAnsi="Arial"/>
                <w:sz w:val="12"/>
                <w:szCs w:val="12"/>
                <w:color w:val="FFFFFF"/>
              </w:rPr>
              <w:t>Adjusted</w:t>
            </w:r>
          </w:p>
        </w:tc>
        <w:tc>
          <w:tcPr>
            <w:tcW w:w="1020" w:type="dxa"/>
            <w:vAlign w:val="bottom"/>
            <w:vMerge w:val="continue"/>
            <w:shd w:val="clear" w:color="auto" w:fill="1764AC"/>
          </w:tcPr>
          <w:p>
            <w:pPr>
              <w:spacing w:after="0"/>
              <w:rPr>
                <w:sz w:val="6"/>
                <w:szCs w:val="6"/>
                <w:color w:val="auto"/>
              </w:rPr>
            </w:pPr>
          </w:p>
        </w:tc>
        <w:tc>
          <w:tcPr>
            <w:tcW w:w="1020" w:type="dxa"/>
            <w:vAlign w:val="bottom"/>
            <w:tcBorders>
              <w:right w:val="single" w:sz="8" w:color="1764AC"/>
            </w:tcBorders>
            <w:vMerge w:val="restart"/>
            <w:shd w:val="clear" w:color="auto" w:fill="1764AC"/>
          </w:tcPr>
          <w:p>
            <w:pPr>
              <w:ind w:left="260"/>
              <w:spacing w:after="0"/>
              <w:rPr>
                <w:sz w:val="20"/>
                <w:szCs w:val="20"/>
                <w:color w:val="auto"/>
              </w:rPr>
            </w:pPr>
            <w:r>
              <w:rPr>
                <w:rFonts w:ascii="Arial" w:cs="Arial" w:eastAsia="Arial" w:hAnsi="Arial"/>
                <w:sz w:val="12"/>
                <w:szCs w:val="12"/>
                <w:color w:val="FFFFFF"/>
              </w:rPr>
              <w:t>Adjusted</w:t>
            </w:r>
          </w:p>
        </w:tc>
        <w:tc>
          <w:tcPr>
            <w:tcW w:w="1020" w:type="dxa"/>
            <w:vAlign w:val="bottom"/>
            <w:vMerge w:val="continue"/>
            <w:shd w:val="clear" w:color="auto" w:fill="1764AC"/>
          </w:tcPr>
          <w:p>
            <w:pPr>
              <w:spacing w:after="0"/>
              <w:rPr>
                <w:sz w:val="6"/>
                <w:szCs w:val="6"/>
                <w:color w:val="auto"/>
              </w:rPr>
            </w:pPr>
          </w:p>
        </w:tc>
        <w:tc>
          <w:tcPr>
            <w:tcW w:w="1000" w:type="dxa"/>
            <w:vAlign w:val="bottom"/>
            <w:vMerge w:val="restart"/>
            <w:shd w:val="clear" w:color="auto" w:fill="1764AC"/>
          </w:tcPr>
          <w:p>
            <w:pPr>
              <w:ind w:left="80"/>
              <w:spacing w:after="0"/>
              <w:rPr>
                <w:sz w:val="20"/>
                <w:szCs w:val="20"/>
                <w:color w:val="auto"/>
              </w:rPr>
            </w:pPr>
            <w:r>
              <w:rPr>
                <w:rFonts w:ascii="Arial" w:cs="Arial" w:eastAsia="Arial" w:hAnsi="Arial"/>
                <w:sz w:val="12"/>
                <w:szCs w:val="12"/>
                <w:color w:val="FFFFFF"/>
              </w:rPr>
              <w:t>Ownership %**</w:t>
            </w:r>
          </w:p>
        </w:tc>
        <w:tc>
          <w:tcPr>
            <w:tcW w:w="0" w:type="dxa"/>
            <w:vAlign w:val="bottom"/>
          </w:tcPr>
          <w:p>
            <w:pPr>
              <w:spacing w:after="0"/>
              <w:rPr>
                <w:sz w:val="1"/>
                <w:szCs w:val="1"/>
                <w:color w:val="auto"/>
              </w:rPr>
            </w:pPr>
          </w:p>
        </w:tc>
      </w:tr>
      <w:tr>
        <w:trPr>
          <w:trHeight w:val="81"/>
        </w:trPr>
        <w:tc>
          <w:tcPr>
            <w:tcW w:w="2160" w:type="dxa"/>
            <w:vAlign w:val="bottom"/>
            <w:vMerge w:val="continue"/>
            <w:shd w:val="clear" w:color="auto" w:fill="1764AC"/>
          </w:tcPr>
          <w:p>
            <w:pPr>
              <w:spacing w:after="0"/>
              <w:rPr>
                <w:sz w:val="7"/>
                <w:szCs w:val="7"/>
                <w:color w:val="auto"/>
              </w:rPr>
            </w:pPr>
          </w:p>
        </w:tc>
        <w:tc>
          <w:tcPr>
            <w:tcW w:w="900" w:type="dxa"/>
            <w:vAlign w:val="bottom"/>
            <w:vMerge w:val="continue"/>
            <w:shd w:val="clear" w:color="auto" w:fill="1764AC"/>
          </w:tcPr>
          <w:p>
            <w:pPr>
              <w:spacing w:after="0"/>
              <w:rPr>
                <w:sz w:val="7"/>
                <w:szCs w:val="7"/>
                <w:color w:val="auto"/>
              </w:rPr>
            </w:pPr>
          </w:p>
        </w:tc>
        <w:tc>
          <w:tcPr>
            <w:tcW w:w="1140" w:type="dxa"/>
            <w:vAlign w:val="bottom"/>
            <w:vMerge w:val="restart"/>
            <w:shd w:val="clear" w:color="auto" w:fill="1764AC"/>
          </w:tcPr>
          <w:p>
            <w:pPr>
              <w:jc w:val="center"/>
              <w:ind w:left="40"/>
              <w:spacing w:after="0"/>
              <w:rPr>
                <w:sz w:val="20"/>
                <w:szCs w:val="20"/>
                <w:color w:val="auto"/>
              </w:rPr>
            </w:pPr>
            <w:r>
              <w:rPr>
                <w:rFonts w:ascii="Arial" w:cs="Arial" w:eastAsia="Arial" w:hAnsi="Arial"/>
                <w:sz w:val="12"/>
                <w:szCs w:val="12"/>
                <w:color w:val="FFFFFF"/>
                <w:w w:val="95"/>
              </w:rPr>
              <w:t>(MW)</w:t>
            </w:r>
          </w:p>
        </w:tc>
        <w:tc>
          <w:tcPr>
            <w:tcW w:w="102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4"/>
              </w:rPr>
              <w:t>(MWh)</w:t>
            </w:r>
          </w:p>
        </w:tc>
        <w:tc>
          <w:tcPr>
            <w:tcW w:w="1080" w:type="dxa"/>
            <w:vAlign w:val="bottom"/>
            <w:vMerge w:val="restart"/>
            <w:shd w:val="clear" w:color="auto" w:fill="1764AC"/>
          </w:tcPr>
          <w:p>
            <w:pPr>
              <w:jc w:val="center"/>
              <w:ind w:right="40"/>
              <w:spacing w:after="0"/>
              <w:rPr>
                <w:sz w:val="20"/>
                <w:szCs w:val="20"/>
                <w:color w:val="auto"/>
              </w:rPr>
            </w:pPr>
            <w:r>
              <w:rPr>
                <w:rFonts w:ascii="Arial" w:cs="Arial" w:eastAsia="Arial" w:hAnsi="Arial"/>
                <w:sz w:val="12"/>
                <w:szCs w:val="12"/>
                <w:color w:val="FFFFFF"/>
                <w:w w:val="98"/>
              </w:rPr>
              <w:t>income</w:t>
            </w:r>
          </w:p>
        </w:tc>
        <w:tc>
          <w:tcPr>
            <w:tcW w:w="940" w:type="dxa"/>
            <w:vAlign w:val="bottom"/>
            <w:tcBorders>
              <w:right w:val="single" w:sz="8" w:color="1764AC"/>
            </w:tcBorders>
            <w:vMerge w:val="continue"/>
            <w:shd w:val="clear" w:color="auto" w:fill="1764AC"/>
          </w:tcPr>
          <w:p>
            <w:pPr>
              <w:spacing w:after="0"/>
              <w:rPr>
                <w:sz w:val="7"/>
                <w:szCs w:val="7"/>
                <w:color w:val="auto"/>
              </w:rPr>
            </w:pPr>
          </w:p>
        </w:tc>
        <w:tc>
          <w:tcPr>
            <w:tcW w:w="1020" w:type="dxa"/>
            <w:vAlign w:val="bottom"/>
            <w:vMerge w:val="restart"/>
            <w:shd w:val="clear" w:color="auto" w:fill="1764AC"/>
          </w:tcPr>
          <w:p>
            <w:pPr>
              <w:ind w:left="280"/>
              <w:spacing w:after="0"/>
              <w:rPr>
                <w:sz w:val="20"/>
                <w:szCs w:val="20"/>
                <w:color w:val="auto"/>
              </w:rPr>
            </w:pPr>
            <w:r>
              <w:rPr>
                <w:rFonts w:ascii="Arial" w:cs="Arial" w:eastAsia="Arial" w:hAnsi="Arial"/>
                <w:sz w:val="12"/>
                <w:szCs w:val="12"/>
                <w:color w:val="FFFFFF"/>
              </w:rPr>
              <w:t>Revenue</w:t>
            </w:r>
          </w:p>
        </w:tc>
        <w:tc>
          <w:tcPr>
            <w:tcW w:w="1020" w:type="dxa"/>
            <w:vAlign w:val="bottom"/>
            <w:tcBorders>
              <w:right w:val="single" w:sz="8" w:color="1764AC"/>
            </w:tcBorders>
            <w:vMerge w:val="continue"/>
            <w:shd w:val="clear" w:color="auto" w:fill="1764AC"/>
          </w:tcPr>
          <w:p>
            <w:pPr>
              <w:spacing w:after="0"/>
              <w:rPr>
                <w:sz w:val="7"/>
                <w:szCs w:val="7"/>
                <w:color w:val="auto"/>
              </w:rPr>
            </w:pPr>
          </w:p>
        </w:tc>
        <w:tc>
          <w:tcPr>
            <w:tcW w:w="1020" w:type="dxa"/>
            <w:vAlign w:val="bottom"/>
            <w:vMerge w:val="restart"/>
            <w:shd w:val="clear" w:color="auto" w:fill="1764AC"/>
          </w:tcPr>
          <w:p>
            <w:pPr>
              <w:ind w:left="60"/>
              <w:spacing w:after="0"/>
              <w:rPr>
                <w:sz w:val="20"/>
                <w:szCs w:val="20"/>
                <w:color w:val="auto"/>
              </w:rPr>
            </w:pPr>
            <w:r>
              <w:rPr>
                <w:rFonts w:ascii="Arial" w:cs="Arial" w:eastAsia="Arial" w:hAnsi="Arial"/>
                <w:sz w:val="12"/>
                <w:szCs w:val="12"/>
                <w:color w:val="FFFFFF"/>
              </w:rPr>
              <w:t>of June 30, 2025</w:t>
            </w:r>
          </w:p>
        </w:tc>
        <w:tc>
          <w:tcPr>
            <w:tcW w:w="1000" w:type="dxa"/>
            <w:vAlign w:val="bottom"/>
            <w:vMerge w:val="continue"/>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shd w:val="clear" w:color="auto" w:fill="1764AC"/>
          </w:tcPr>
          <w:p>
            <w:pPr>
              <w:spacing w:after="0"/>
              <w:rPr>
                <w:sz w:val="7"/>
                <w:szCs w:val="7"/>
                <w:color w:val="auto"/>
              </w:rPr>
            </w:pPr>
          </w:p>
        </w:tc>
        <w:tc>
          <w:tcPr>
            <w:tcW w:w="900" w:type="dxa"/>
            <w:vAlign w:val="bottom"/>
            <w:shd w:val="clear" w:color="auto" w:fill="1764AC"/>
          </w:tcPr>
          <w:p>
            <w:pPr>
              <w:spacing w:after="0"/>
              <w:rPr>
                <w:sz w:val="7"/>
                <w:szCs w:val="7"/>
                <w:color w:val="auto"/>
              </w:rPr>
            </w:pPr>
          </w:p>
        </w:tc>
        <w:tc>
          <w:tcPr>
            <w:tcW w:w="1140" w:type="dxa"/>
            <w:vAlign w:val="bottom"/>
            <w:vMerge w:val="continue"/>
            <w:shd w:val="clear" w:color="auto" w:fill="1764AC"/>
          </w:tcPr>
          <w:p>
            <w:pPr>
              <w:spacing w:after="0"/>
              <w:rPr>
                <w:sz w:val="7"/>
                <w:szCs w:val="7"/>
                <w:color w:val="auto"/>
              </w:rPr>
            </w:pPr>
          </w:p>
        </w:tc>
        <w:tc>
          <w:tcPr>
            <w:tcW w:w="1020" w:type="dxa"/>
            <w:vAlign w:val="bottom"/>
            <w:tcBorders>
              <w:right w:val="single" w:sz="8" w:color="1764AC"/>
            </w:tcBorders>
            <w:vMerge w:val="continue"/>
            <w:shd w:val="clear" w:color="auto" w:fill="1764AC"/>
          </w:tcPr>
          <w:p>
            <w:pPr>
              <w:spacing w:after="0"/>
              <w:rPr>
                <w:sz w:val="7"/>
                <w:szCs w:val="7"/>
                <w:color w:val="auto"/>
              </w:rPr>
            </w:pPr>
          </w:p>
        </w:tc>
        <w:tc>
          <w:tcPr>
            <w:tcW w:w="1080" w:type="dxa"/>
            <w:vAlign w:val="bottom"/>
            <w:vMerge w:val="continue"/>
            <w:shd w:val="clear" w:color="auto" w:fill="1764AC"/>
          </w:tcPr>
          <w:p>
            <w:pPr>
              <w:spacing w:after="0"/>
              <w:rPr>
                <w:sz w:val="7"/>
                <w:szCs w:val="7"/>
                <w:color w:val="auto"/>
              </w:rPr>
            </w:pPr>
          </w:p>
        </w:tc>
        <w:tc>
          <w:tcPr>
            <w:tcW w:w="940" w:type="dxa"/>
            <w:vAlign w:val="bottom"/>
            <w:tcBorders>
              <w:right w:val="single" w:sz="8" w:color="1764AC"/>
            </w:tcBorders>
            <w:vMerge w:val="restart"/>
            <w:shd w:val="clear" w:color="auto" w:fill="1764AC"/>
          </w:tcPr>
          <w:p>
            <w:pPr>
              <w:ind w:left="180"/>
              <w:spacing w:after="0"/>
              <w:rPr>
                <w:sz w:val="20"/>
                <w:szCs w:val="20"/>
                <w:color w:val="auto"/>
              </w:rPr>
            </w:pPr>
            <w:r>
              <w:rPr>
                <w:rFonts w:ascii="Arial" w:cs="Arial" w:eastAsia="Arial" w:hAnsi="Arial"/>
                <w:sz w:val="12"/>
                <w:szCs w:val="12"/>
                <w:color w:val="FFFFFF"/>
              </w:rPr>
              <w:t>EBITDA*</w:t>
            </w:r>
          </w:p>
        </w:tc>
        <w:tc>
          <w:tcPr>
            <w:tcW w:w="1020" w:type="dxa"/>
            <w:vAlign w:val="bottom"/>
            <w:vMerge w:val="continue"/>
            <w:shd w:val="clear" w:color="auto" w:fill="1764AC"/>
          </w:tcPr>
          <w:p>
            <w:pPr>
              <w:spacing w:after="0"/>
              <w:rPr>
                <w:sz w:val="7"/>
                <w:szCs w:val="7"/>
                <w:color w:val="auto"/>
              </w:rPr>
            </w:pPr>
          </w:p>
        </w:tc>
        <w:tc>
          <w:tcPr>
            <w:tcW w:w="1020" w:type="dxa"/>
            <w:vAlign w:val="bottom"/>
            <w:tcBorders>
              <w:right w:val="single" w:sz="8" w:color="1764AC"/>
            </w:tcBorders>
            <w:vMerge w:val="restart"/>
            <w:shd w:val="clear" w:color="auto" w:fill="1764AC"/>
          </w:tcPr>
          <w:p>
            <w:pPr>
              <w:ind w:left="260"/>
              <w:spacing w:after="0"/>
              <w:rPr>
                <w:sz w:val="20"/>
                <w:szCs w:val="20"/>
                <w:color w:val="auto"/>
              </w:rPr>
            </w:pPr>
            <w:r>
              <w:rPr>
                <w:rFonts w:ascii="Arial" w:cs="Arial" w:eastAsia="Arial" w:hAnsi="Arial"/>
                <w:sz w:val="12"/>
                <w:szCs w:val="12"/>
                <w:color w:val="FFFFFF"/>
              </w:rPr>
              <w:t>EBITDA*</w:t>
            </w:r>
          </w:p>
        </w:tc>
        <w:tc>
          <w:tcPr>
            <w:tcW w:w="1020" w:type="dxa"/>
            <w:vAlign w:val="bottom"/>
            <w:vMerge w:val="continue"/>
            <w:shd w:val="clear" w:color="auto" w:fill="1764AC"/>
          </w:tcPr>
          <w:p>
            <w:pPr>
              <w:spacing w:after="0"/>
              <w:rPr>
                <w:sz w:val="7"/>
                <w:szCs w:val="7"/>
                <w:color w:val="auto"/>
              </w:rPr>
            </w:pPr>
          </w:p>
        </w:tc>
        <w:tc>
          <w:tcPr>
            <w:tcW w:w="1000" w:type="dxa"/>
            <w:vAlign w:val="bottom"/>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160" w:type="dxa"/>
            <w:vAlign w:val="bottom"/>
            <w:tcBorders>
              <w:bottom w:val="single" w:sz="8" w:color="1764AC"/>
            </w:tcBorders>
            <w:shd w:val="clear" w:color="auto" w:fill="1764AC"/>
          </w:tcPr>
          <w:p>
            <w:pPr>
              <w:spacing w:after="0"/>
              <w:rPr>
                <w:sz w:val="9"/>
                <w:szCs w:val="9"/>
                <w:color w:val="auto"/>
              </w:rPr>
            </w:pPr>
          </w:p>
        </w:tc>
        <w:tc>
          <w:tcPr>
            <w:tcW w:w="900" w:type="dxa"/>
            <w:vAlign w:val="bottom"/>
            <w:tcBorders>
              <w:bottom w:val="single" w:sz="8" w:color="1764AC"/>
            </w:tcBorders>
            <w:shd w:val="clear" w:color="auto" w:fill="1764AC"/>
          </w:tcPr>
          <w:p>
            <w:pPr>
              <w:spacing w:after="0"/>
              <w:rPr>
                <w:sz w:val="9"/>
                <w:szCs w:val="9"/>
                <w:color w:val="auto"/>
              </w:rPr>
            </w:pPr>
          </w:p>
        </w:tc>
        <w:tc>
          <w:tcPr>
            <w:tcW w:w="1140" w:type="dxa"/>
            <w:vAlign w:val="bottom"/>
            <w:tcBorders>
              <w:bottom w:val="single" w:sz="8" w:color="1764AC"/>
            </w:tcBorders>
            <w:shd w:val="clear" w:color="auto" w:fill="1764AC"/>
          </w:tcPr>
          <w:p>
            <w:pPr>
              <w:spacing w:after="0"/>
              <w:rPr>
                <w:sz w:val="9"/>
                <w:szCs w:val="9"/>
                <w:color w:val="auto"/>
              </w:rPr>
            </w:pPr>
          </w:p>
        </w:tc>
        <w:tc>
          <w:tcPr>
            <w:tcW w:w="1020" w:type="dxa"/>
            <w:vAlign w:val="bottom"/>
            <w:tcBorders>
              <w:bottom w:val="single" w:sz="8" w:color="1764AC"/>
              <w:right w:val="single" w:sz="8" w:color="1764AC"/>
            </w:tcBorders>
            <w:shd w:val="clear" w:color="auto" w:fill="1764AC"/>
          </w:tcPr>
          <w:p>
            <w:pPr>
              <w:spacing w:after="0"/>
              <w:rPr>
                <w:sz w:val="9"/>
                <w:szCs w:val="9"/>
                <w:color w:val="auto"/>
              </w:rPr>
            </w:pPr>
          </w:p>
        </w:tc>
        <w:tc>
          <w:tcPr>
            <w:tcW w:w="1080" w:type="dxa"/>
            <w:vAlign w:val="bottom"/>
            <w:tcBorders>
              <w:bottom w:val="single" w:sz="8" w:color="1764AC"/>
            </w:tcBorders>
            <w:shd w:val="clear" w:color="auto" w:fill="1764AC"/>
          </w:tcPr>
          <w:p>
            <w:pPr>
              <w:spacing w:after="0"/>
              <w:rPr>
                <w:sz w:val="9"/>
                <w:szCs w:val="9"/>
                <w:color w:val="auto"/>
              </w:rPr>
            </w:pPr>
          </w:p>
        </w:tc>
        <w:tc>
          <w:tcPr>
            <w:tcW w:w="940" w:type="dxa"/>
            <w:vAlign w:val="bottom"/>
            <w:tcBorders>
              <w:bottom w:val="single" w:sz="8" w:color="1764AC"/>
              <w:right w:val="single" w:sz="8" w:color="1764AC"/>
            </w:tcBorders>
            <w:vMerge w:val="continue"/>
            <w:shd w:val="clear" w:color="auto" w:fill="1764AC"/>
          </w:tcPr>
          <w:p>
            <w:pPr>
              <w:spacing w:after="0"/>
              <w:rPr>
                <w:sz w:val="9"/>
                <w:szCs w:val="9"/>
                <w:color w:val="auto"/>
              </w:rPr>
            </w:pPr>
          </w:p>
        </w:tc>
        <w:tc>
          <w:tcPr>
            <w:tcW w:w="1020" w:type="dxa"/>
            <w:vAlign w:val="bottom"/>
            <w:tcBorders>
              <w:bottom w:val="single" w:sz="8" w:color="1764AC"/>
            </w:tcBorders>
            <w:shd w:val="clear" w:color="auto" w:fill="1764AC"/>
          </w:tcPr>
          <w:p>
            <w:pPr>
              <w:spacing w:after="0"/>
              <w:rPr>
                <w:sz w:val="9"/>
                <w:szCs w:val="9"/>
                <w:color w:val="auto"/>
              </w:rPr>
            </w:pPr>
          </w:p>
        </w:tc>
        <w:tc>
          <w:tcPr>
            <w:tcW w:w="1020" w:type="dxa"/>
            <w:vAlign w:val="bottom"/>
            <w:tcBorders>
              <w:bottom w:val="single" w:sz="8" w:color="1764AC"/>
              <w:right w:val="single" w:sz="8" w:color="1764AC"/>
            </w:tcBorders>
            <w:vMerge w:val="continue"/>
            <w:shd w:val="clear" w:color="auto" w:fill="1764AC"/>
          </w:tcPr>
          <w:p>
            <w:pPr>
              <w:spacing w:after="0"/>
              <w:rPr>
                <w:sz w:val="9"/>
                <w:szCs w:val="9"/>
                <w:color w:val="auto"/>
              </w:rPr>
            </w:pPr>
          </w:p>
        </w:tc>
        <w:tc>
          <w:tcPr>
            <w:tcW w:w="1020" w:type="dxa"/>
            <w:vAlign w:val="bottom"/>
            <w:tcBorders>
              <w:bottom w:val="single" w:sz="8" w:color="1764AC"/>
            </w:tcBorders>
            <w:shd w:val="clear" w:color="auto" w:fill="1764AC"/>
          </w:tcPr>
          <w:p>
            <w:pPr>
              <w:spacing w:after="0"/>
              <w:rPr>
                <w:sz w:val="9"/>
                <w:szCs w:val="9"/>
                <w:color w:val="auto"/>
              </w:rPr>
            </w:pPr>
          </w:p>
        </w:tc>
        <w:tc>
          <w:tcPr>
            <w:tcW w:w="1000" w:type="dxa"/>
            <w:vAlign w:val="bottom"/>
            <w:tcBorders>
              <w:bottom w:val="single" w:sz="8" w:color="1764AC"/>
            </w:tcBorders>
            <w:shd w:val="clear" w:color="auto" w:fill="1764AC"/>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160" w:type="dxa"/>
            <w:vAlign w:val="bottom"/>
            <w:tcBorders>
              <w:top w:val="single" w:sz="8" w:color="1764AC"/>
            </w:tcBorders>
          </w:tcPr>
          <w:p>
            <w:pPr>
              <w:ind w:left="20"/>
              <w:spacing w:after="0"/>
              <w:rPr>
                <w:sz w:val="20"/>
                <w:szCs w:val="20"/>
                <w:color w:val="auto"/>
              </w:rPr>
            </w:pPr>
            <w:r>
              <w:rPr>
                <w:rFonts w:ascii="Arial" w:cs="Arial" w:eastAsia="Arial" w:hAnsi="Arial"/>
                <w:sz w:val="12"/>
                <w:szCs w:val="12"/>
                <w:color w:val="auto"/>
              </w:rPr>
              <w:t>MENA Wind</w:t>
            </w:r>
          </w:p>
        </w:tc>
        <w:tc>
          <w:tcPr>
            <w:tcW w:w="900" w:type="dxa"/>
            <w:vAlign w:val="bottom"/>
            <w:tcBorders>
              <w:top w:val="single" w:sz="8" w:color="1764AC"/>
            </w:tcBorders>
          </w:tcPr>
          <w:p>
            <w:pPr>
              <w:jc w:val="center"/>
              <w:ind w:left="40"/>
              <w:spacing w:after="0"/>
              <w:rPr>
                <w:sz w:val="20"/>
                <w:szCs w:val="20"/>
                <w:color w:val="auto"/>
              </w:rPr>
            </w:pPr>
            <w:r>
              <w:rPr>
                <w:rFonts w:ascii="Arial" w:cs="Arial" w:eastAsia="Arial" w:hAnsi="Arial"/>
                <w:sz w:val="12"/>
                <w:szCs w:val="12"/>
                <w:color w:val="auto"/>
              </w:rPr>
              <w:t>MENA</w:t>
            </w:r>
          </w:p>
        </w:tc>
        <w:tc>
          <w:tcPr>
            <w:tcW w:w="1140" w:type="dxa"/>
            <w:vAlign w:val="bottom"/>
            <w:tcBorders>
              <w:top w:val="single" w:sz="8" w:color="1764AC"/>
            </w:tcBorders>
          </w:tcPr>
          <w:p>
            <w:pPr>
              <w:jc w:val="center"/>
              <w:ind w:left="40"/>
              <w:spacing w:after="0"/>
              <w:rPr>
                <w:sz w:val="20"/>
                <w:szCs w:val="20"/>
                <w:color w:val="auto"/>
              </w:rPr>
            </w:pPr>
            <w:r>
              <w:rPr>
                <w:rFonts w:ascii="Arial" w:cs="Arial" w:eastAsia="Arial" w:hAnsi="Arial"/>
                <w:sz w:val="12"/>
                <w:szCs w:val="12"/>
                <w:color w:val="auto"/>
                <w:w w:val="99"/>
              </w:rPr>
              <w:t>316</w:t>
            </w:r>
          </w:p>
        </w:tc>
        <w:tc>
          <w:tcPr>
            <w:tcW w:w="1020" w:type="dxa"/>
            <w:vAlign w:val="bottom"/>
            <w:tcBorders>
              <w:top w:val="single" w:sz="8" w:color="1764AC"/>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1080" w:type="dxa"/>
            <w:vAlign w:val="bottom"/>
            <w:tcBorders>
              <w:top w:val="single" w:sz="8" w:color="1764AC"/>
            </w:tcBorders>
          </w:tcPr>
          <w:p>
            <w:pPr>
              <w:jc w:val="center"/>
              <w:ind w:right="20"/>
              <w:spacing w:after="0"/>
              <w:rPr>
                <w:sz w:val="20"/>
                <w:szCs w:val="20"/>
                <w:color w:val="auto"/>
              </w:rPr>
            </w:pPr>
            <w:r>
              <w:rPr>
                <w:rFonts w:ascii="Arial" w:cs="Arial" w:eastAsia="Arial" w:hAnsi="Arial"/>
                <w:sz w:val="12"/>
                <w:szCs w:val="12"/>
                <w:color w:val="auto"/>
                <w:w w:val="97"/>
              </w:rPr>
              <w:t>41,966</w:t>
            </w:r>
          </w:p>
        </w:tc>
        <w:tc>
          <w:tcPr>
            <w:tcW w:w="940" w:type="dxa"/>
            <w:vAlign w:val="bottom"/>
            <w:tcBorders>
              <w:top w:val="single" w:sz="8" w:color="1764AC"/>
              <w:right w:val="single" w:sz="8" w:color="auto"/>
            </w:tcBorders>
          </w:tcPr>
          <w:p>
            <w:pPr>
              <w:spacing w:after="0"/>
              <w:rPr>
                <w:sz w:val="14"/>
                <w:szCs w:val="14"/>
                <w:color w:val="auto"/>
              </w:rPr>
            </w:pPr>
          </w:p>
        </w:tc>
        <w:tc>
          <w:tcPr>
            <w:tcW w:w="1020" w:type="dxa"/>
            <w:vAlign w:val="bottom"/>
            <w:tcBorders>
              <w:top w:val="single" w:sz="8" w:color="1764AC"/>
            </w:tcBorders>
          </w:tcPr>
          <w:p>
            <w:pPr>
              <w:jc w:val="center"/>
              <w:spacing w:after="0"/>
              <w:rPr>
                <w:sz w:val="20"/>
                <w:szCs w:val="20"/>
                <w:color w:val="auto"/>
              </w:rPr>
            </w:pPr>
            <w:r>
              <w:rPr>
                <w:rFonts w:ascii="Arial" w:cs="Arial" w:eastAsia="Arial" w:hAnsi="Arial"/>
                <w:sz w:val="12"/>
                <w:szCs w:val="12"/>
                <w:color w:val="auto"/>
              </w:rPr>
              <w:t>21,400</w:t>
            </w:r>
          </w:p>
        </w:tc>
        <w:tc>
          <w:tcPr>
            <w:tcW w:w="1020" w:type="dxa"/>
            <w:vAlign w:val="bottom"/>
            <w:tcBorders>
              <w:top w:val="single" w:sz="8" w:color="1764AC"/>
              <w:right w:val="single" w:sz="8" w:color="auto"/>
            </w:tcBorders>
          </w:tcPr>
          <w:p>
            <w:pPr>
              <w:spacing w:after="0"/>
              <w:rPr>
                <w:sz w:val="14"/>
                <w:szCs w:val="14"/>
                <w:color w:val="auto"/>
              </w:rPr>
            </w:pPr>
          </w:p>
        </w:tc>
        <w:tc>
          <w:tcPr>
            <w:tcW w:w="1020" w:type="dxa"/>
            <w:vAlign w:val="bottom"/>
            <w:tcBorders>
              <w:top w:val="single" w:sz="8" w:color="1764AC"/>
            </w:tcBorders>
          </w:tcPr>
          <w:p>
            <w:pPr>
              <w:jc w:val="center"/>
              <w:spacing w:after="0"/>
              <w:rPr>
                <w:sz w:val="20"/>
                <w:szCs w:val="20"/>
                <w:color w:val="auto"/>
              </w:rPr>
            </w:pPr>
            <w:r>
              <w:rPr>
                <w:rFonts w:ascii="Arial" w:cs="Arial" w:eastAsia="Arial" w:hAnsi="Arial"/>
                <w:sz w:val="12"/>
                <w:szCs w:val="12"/>
                <w:color w:val="auto"/>
              </w:rPr>
              <w:t>495,619</w:t>
            </w:r>
          </w:p>
        </w:tc>
        <w:tc>
          <w:tcPr>
            <w:tcW w:w="1000" w:type="dxa"/>
            <w:vAlign w:val="bottom"/>
            <w:tcBorders>
              <w:top w:val="single" w:sz="8" w:color="1764AC"/>
            </w:tcBorders>
          </w:tcPr>
          <w:p>
            <w:pPr>
              <w:jc w:val="center"/>
              <w:ind w:left="20"/>
              <w:spacing w:after="0"/>
              <w:rPr>
                <w:sz w:val="20"/>
                <w:szCs w:val="20"/>
                <w:color w:val="auto"/>
              </w:rPr>
            </w:pPr>
            <w:r>
              <w:rPr>
                <w:rFonts w:ascii="Arial" w:cs="Arial" w:eastAsia="Arial" w:hAnsi="Arial"/>
                <w:sz w:val="12"/>
                <w:szCs w:val="12"/>
                <w:color w:val="auto"/>
                <w:w w:val="99"/>
              </w:rPr>
              <w:t>49%</w:t>
            </w:r>
          </w:p>
        </w:tc>
        <w:tc>
          <w:tcPr>
            <w:tcW w:w="0" w:type="dxa"/>
            <w:vAlign w:val="bottom"/>
          </w:tcPr>
          <w:p>
            <w:pPr>
              <w:spacing w:after="0"/>
              <w:rPr>
                <w:sz w:val="1"/>
                <w:szCs w:val="1"/>
                <w:color w:val="auto"/>
              </w:rPr>
            </w:pPr>
          </w:p>
        </w:tc>
      </w:tr>
      <w:tr>
        <w:trPr>
          <w:trHeight w:val="207"/>
        </w:trPr>
        <w:tc>
          <w:tcPr>
            <w:tcW w:w="2160" w:type="dxa"/>
            <w:vAlign w:val="bottom"/>
          </w:tcPr>
          <w:p>
            <w:pPr>
              <w:ind w:left="20"/>
              <w:spacing w:after="0"/>
              <w:rPr>
                <w:sz w:val="20"/>
                <w:szCs w:val="20"/>
                <w:color w:val="auto"/>
              </w:rPr>
            </w:pPr>
            <w:r>
              <w:rPr>
                <w:rFonts w:ascii="Arial" w:cs="Arial" w:eastAsia="Arial" w:hAnsi="Arial"/>
                <w:sz w:val="12"/>
                <w:szCs w:val="12"/>
                <w:color w:val="auto"/>
              </w:rPr>
              <w:t>MENA PV</w:t>
            </w:r>
          </w:p>
        </w:tc>
        <w:tc>
          <w:tcPr>
            <w:tcW w:w="900" w:type="dxa"/>
            <w:vAlign w:val="bottom"/>
          </w:tcPr>
          <w:p>
            <w:pPr>
              <w:jc w:val="center"/>
              <w:ind w:left="40"/>
              <w:spacing w:after="0"/>
              <w:rPr>
                <w:sz w:val="20"/>
                <w:szCs w:val="20"/>
                <w:color w:val="auto"/>
              </w:rPr>
            </w:pPr>
            <w:r>
              <w:rPr>
                <w:rFonts w:ascii="Arial" w:cs="Arial" w:eastAsia="Arial" w:hAnsi="Arial"/>
                <w:sz w:val="12"/>
                <w:szCs w:val="12"/>
                <w:color w:val="auto"/>
              </w:rPr>
              <w:t>MENA</w:t>
            </w: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9"/>
              </w:rPr>
              <w:t>359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797</w:t>
            </w:r>
          </w:p>
        </w:tc>
        <w:tc>
          <w:tcPr>
            <w:tcW w:w="1080" w:type="dxa"/>
            <w:vAlign w:val="bottom"/>
          </w:tcPr>
          <w:p>
            <w:pPr>
              <w:jc w:val="center"/>
              <w:ind w:right="20"/>
              <w:spacing w:after="0"/>
              <w:rPr>
                <w:sz w:val="20"/>
                <w:szCs w:val="20"/>
                <w:color w:val="auto"/>
              </w:rPr>
            </w:pPr>
            <w:r>
              <w:rPr>
                <w:rFonts w:ascii="Arial" w:cs="Arial" w:eastAsia="Arial" w:hAnsi="Arial"/>
                <w:sz w:val="12"/>
                <w:szCs w:val="12"/>
                <w:color w:val="auto"/>
                <w:w w:val="97"/>
              </w:rPr>
              <w:t>53,670</w:t>
            </w:r>
          </w:p>
        </w:tc>
        <w:tc>
          <w:tcPr>
            <w:tcW w:w="940" w:type="dxa"/>
            <w:vAlign w:val="bottom"/>
            <w:tcBorders>
              <w:right w:val="single" w:sz="8" w:color="auto"/>
            </w:tcBorders>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31,369</w:t>
            </w:r>
          </w:p>
        </w:tc>
        <w:tc>
          <w:tcPr>
            <w:tcW w:w="1020" w:type="dxa"/>
            <w:vAlign w:val="bottom"/>
            <w:tcBorders>
              <w:right w:val="single" w:sz="8" w:color="auto"/>
            </w:tcBorders>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541,779</w:t>
            </w:r>
          </w:p>
        </w:tc>
        <w:tc>
          <w:tcPr>
            <w:tcW w:w="1000" w:type="dxa"/>
            <w:vAlign w:val="bottom"/>
          </w:tcPr>
          <w:p>
            <w:pPr>
              <w:jc w:val="center"/>
              <w:ind w:left="20"/>
              <w:spacing w:after="0"/>
              <w:rPr>
                <w:sz w:val="20"/>
                <w:szCs w:val="20"/>
                <w:color w:val="auto"/>
              </w:rPr>
            </w:pPr>
            <w:r>
              <w:rPr>
                <w:rFonts w:ascii="Arial" w:cs="Arial" w:eastAsia="Arial" w:hAnsi="Arial"/>
                <w:sz w:val="12"/>
                <w:szCs w:val="12"/>
                <w:color w:val="auto"/>
                <w:w w:val="99"/>
              </w:rPr>
              <w:t>85%</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160" w:type="dxa"/>
            <w:vAlign w:val="bottom"/>
            <w:tcBorders>
              <w:bottom w:val="single" w:sz="8" w:color="BDD6EE"/>
            </w:tcBorders>
            <w:shd w:val="clear" w:color="auto" w:fill="BDD6EE"/>
          </w:tcPr>
          <w:p>
            <w:pPr>
              <w:ind w:left="20"/>
              <w:spacing w:after="0"/>
              <w:rPr>
                <w:sz w:val="20"/>
                <w:szCs w:val="20"/>
                <w:color w:val="auto"/>
              </w:rPr>
            </w:pPr>
            <w:r>
              <w:rPr>
                <w:rFonts w:ascii="Arial" w:cs="Arial" w:eastAsia="Arial" w:hAnsi="Arial"/>
                <w:sz w:val="12"/>
                <w:szCs w:val="12"/>
                <w:b w:val="1"/>
                <w:bCs w:val="1"/>
                <w:color w:val="auto"/>
              </w:rPr>
              <w:t>Total MENA</w:t>
            </w:r>
          </w:p>
        </w:tc>
        <w:tc>
          <w:tcPr>
            <w:tcW w:w="900" w:type="dxa"/>
            <w:vAlign w:val="bottom"/>
            <w:tcBorders>
              <w:bottom w:val="single" w:sz="8" w:color="BDD6EE"/>
            </w:tcBorders>
            <w:shd w:val="clear" w:color="auto" w:fill="BDD6EE"/>
          </w:tcPr>
          <w:p>
            <w:pPr>
              <w:spacing w:after="0"/>
              <w:rPr>
                <w:sz w:val="17"/>
                <w:szCs w:val="17"/>
                <w:color w:val="auto"/>
              </w:rPr>
            </w:pPr>
          </w:p>
        </w:tc>
        <w:tc>
          <w:tcPr>
            <w:tcW w:w="1140" w:type="dxa"/>
            <w:vAlign w:val="bottom"/>
            <w:tcBorders>
              <w:bottom w:val="single" w:sz="8" w:color="BDD6EE"/>
            </w:tcBorders>
            <w:shd w:val="clear" w:color="auto" w:fill="BDD6EE"/>
          </w:tcPr>
          <w:p>
            <w:pPr>
              <w:jc w:val="center"/>
              <w:ind w:left="40"/>
              <w:spacing w:after="0"/>
              <w:rPr>
                <w:sz w:val="20"/>
                <w:szCs w:val="20"/>
                <w:color w:val="auto"/>
              </w:rPr>
            </w:pPr>
            <w:r>
              <w:rPr>
                <w:rFonts w:ascii="Arial" w:cs="Arial" w:eastAsia="Arial" w:hAnsi="Arial"/>
                <w:sz w:val="12"/>
                <w:szCs w:val="12"/>
                <w:b w:val="1"/>
                <w:bCs w:val="1"/>
                <w:color w:val="auto"/>
                <w:w w:val="99"/>
              </w:rPr>
              <w:t>675</w:t>
            </w:r>
          </w:p>
        </w:tc>
        <w:tc>
          <w:tcPr>
            <w:tcW w:w="1020" w:type="dxa"/>
            <w:vAlign w:val="bottom"/>
            <w:tcBorders>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797</w:t>
            </w:r>
          </w:p>
        </w:tc>
        <w:tc>
          <w:tcPr>
            <w:tcW w:w="1080" w:type="dxa"/>
            <w:vAlign w:val="bottom"/>
            <w:tcBorders>
              <w:bottom w:val="single" w:sz="8" w:color="BDD6EE"/>
            </w:tcBorders>
            <w:shd w:val="clear" w:color="auto" w:fill="BDD6EE"/>
          </w:tcPr>
          <w:p>
            <w:pPr>
              <w:jc w:val="center"/>
              <w:ind w:right="20"/>
              <w:spacing w:after="0"/>
              <w:rPr>
                <w:sz w:val="20"/>
                <w:szCs w:val="20"/>
                <w:color w:val="auto"/>
              </w:rPr>
            </w:pPr>
            <w:r>
              <w:rPr>
                <w:rFonts w:ascii="Arial" w:cs="Arial" w:eastAsia="Arial" w:hAnsi="Arial"/>
                <w:sz w:val="12"/>
                <w:szCs w:val="12"/>
                <w:b w:val="1"/>
                <w:bCs w:val="1"/>
                <w:color w:val="auto"/>
                <w:w w:val="97"/>
              </w:rPr>
              <w:t>95,636</w:t>
            </w:r>
          </w:p>
        </w:tc>
        <w:tc>
          <w:tcPr>
            <w:tcW w:w="940" w:type="dxa"/>
            <w:vAlign w:val="bottom"/>
            <w:tcBorders>
              <w:bottom w:val="single" w:sz="8" w:color="BDD6EE"/>
              <w:right w:val="single" w:sz="8" w:color="auto"/>
            </w:tcBorders>
            <w:shd w:val="clear" w:color="auto" w:fill="BDD6EE"/>
          </w:tcPr>
          <w:p>
            <w:pPr>
              <w:jc w:val="center"/>
              <w:ind w:right="40"/>
              <w:spacing w:after="0"/>
              <w:rPr>
                <w:sz w:val="20"/>
                <w:szCs w:val="20"/>
                <w:color w:val="auto"/>
              </w:rPr>
            </w:pPr>
            <w:r>
              <w:rPr>
                <w:rFonts w:ascii="Arial" w:cs="Arial" w:eastAsia="Arial" w:hAnsi="Arial"/>
                <w:sz w:val="12"/>
                <w:szCs w:val="12"/>
                <w:b w:val="1"/>
                <w:bCs w:val="1"/>
                <w:color w:val="auto"/>
                <w:w w:val="97"/>
              </w:rPr>
              <w:t>64,387</w:t>
            </w:r>
          </w:p>
        </w:tc>
        <w:tc>
          <w:tcPr>
            <w:tcW w:w="102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52,769</w:t>
            </w:r>
          </w:p>
        </w:tc>
        <w:tc>
          <w:tcPr>
            <w:tcW w:w="1020" w:type="dxa"/>
            <w:vAlign w:val="bottom"/>
            <w:tcBorders>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7"/>
              </w:rPr>
              <w:t>38,637</w:t>
            </w:r>
          </w:p>
        </w:tc>
        <w:tc>
          <w:tcPr>
            <w:tcW w:w="102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1,037,398</w:t>
            </w:r>
          </w:p>
        </w:tc>
        <w:tc>
          <w:tcPr>
            <w:tcW w:w="1000" w:type="dxa"/>
            <w:vAlign w:val="bottom"/>
            <w:tcBorders>
              <w:bottom w:val="single" w:sz="8" w:color="BDD6EE"/>
            </w:tcBorders>
            <w:shd w:val="clear" w:color="auto" w:fill="BDD6E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1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Europe Wind</w:t>
            </w:r>
          </w:p>
        </w:tc>
        <w:tc>
          <w:tcPr>
            <w:tcW w:w="900" w:type="dxa"/>
            <w:vAlign w:val="bottom"/>
            <w:tcBorders>
              <w:top w:val="single" w:sz="8" w:color="auto"/>
            </w:tcBorders>
          </w:tcPr>
          <w:p>
            <w:pPr>
              <w:jc w:val="center"/>
              <w:ind w:left="40"/>
              <w:spacing w:after="0"/>
              <w:rPr>
                <w:sz w:val="20"/>
                <w:szCs w:val="20"/>
                <w:color w:val="auto"/>
              </w:rPr>
            </w:pPr>
            <w:r>
              <w:rPr>
                <w:rFonts w:ascii="Arial" w:cs="Arial" w:eastAsia="Arial" w:hAnsi="Arial"/>
                <w:sz w:val="12"/>
                <w:szCs w:val="12"/>
                <w:color w:val="auto"/>
              </w:rPr>
              <w:t>Europe</w:t>
            </w:r>
          </w:p>
        </w:tc>
        <w:tc>
          <w:tcPr>
            <w:tcW w:w="1140" w:type="dxa"/>
            <w:vAlign w:val="bottom"/>
            <w:tcBorders>
              <w:top w:val="single" w:sz="8" w:color="auto"/>
            </w:tcBorders>
          </w:tcPr>
          <w:p>
            <w:pPr>
              <w:jc w:val="center"/>
              <w:ind w:left="20"/>
              <w:spacing w:after="0"/>
              <w:rPr>
                <w:sz w:val="20"/>
                <w:szCs w:val="20"/>
                <w:color w:val="auto"/>
              </w:rPr>
            </w:pPr>
            <w:r>
              <w:rPr>
                <w:rFonts w:ascii="Arial" w:cs="Arial" w:eastAsia="Arial" w:hAnsi="Arial"/>
                <w:sz w:val="12"/>
                <w:szCs w:val="12"/>
                <w:color w:val="auto"/>
                <w:w w:val="99"/>
              </w:rPr>
              <w:t>1,184</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1080" w:type="dxa"/>
            <w:vAlign w:val="bottom"/>
            <w:tcBorders>
              <w:top w:val="single" w:sz="8" w:color="auto"/>
            </w:tcBorders>
          </w:tcPr>
          <w:p>
            <w:pPr>
              <w:jc w:val="center"/>
              <w:ind w:right="20"/>
              <w:spacing w:after="0"/>
              <w:rPr>
                <w:sz w:val="20"/>
                <w:szCs w:val="20"/>
                <w:color w:val="auto"/>
              </w:rPr>
            </w:pPr>
            <w:r>
              <w:rPr>
                <w:rFonts w:ascii="Arial" w:cs="Arial" w:eastAsia="Arial" w:hAnsi="Arial"/>
                <w:sz w:val="12"/>
                <w:szCs w:val="12"/>
                <w:color w:val="auto"/>
                <w:w w:val="97"/>
              </w:rPr>
              <w:t>91,672</w:t>
            </w:r>
          </w:p>
        </w:tc>
        <w:tc>
          <w:tcPr>
            <w:tcW w:w="94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42,878</w:t>
            </w:r>
          </w:p>
        </w:tc>
        <w:tc>
          <w:tcPr>
            <w:tcW w:w="102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759,547</w:t>
            </w: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2"/>
                <w:szCs w:val="12"/>
                <w:color w:val="auto"/>
                <w:w w:val="99"/>
              </w:rPr>
              <w:t>65%</w:t>
            </w:r>
          </w:p>
        </w:tc>
        <w:tc>
          <w:tcPr>
            <w:tcW w:w="0" w:type="dxa"/>
            <w:vAlign w:val="bottom"/>
          </w:tcPr>
          <w:p>
            <w:pPr>
              <w:spacing w:after="0"/>
              <w:rPr>
                <w:sz w:val="1"/>
                <w:szCs w:val="1"/>
                <w:color w:val="auto"/>
              </w:rPr>
            </w:pPr>
          </w:p>
        </w:tc>
      </w:tr>
      <w:tr>
        <w:trPr>
          <w:trHeight w:val="207"/>
        </w:trPr>
        <w:tc>
          <w:tcPr>
            <w:tcW w:w="2160" w:type="dxa"/>
            <w:vAlign w:val="bottom"/>
          </w:tcPr>
          <w:p>
            <w:pPr>
              <w:ind w:left="20"/>
              <w:spacing w:after="0"/>
              <w:rPr>
                <w:sz w:val="20"/>
                <w:szCs w:val="20"/>
                <w:color w:val="auto"/>
              </w:rPr>
            </w:pPr>
            <w:r>
              <w:rPr>
                <w:rFonts w:ascii="Arial" w:cs="Arial" w:eastAsia="Arial" w:hAnsi="Arial"/>
                <w:sz w:val="12"/>
                <w:szCs w:val="12"/>
                <w:color w:val="auto"/>
              </w:rPr>
              <w:t>Europe PV</w:t>
            </w:r>
          </w:p>
        </w:tc>
        <w:tc>
          <w:tcPr>
            <w:tcW w:w="900" w:type="dxa"/>
            <w:vAlign w:val="bottom"/>
          </w:tcPr>
          <w:p>
            <w:pPr>
              <w:jc w:val="center"/>
              <w:ind w:left="40"/>
              <w:spacing w:after="0"/>
              <w:rPr>
                <w:sz w:val="20"/>
                <w:szCs w:val="20"/>
                <w:color w:val="auto"/>
              </w:rPr>
            </w:pPr>
            <w:r>
              <w:rPr>
                <w:rFonts w:ascii="Arial" w:cs="Arial" w:eastAsia="Arial" w:hAnsi="Arial"/>
                <w:sz w:val="12"/>
                <w:szCs w:val="12"/>
                <w:color w:val="auto"/>
              </w:rPr>
              <w:t>Europe</w:t>
            </w: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9"/>
              </w:rPr>
              <w:t>143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1080" w:type="dxa"/>
            <w:vAlign w:val="bottom"/>
          </w:tcPr>
          <w:p>
            <w:pPr>
              <w:jc w:val="center"/>
              <w:ind w:right="40"/>
              <w:spacing w:after="0"/>
              <w:rPr>
                <w:sz w:val="20"/>
                <w:szCs w:val="20"/>
                <w:color w:val="auto"/>
              </w:rPr>
            </w:pPr>
            <w:r>
              <w:rPr>
                <w:rFonts w:ascii="Arial" w:cs="Arial" w:eastAsia="Arial" w:hAnsi="Arial"/>
                <w:sz w:val="12"/>
                <w:szCs w:val="12"/>
                <w:color w:val="auto"/>
                <w:w w:val="99"/>
              </w:rPr>
              <w:t>7,512</w:t>
            </w:r>
          </w:p>
        </w:tc>
        <w:tc>
          <w:tcPr>
            <w:tcW w:w="940" w:type="dxa"/>
            <w:vAlign w:val="bottom"/>
            <w:tcBorders>
              <w:right w:val="single" w:sz="8" w:color="auto"/>
            </w:tcBorders>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9"/>
              </w:rPr>
              <w:t>4,922</w:t>
            </w:r>
          </w:p>
        </w:tc>
        <w:tc>
          <w:tcPr>
            <w:tcW w:w="1020" w:type="dxa"/>
            <w:vAlign w:val="bottom"/>
            <w:tcBorders>
              <w:right w:val="single" w:sz="8" w:color="auto"/>
            </w:tcBorders>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7"/>
              </w:rPr>
              <w:t>74,018</w:t>
            </w:r>
          </w:p>
        </w:tc>
        <w:tc>
          <w:tcPr>
            <w:tcW w:w="1000" w:type="dxa"/>
            <w:vAlign w:val="bottom"/>
          </w:tcPr>
          <w:p>
            <w:pPr>
              <w:jc w:val="center"/>
              <w:ind w:left="20"/>
              <w:spacing w:after="0"/>
              <w:rPr>
                <w:sz w:val="20"/>
                <w:szCs w:val="20"/>
                <w:color w:val="auto"/>
              </w:rPr>
            </w:pPr>
            <w:r>
              <w:rPr>
                <w:rFonts w:ascii="Arial" w:cs="Arial" w:eastAsia="Arial" w:hAnsi="Arial"/>
                <w:sz w:val="12"/>
                <w:szCs w:val="12"/>
                <w:color w:val="auto"/>
                <w:w w:val="99"/>
              </w:rPr>
              <w:t>71%</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160" w:type="dxa"/>
            <w:vAlign w:val="bottom"/>
            <w:tcBorders>
              <w:bottom w:val="single" w:sz="8" w:color="BDD6EE"/>
            </w:tcBorders>
            <w:shd w:val="clear" w:color="auto" w:fill="BDD6EE"/>
          </w:tcPr>
          <w:p>
            <w:pPr>
              <w:ind w:left="20"/>
              <w:spacing w:after="0"/>
              <w:rPr>
                <w:sz w:val="20"/>
                <w:szCs w:val="20"/>
                <w:color w:val="auto"/>
              </w:rPr>
            </w:pPr>
            <w:r>
              <w:rPr>
                <w:rFonts w:ascii="Arial" w:cs="Arial" w:eastAsia="Arial" w:hAnsi="Arial"/>
                <w:sz w:val="12"/>
                <w:szCs w:val="12"/>
                <w:b w:val="1"/>
                <w:bCs w:val="1"/>
                <w:color w:val="auto"/>
              </w:rPr>
              <w:t>Total Europe</w:t>
            </w:r>
          </w:p>
        </w:tc>
        <w:tc>
          <w:tcPr>
            <w:tcW w:w="900" w:type="dxa"/>
            <w:vAlign w:val="bottom"/>
            <w:tcBorders>
              <w:bottom w:val="single" w:sz="8" w:color="BDD6EE"/>
            </w:tcBorders>
            <w:shd w:val="clear" w:color="auto" w:fill="BDD6EE"/>
          </w:tcPr>
          <w:p>
            <w:pPr>
              <w:spacing w:after="0"/>
              <w:rPr>
                <w:sz w:val="17"/>
                <w:szCs w:val="17"/>
                <w:color w:val="auto"/>
              </w:rPr>
            </w:pPr>
          </w:p>
        </w:tc>
        <w:tc>
          <w:tcPr>
            <w:tcW w:w="1140" w:type="dxa"/>
            <w:vAlign w:val="bottom"/>
            <w:tcBorders>
              <w:bottom w:val="single" w:sz="8" w:color="BDD6EE"/>
            </w:tcBorders>
            <w:shd w:val="clear" w:color="auto" w:fill="BDD6EE"/>
          </w:tcPr>
          <w:p>
            <w:pPr>
              <w:jc w:val="center"/>
              <w:ind w:left="20"/>
              <w:spacing w:after="0"/>
              <w:rPr>
                <w:sz w:val="20"/>
                <w:szCs w:val="20"/>
                <w:color w:val="auto"/>
              </w:rPr>
            </w:pPr>
            <w:r>
              <w:rPr>
                <w:rFonts w:ascii="Arial" w:cs="Arial" w:eastAsia="Arial" w:hAnsi="Arial"/>
                <w:sz w:val="12"/>
                <w:szCs w:val="12"/>
                <w:b w:val="1"/>
                <w:bCs w:val="1"/>
                <w:color w:val="auto"/>
                <w:w w:val="99"/>
              </w:rPr>
              <w:t>1,327</w:t>
            </w:r>
          </w:p>
        </w:tc>
        <w:tc>
          <w:tcPr>
            <w:tcW w:w="1020" w:type="dxa"/>
            <w:vAlign w:val="bottom"/>
            <w:tcBorders>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8"/>
              </w:rPr>
              <w:t>-</w:t>
            </w:r>
          </w:p>
        </w:tc>
        <w:tc>
          <w:tcPr>
            <w:tcW w:w="1080" w:type="dxa"/>
            <w:vAlign w:val="bottom"/>
            <w:tcBorders>
              <w:bottom w:val="single" w:sz="8" w:color="BDD6EE"/>
            </w:tcBorders>
            <w:shd w:val="clear" w:color="auto" w:fill="BDD6EE"/>
          </w:tcPr>
          <w:p>
            <w:pPr>
              <w:jc w:val="center"/>
              <w:ind w:right="20"/>
              <w:spacing w:after="0"/>
              <w:rPr>
                <w:sz w:val="20"/>
                <w:szCs w:val="20"/>
                <w:color w:val="auto"/>
              </w:rPr>
            </w:pPr>
            <w:r>
              <w:rPr>
                <w:rFonts w:ascii="Arial" w:cs="Arial" w:eastAsia="Arial" w:hAnsi="Arial"/>
                <w:sz w:val="12"/>
                <w:szCs w:val="12"/>
                <w:b w:val="1"/>
                <w:bCs w:val="1"/>
                <w:color w:val="auto"/>
                <w:w w:val="97"/>
              </w:rPr>
              <w:t>99,184</w:t>
            </w:r>
          </w:p>
        </w:tc>
        <w:tc>
          <w:tcPr>
            <w:tcW w:w="940" w:type="dxa"/>
            <w:vAlign w:val="bottom"/>
            <w:tcBorders>
              <w:bottom w:val="single" w:sz="8" w:color="BDD6EE"/>
              <w:right w:val="single" w:sz="8" w:color="auto"/>
            </w:tcBorders>
            <w:shd w:val="clear" w:color="auto" w:fill="BDD6EE"/>
          </w:tcPr>
          <w:p>
            <w:pPr>
              <w:jc w:val="center"/>
              <w:ind w:right="40"/>
              <w:spacing w:after="0"/>
              <w:rPr>
                <w:sz w:val="20"/>
                <w:szCs w:val="20"/>
                <w:color w:val="auto"/>
              </w:rPr>
            </w:pPr>
            <w:r>
              <w:rPr>
                <w:rFonts w:ascii="Arial" w:cs="Arial" w:eastAsia="Arial" w:hAnsi="Arial"/>
                <w:sz w:val="12"/>
                <w:szCs w:val="12"/>
                <w:b w:val="1"/>
                <w:bCs w:val="1"/>
                <w:color w:val="auto"/>
                <w:w w:val="97"/>
              </w:rPr>
              <w:t>82,226</w:t>
            </w:r>
          </w:p>
        </w:tc>
        <w:tc>
          <w:tcPr>
            <w:tcW w:w="102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47,800</w:t>
            </w:r>
          </w:p>
        </w:tc>
        <w:tc>
          <w:tcPr>
            <w:tcW w:w="1020" w:type="dxa"/>
            <w:vAlign w:val="bottom"/>
            <w:tcBorders>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7"/>
              </w:rPr>
              <w:t>37,563</w:t>
            </w:r>
          </w:p>
        </w:tc>
        <w:tc>
          <w:tcPr>
            <w:tcW w:w="102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833,565</w:t>
            </w:r>
          </w:p>
        </w:tc>
        <w:tc>
          <w:tcPr>
            <w:tcW w:w="1000" w:type="dxa"/>
            <w:vAlign w:val="bottom"/>
            <w:tcBorders>
              <w:bottom w:val="single" w:sz="8" w:color="BDD6EE"/>
            </w:tcBorders>
            <w:shd w:val="clear" w:color="auto" w:fill="BDD6E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1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USA PV</w:t>
            </w:r>
          </w:p>
        </w:tc>
        <w:tc>
          <w:tcPr>
            <w:tcW w:w="900" w:type="dxa"/>
            <w:vAlign w:val="bottom"/>
            <w:tcBorders>
              <w:top w:val="single" w:sz="8" w:color="auto"/>
            </w:tcBorders>
          </w:tcPr>
          <w:p>
            <w:pPr>
              <w:jc w:val="center"/>
              <w:ind w:left="40"/>
              <w:spacing w:after="0"/>
              <w:rPr>
                <w:sz w:val="20"/>
                <w:szCs w:val="20"/>
                <w:color w:val="auto"/>
              </w:rPr>
            </w:pPr>
            <w:r>
              <w:rPr>
                <w:rFonts w:ascii="Arial" w:cs="Arial" w:eastAsia="Arial" w:hAnsi="Arial"/>
                <w:sz w:val="12"/>
                <w:szCs w:val="12"/>
                <w:color w:val="auto"/>
                <w:w w:val="97"/>
              </w:rPr>
              <w:t>USA</w:t>
            </w:r>
          </w:p>
        </w:tc>
        <w:tc>
          <w:tcPr>
            <w:tcW w:w="1140" w:type="dxa"/>
            <w:vAlign w:val="bottom"/>
            <w:tcBorders>
              <w:top w:val="single" w:sz="8" w:color="auto"/>
            </w:tcBorders>
          </w:tcPr>
          <w:p>
            <w:pPr>
              <w:jc w:val="center"/>
              <w:ind w:left="40"/>
              <w:spacing w:after="0"/>
              <w:rPr>
                <w:sz w:val="20"/>
                <w:szCs w:val="20"/>
                <w:color w:val="auto"/>
              </w:rPr>
            </w:pPr>
            <w:r>
              <w:rPr>
                <w:rFonts w:ascii="Arial" w:cs="Arial" w:eastAsia="Arial" w:hAnsi="Arial"/>
                <w:sz w:val="12"/>
                <w:szCs w:val="12"/>
                <w:color w:val="auto"/>
                <w:w w:val="99"/>
              </w:rPr>
              <w:t>470</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1,200</w:t>
            </w:r>
          </w:p>
        </w:tc>
        <w:tc>
          <w:tcPr>
            <w:tcW w:w="1080" w:type="dxa"/>
            <w:vAlign w:val="bottom"/>
            <w:tcBorders>
              <w:top w:val="single" w:sz="8" w:color="auto"/>
            </w:tcBorders>
          </w:tcPr>
          <w:p>
            <w:pPr>
              <w:jc w:val="center"/>
              <w:ind w:right="20"/>
              <w:spacing w:after="0"/>
              <w:rPr>
                <w:sz w:val="20"/>
                <w:szCs w:val="20"/>
                <w:color w:val="auto"/>
              </w:rPr>
            </w:pPr>
            <w:r>
              <w:rPr>
                <w:rFonts w:ascii="Arial" w:cs="Arial" w:eastAsia="Arial" w:hAnsi="Arial"/>
                <w:sz w:val="12"/>
                <w:szCs w:val="12"/>
                <w:color w:val="auto"/>
                <w:w w:val="97"/>
              </w:rPr>
              <w:t>68,980</w:t>
            </w:r>
          </w:p>
        </w:tc>
        <w:tc>
          <w:tcPr>
            <w:tcW w:w="94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34,191</w:t>
            </w:r>
          </w:p>
        </w:tc>
        <w:tc>
          <w:tcPr>
            <w:tcW w:w="102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279,642</w:t>
            </w: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160" w:type="dxa"/>
            <w:vAlign w:val="bottom"/>
            <w:tcBorders>
              <w:bottom w:val="single" w:sz="8" w:color="BDD6EE"/>
            </w:tcBorders>
            <w:shd w:val="clear" w:color="auto" w:fill="BDD6EE"/>
          </w:tcPr>
          <w:p>
            <w:pPr>
              <w:ind w:left="20"/>
              <w:spacing w:after="0"/>
              <w:rPr>
                <w:sz w:val="20"/>
                <w:szCs w:val="20"/>
                <w:color w:val="auto"/>
              </w:rPr>
            </w:pPr>
            <w:r>
              <w:rPr>
                <w:rFonts w:ascii="Arial" w:cs="Arial" w:eastAsia="Arial" w:hAnsi="Arial"/>
                <w:sz w:val="12"/>
                <w:szCs w:val="12"/>
                <w:b w:val="1"/>
                <w:bCs w:val="1"/>
                <w:color w:val="auto"/>
              </w:rPr>
              <w:t>Total USA</w:t>
            </w:r>
          </w:p>
        </w:tc>
        <w:tc>
          <w:tcPr>
            <w:tcW w:w="900" w:type="dxa"/>
            <w:vAlign w:val="bottom"/>
            <w:tcBorders>
              <w:bottom w:val="single" w:sz="8" w:color="BDD6EE"/>
            </w:tcBorders>
            <w:shd w:val="clear" w:color="auto" w:fill="BDD6EE"/>
          </w:tcPr>
          <w:p>
            <w:pPr>
              <w:spacing w:after="0"/>
              <w:rPr>
                <w:sz w:val="17"/>
                <w:szCs w:val="17"/>
                <w:color w:val="auto"/>
              </w:rPr>
            </w:pPr>
          </w:p>
        </w:tc>
        <w:tc>
          <w:tcPr>
            <w:tcW w:w="1140" w:type="dxa"/>
            <w:vAlign w:val="bottom"/>
            <w:tcBorders>
              <w:bottom w:val="single" w:sz="8" w:color="BDD6EE"/>
            </w:tcBorders>
            <w:shd w:val="clear" w:color="auto" w:fill="BDD6EE"/>
          </w:tcPr>
          <w:p>
            <w:pPr>
              <w:jc w:val="center"/>
              <w:ind w:left="40"/>
              <w:spacing w:after="0"/>
              <w:rPr>
                <w:sz w:val="20"/>
                <w:szCs w:val="20"/>
                <w:color w:val="auto"/>
              </w:rPr>
            </w:pPr>
            <w:r>
              <w:rPr>
                <w:rFonts w:ascii="Arial" w:cs="Arial" w:eastAsia="Arial" w:hAnsi="Arial"/>
                <w:sz w:val="12"/>
                <w:szCs w:val="12"/>
                <w:b w:val="1"/>
                <w:bCs w:val="1"/>
                <w:color w:val="auto"/>
                <w:w w:val="99"/>
              </w:rPr>
              <w:t>470</w:t>
            </w:r>
          </w:p>
        </w:tc>
        <w:tc>
          <w:tcPr>
            <w:tcW w:w="1020" w:type="dxa"/>
            <w:vAlign w:val="bottom"/>
            <w:tcBorders>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1,200</w:t>
            </w:r>
          </w:p>
        </w:tc>
        <w:tc>
          <w:tcPr>
            <w:tcW w:w="1080" w:type="dxa"/>
            <w:vAlign w:val="bottom"/>
            <w:tcBorders>
              <w:bottom w:val="single" w:sz="8" w:color="BDD6EE"/>
            </w:tcBorders>
            <w:shd w:val="clear" w:color="auto" w:fill="BDD6EE"/>
          </w:tcPr>
          <w:p>
            <w:pPr>
              <w:jc w:val="center"/>
              <w:ind w:right="20"/>
              <w:spacing w:after="0"/>
              <w:rPr>
                <w:sz w:val="20"/>
                <w:szCs w:val="20"/>
                <w:color w:val="auto"/>
              </w:rPr>
            </w:pPr>
            <w:r>
              <w:rPr>
                <w:rFonts w:ascii="Arial" w:cs="Arial" w:eastAsia="Arial" w:hAnsi="Arial"/>
                <w:sz w:val="12"/>
                <w:szCs w:val="12"/>
                <w:b w:val="1"/>
                <w:bCs w:val="1"/>
                <w:color w:val="auto"/>
                <w:w w:val="97"/>
              </w:rPr>
              <w:t>68,980</w:t>
            </w:r>
          </w:p>
        </w:tc>
        <w:tc>
          <w:tcPr>
            <w:tcW w:w="940" w:type="dxa"/>
            <w:vAlign w:val="bottom"/>
            <w:tcBorders>
              <w:bottom w:val="single" w:sz="8" w:color="BDD6EE"/>
              <w:right w:val="single" w:sz="8" w:color="auto"/>
            </w:tcBorders>
            <w:shd w:val="clear" w:color="auto" w:fill="BDD6EE"/>
          </w:tcPr>
          <w:p>
            <w:pPr>
              <w:jc w:val="center"/>
              <w:ind w:right="40"/>
              <w:spacing w:after="0"/>
              <w:rPr>
                <w:sz w:val="20"/>
                <w:szCs w:val="20"/>
                <w:color w:val="auto"/>
              </w:rPr>
            </w:pPr>
            <w:r>
              <w:rPr>
                <w:rFonts w:ascii="Arial" w:cs="Arial" w:eastAsia="Arial" w:hAnsi="Arial"/>
                <w:sz w:val="12"/>
                <w:szCs w:val="12"/>
                <w:b w:val="1"/>
                <w:bCs w:val="1"/>
                <w:color w:val="auto"/>
                <w:w w:val="97"/>
              </w:rPr>
              <w:t>59,913</w:t>
            </w:r>
          </w:p>
        </w:tc>
        <w:tc>
          <w:tcPr>
            <w:tcW w:w="102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34,191</w:t>
            </w:r>
          </w:p>
        </w:tc>
        <w:tc>
          <w:tcPr>
            <w:tcW w:w="1020" w:type="dxa"/>
            <w:vAlign w:val="bottom"/>
            <w:tcBorders>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7"/>
              </w:rPr>
              <w:t>29,634</w:t>
            </w:r>
          </w:p>
        </w:tc>
        <w:tc>
          <w:tcPr>
            <w:tcW w:w="102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279,642</w:t>
            </w:r>
          </w:p>
        </w:tc>
        <w:tc>
          <w:tcPr>
            <w:tcW w:w="1000" w:type="dxa"/>
            <w:vAlign w:val="bottom"/>
            <w:tcBorders>
              <w:bottom w:val="single" w:sz="8" w:color="BDD6EE"/>
            </w:tcBorders>
            <w:shd w:val="clear" w:color="auto" w:fill="BDD6E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bottom w:val="single" w:sz="8" w:color="BDD6EE"/>
            </w:tcBorders>
            <w:shd w:val="clear" w:color="auto" w:fill="BDD6EE"/>
          </w:tcPr>
          <w:p>
            <w:pPr>
              <w:ind w:left="20"/>
              <w:spacing w:after="0"/>
              <w:rPr>
                <w:sz w:val="20"/>
                <w:szCs w:val="20"/>
                <w:color w:val="auto"/>
              </w:rPr>
            </w:pPr>
            <w:r>
              <w:rPr>
                <w:rFonts w:ascii="Arial" w:cs="Arial" w:eastAsia="Arial" w:hAnsi="Arial"/>
                <w:sz w:val="12"/>
                <w:szCs w:val="12"/>
                <w:b w:val="1"/>
                <w:bCs w:val="1"/>
                <w:color w:val="auto"/>
              </w:rPr>
              <w:t>Total Consolidated Projects</w:t>
            </w:r>
          </w:p>
        </w:tc>
        <w:tc>
          <w:tcPr>
            <w:tcW w:w="900" w:type="dxa"/>
            <w:vAlign w:val="bottom"/>
            <w:tcBorders>
              <w:top w:val="single" w:sz="8" w:color="auto"/>
              <w:bottom w:val="single" w:sz="8" w:color="BDD6EE"/>
            </w:tcBorders>
            <w:shd w:val="clear" w:color="auto" w:fill="BDD6EE"/>
          </w:tcPr>
          <w:p>
            <w:pPr>
              <w:spacing w:after="0"/>
              <w:rPr>
                <w:sz w:val="17"/>
                <w:szCs w:val="17"/>
                <w:color w:val="auto"/>
              </w:rPr>
            </w:pPr>
          </w:p>
        </w:tc>
        <w:tc>
          <w:tcPr>
            <w:tcW w:w="1140" w:type="dxa"/>
            <w:vAlign w:val="bottom"/>
            <w:tcBorders>
              <w:top w:val="single" w:sz="8" w:color="auto"/>
              <w:bottom w:val="single" w:sz="8" w:color="BDD6EE"/>
            </w:tcBorders>
            <w:shd w:val="clear" w:color="auto" w:fill="BDD6EE"/>
          </w:tcPr>
          <w:p>
            <w:pPr>
              <w:jc w:val="center"/>
              <w:ind w:left="20"/>
              <w:spacing w:after="0"/>
              <w:rPr>
                <w:sz w:val="20"/>
                <w:szCs w:val="20"/>
                <w:color w:val="auto"/>
              </w:rPr>
            </w:pPr>
            <w:r>
              <w:rPr>
                <w:rFonts w:ascii="Arial" w:cs="Arial" w:eastAsia="Arial" w:hAnsi="Arial"/>
                <w:sz w:val="12"/>
                <w:szCs w:val="12"/>
                <w:b w:val="1"/>
                <w:bCs w:val="1"/>
                <w:color w:val="auto"/>
                <w:w w:val="99"/>
              </w:rPr>
              <w:t>2,472</w:t>
            </w:r>
          </w:p>
        </w:tc>
        <w:tc>
          <w:tcPr>
            <w:tcW w:w="1020" w:type="dxa"/>
            <w:vAlign w:val="bottom"/>
            <w:tcBorders>
              <w:top w:val="single" w:sz="8" w:color="auto"/>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1,997</w:t>
            </w:r>
          </w:p>
        </w:tc>
        <w:tc>
          <w:tcPr>
            <w:tcW w:w="1080" w:type="dxa"/>
            <w:vAlign w:val="bottom"/>
            <w:tcBorders>
              <w:top w:val="single" w:sz="8" w:color="auto"/>
              <w:bottom w:val="single" w:sz="8" w:color="BDD6EE"/>
            </w:tcBorders>
            <w:shd w:val="clear" w:color="auto" w:fill="BDD6EE"/>
          </w:tcPr>
          <w:p>
            <w:pPr>
              <w:jc w:val="center"/>
              <w:ind w:right="20"/>
              <w:spacing w:after="0"/>
              <w:rPr>
                <w:sz w:val="20"/>
                <w:szCs w:val="20"/>
                <w:color w:val="auto"/>
              </w:rPr>
            </w:pPr>
            <w:r>
              <w:rPr>
                <w:rFonts w:ascii="Arial" w:cs="Arial" w:eastAsia="Arial" w:hAnsi="Arial"/>
                <w:sz w:val="12"/>
                <w:szCs w:val="12"/>
                <w:b w:val="1"/>
                <w:bCs w:val="1"/>
                <w:color w:val="auto"/>
              </w:rPr>
              <w:t>263,800</w:t>
            </w:r>
          </w:p>
        </w:tc>
        <w:tc>
          <w:tcPr>
            <w:tcW w:w="940" w:type="dxa"/>
            <w:vAlign w:val="bottom"/>
            <w:tcBorders>
              <w:top w:val="single" w:sz="8" w:color="auto"/>
              <w:bottom w:val="single" w:sz="8" w:color="BDD6EE"/>
              <w:right w:val="single" w:sz="8" w:color="auto"/>
            </w:tcBorders>
            <w:shd w:val="clear" w:color="auto" w:fill="BDD6EE"/>
          </w:tcPr>
          <w:p>
            <w:pPr>
              <w:jc w:val="center"/>
              <w:ind w:right="40"/>
              <w:spacing w:after="0"/>
              <w:rPr>
                <w:sz w:val="20"/>
                <w:szCs w:val="20"/>
                <w:color w:val="auto"/>
              </w:rPr>
            </w:pPr>
            <w:r>
              <w:rPr>
                <w:rFonts w:ascii="Arial" w:cs="Arial" w:eastAsia="Arial" w:hAnsi="Arial"/>
                <w:sz w:val="12"/>
                <w:szCs w:val="12"/>
                <w:b w:val="1"/>
                <w:bCs w:val="1"/>
                <w:color w:val="auto"/>
              </w:rPr>
              <w:t>206,526</w:t>
            </w:r>
          </w:p>
        </w:tc>
        <w:tc>
          <w:tcPr>
            <w:tcW w:w="1020" w:type="dxa"/>
            <w:vAlign w:val="bottom"/>
            <w:tcBorders>
              <w:top w:val="single" w:sz="8" w:color="auto"/>
              <w:bottom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6"/>
              </w:rPr>
              <w:t>134,760</w:t>
            </w:r>
          </w:p>
        </w:tc>
        <w:tc>
          <w:tcPr>
            <w:tcW w:w="1020" w:type="dxa"/>
            <w:vAlign w:val="bottom"/>
            <w:tcBorders>
              <w:top w:val="single" w:sz="8" w:color="auto"/>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105,564</w:t>
            </w:r>
          </w:p>
        </w:tc>
        <w:tc>
          <w:tcPr>
            <w:tcW w:w="1020" w:type="dxa"/>
            <w:vAlign w:val="bottom"/>
            <w:tcBorders>
              <w:top w:val="single" w:sz="8" w:color="auto"/>
              <w:bottom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2,150,605</w:t>
            </w:r>
          </w:p>
        </w:tc>
        <w:tc>
          <w:tcPr>
            <w:tcW w:w="1000" w:type="dxa"/>
            <w:vAlign w:val="bottom"/>
            <w:tcBorders>
              <w:top w:val="single" w:sz="8" w:color="auto"/>
              <w:bottom w:val="single" w:sz="8" w:color="BDD6EE"/>
            </w:tcBorders>
            <w:shd w:val="clear" w:color="auto" w:fill="BDD6E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1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Uncons. Projects at share</w:t>
            </w:r>
          </w:p>
        </w:tc>
        <w:tc>
          <w:tcPr>
            <w:tcW w:w="9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left="40"/>
              <w:spacing w:after="0"/>
              <w:rPr>
                <w:sz w:val="20"/>
                <w:szCs w:val="20"/>
                <w:color w:val="auto"/>
              </w:rPr>
            </w:pPr>
            <w:r>
              <w:rPr>
                <w:rFonts w:ascii="Arial" w:cs="Arial" w:eastAsia="Arial" w:hAnsi="Arial"/>
                <w:sz w:val="12"/>
                <w:szCs w:val="12"/>
                <w:color w:val="auto"/>
                <w:w w:val="89"/>
              </w:rPr>
              <w:t>42</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41</w:t>
            </w:r>
          </w:p>
        </w:tc>
        <w:tc>
          <w:tcPr>
            <w:tcW w:w="1080" w:type="dxa"/>
            <w:vAlign w:val="bottom"/>
            <w:tcBorders>
              <w:top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left="20"/>
              <w:spacing w:after="0"/>
              <w:rPr>
                <w:sz w:val="20"/>
                <w:szCs w:val="20"/>
                <w:color w:val="auto"/>
              </w:rPr>
            </w:pPr>
            <w:r>
              <w:rPr>
                <w:rFonts w:ascii="Arial" w:cs="Arial" w:eastAsia="Arial" w:hAnsi="Arial"/>
                <w:sz w:val="12"/>
                <w:szCs w:val="12"/>
                <w:color w:val="auto"/>
                <w:w w:val="99"/>
              </w:rPr>
              <w:t>50%</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160" w:type="dxa"/>
            <w:vAlign w:val="bottom"/>
            <w:tcBorders>
              <w:bottom w:val="single" w:sz="8" w:color="BDD6EE"/>
            </w:tcBorders>
            <w:shd w:val="clear" w:color="auto" w:fill="BDD6EE"/>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Borders>
              <w:bottom w:val="single" w:sz="8" w:color="BDD6EE"/>
            </w:tcBorders>
            <w:shd w:val="clear" w:color="auto" w:fill="BDD6EE"/>
          </w:tcPr>
          <w:p>
            <w:pPr>
              <w:spacing w:after="0"/>
              <w:rPr>
                <w:sz w:val="16"/>
                <w:szCs w:val="16"/>
                <w:color w:val="auto"/>
              </w:rPr>
            </w:pPr>
          </w:p>
        </w:tc>
        <w:tc>
          <w:tcPr>
            <w:tcW w:w="1140" w:type="dxa"/>
            <w:vAlign w:val="bottom"/>
            <w:tcBorders>
              <w:bottom w:val="single" w:sz="8" w:color="BDD6EE"/>
            </w:tcBorders>
            <w:shd w:val="clear" w:color="auto" w:fill="BDD6EE"/>
          </w:tcPr>
          <w:p>
            <w:pPr>
              <w:jc w:val="center"/>
              <w:ind w:left="20"/>
              <w:spacing w:after="0"/>
              <w:rPr>
                <w:sz w:val="20"/>
                <w:szCs w:val="20"/>
                <w:color w:val="auto"/>
              </w:rPr>
            </w:pPr>
            <w:r>
              <w:rPr>
                <w:rFonts w:ascii="Arial" w:cs="Arial" w:eastAsia="Arial" w:hAnsi="Arial"/>
                <w:sz w:val="12"/>
                <w:szCs w:val="12"/>
                <w:b w:val="1"/>
                <w:bCs w:val="1"/>
                <w:color w:val="auto"/>
                <w:w w:val="99"/>
              </w:rPr>
              <w:t>2,514</w:t>
            </w:r>
          </w:p>
        </w:tc>
        <w:tc>
          <w:tcPr>
            <w:tcW w:w="1020" w:type="dxa"/>
            <w:vAlign w:val="bottom"/>
            <w:tcBorders>
              <w:bottom w:val="single" w:sz="8" w:color="BDD6EE"/>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2,038</w:t>
            </w:r>
          </w:p>
        </w:tc>
        <w:tc>
          <w:tcPr>
            <w:tcW w:w="1080" w:type="dxa"/>
            <w:vAlign w:val="bottom"/>
            <w:tcBorders>
              <w:bottom w:val="single" w:sz="8" w:color="BDD6EE"/>
            </w:tcBorders>
            <w:shd w:val="clear" w:color="auto" w:fill="BDD6EE"/>
          </w:tcPr>
          <w:p>
            <w:pPr>
              <w:jc w:val="center"/>
              <w:ind w:right="20"/>
              <w:spacing w:after="0"/>
              <w:rPr>
                <w:sz w:val="20"/>
                <w:szCs w:val="20"/>
                <w:color w:val="auto"/>
              </w:rPr>
            </w:pPr>
            <w:r>
              <w:rPr>
                <w:rFonts w:ascii="Arial" w:cs="Arial" w:eastAsia="Arial" w:hAnsi="Arial"/>
                <w:sz w:val="12"/>
                <w:szCs w:val="12"/>
                <w:b w:val="1"/>
                <w:bCs w:val="1"/>
                <w:color w:val="auto"/>
              </w:rPr>
              <w:t>263,800</w:t>
            </w:r>
          </w:p>
        </w:tc>
        <w:tc>
          <w:tcPr>
            <w:tcW w:w="940" w:type="dxa"/>
            <w:vAlign w:val="bottom"/>
            <w:tcBorders>
              <w:bottom w:val="single" w:sz="8" w:color="BDD6EE"/>
              <w:right w:val="single" w:sz="8" w:color="BDD6EE"/>
            </w:tcBorders>
            <w:shd w:val="clear" w:color="auto" w:fill="BDD6EE"/>
          </w:tcPr>
          <w:p>
            <w:pPr>
              <w:jc w:val="center"/>
              <w:ind w:right="20"/>
              <w:spacing w:after="0"/>
              <w:rPr>
                <w:sz w:val="20"/>
                <w:szCs w:val="20"/>
                <w:color w:val="auto"/>
              </w:rPr>
            </w:pPr>
            <w:r>
              <w:rPr>
                <w:rFonts w:ascii="Arial" w:cs="Arial" w:eastAsia="Arial" w:hAnsi="Arial"/>
                <w:sz w:val="12"/>
                <w:szCs w:val="12"/>
                <w:b w:val="1"/>
                <w:bCs w:val="1"/>
                <w:color w:val="auto"/>
                <w:w w:val="96"/>
              </w:rPr>
              <w:t>206,526</w:t>
            </w:r>
          </w:p>
        </w:tc>
        <w:tc>
          <w:tcPr>
            <w:tcW w:w="102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134,760</w:t>
            </w:r>
          </w:p>
        </w:tc>
        <w:tc>
          <w:tcPr>
            <w:tcW w:w="1020" w:type="dxa"/>
            <w:vAlign w:val="bottom"/>
            <w:tcBorders>
              <w:bottom w:val="single" w:sz="8" w:color="BDD6EE"/>
              <w:right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rPr>
              <w:t>105,564</w:t>
            </w:r>
          </w:p>
        </w:tc>
        <w:tc>
          <w:tcPr>
            <w:tcW w:w="1020" w:type="dxa"/>
            <w:vAlign w:val="bottom"/>
            <w:tcBorders>
              <w:bottom w:val="single" w:sz="8" w:color="BDD6EE"/>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7"/>
              </w:rPr>
              <w:t>2,150,605</w:t>
            </w:r>
          </w:p>
        </w:tc>
        <w:tc>
          <w:tcPr>
            <w:tcW w:w="1000" w:type="dxa"/>
            <w:vAlign w:val="bottom"/>
            <w:tcBorders>
              <w:bottom w:val="single" w:sz="8" w:color="BDD6EE"/>
            </w:tcBorders>
            <w:shd w:val="clear" w:color="auto" w:fill="BDD6E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88" w:hanging="88"/>
        <w:spacing w:after="0"/>
        <w:tabs>
          <w:tab w:leader="none" w:pos="88" w:val="left"/>
        </w:tabs>
        <w:numPr>
          <w:ilvl w:val="0"/>
          <w:numId w:val="29"/>
        </w:numPr>
        <w:rPr>
          <w:rFonts w:ascii="Arial" w:cs="Arial" w:eastAsia="Arial" w:hAnsi="Arial"/>
          <w:sz w:val="12"/>
          <w:szCs w:val="12"/>
          <w:color w:val="auto"/>
        </w:rPr>
      </w:pPr>
      <w:r>
        <w:rPr>
          <w:rFonts w:ascii="Calibri" w:cs="Calibri" w:eastAsia="Calibri" w:hAnsi="Calibri"/>
          <w:sz w:val="12"/>
          <w:szCs w:val="12"/>
          <w:color w:val="auto"/>
        </w:rPr>
        <w:t>EBITDA results included $7m in the 6 months ended June 25 and $3m in the 3 months ended June 25, of compensaton recognized from Björnberget project</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2"/>
          <w:szCs w:val="12"/>
          <w:color w:val="auto"/>
        </w:rPr>
        <w:t>** Ownership % is calculated based on the project's share of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27" w:name="page28"/>
    <w:bookmarkEnd w:id="27"/>
    <w:p>
      <w:pPr>
        <w:spacing w:after="0"/>
        <w:tabs>
          <w:tab w:leader="none" w:pos="180" w:val="left"/>
        </w:tabs>
        <w:rPr>
          <w:sz w:val="20"/>
          <w:szCs w:val="20"/>
          <w:color w:val="auto"/>
        </w:rPr>
      </w:pPr>
      <w:r>
        <w:rPr>
          <w:rFonts w:ascii="Arial" w:cs="Arial" w:eastAsia="Arial" w:hAnsi="Arial"/>
          <w:sz w:val="12"/>
          <w:szCs w:val="12"/>
          <w:b w:val="1"/>
          <w:bCs w:val="1"/>
          <w:color w:val="auto"/>
        </w:rPr>
        <w:t>c)</w:t>
      </w:r>
      <w:r>
        <w:rPr>
          <w:sz w:val="20"/>
          <w:szCs w:val="20"/>
          <w:color w:val="auto"/>
        </w:rPr>
        <w:tab/>
      </w:r>
      <w:r>
        <w:rPr>
          <w:rFonts w:ascii="Arial" w:cs="Arial" w:eastAsia="Arial" w:hAnsi="Arial"/>
          <w:sz w:val="11"/>
          <w:szCs w:val="11"/>
          <w:b w:val="1"/>
          <w:bCs w:val="1"/>
          <w:color w:val="auto"/>
        </w:rPr>
        <w:t>Projects under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5944235</wp:posOffset>
            </wp:positionH>
            <wp:positionV relativeFrom="paragraph">
              <wp:posOffset>102870</wp:posOffset>
            </wp:positionV>
            <wp:extent cx="11430" cy="6000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430" cy="60007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102870</wp:posOffset>
            </wp:positionV>
            <wp:extent cx="11430" cy="600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30" cy="600075"/>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102870</wp:posOffset>
            </wp:positionV>
            <wp:extent cx="11430" cy="6000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430" cy="60007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60" w:type="dxa"/>
            <w:vAlign w:val="bottom"/>
            <w:tcBorders>
              <w:right w:val="single" w:sz="8" w:color="1764AC"/>
            </w:tcBorders>
            <w:shd w:val="clear" w:color="auto" w:fill="1764AC"/>
          </w:tcPr>
          <w:p>
            <w:pPr>
              <w:spacing w:after="0"/>
              <w:rPr>
                <w:sz w:val="13"/>
                <w:szCs w:val="13"/>
                <w:color w:val="auto"/>
              </w:rPr>
            </w:pPr>
          </w:p>
        </w:tc>
        <w:tc>
          <w:tcPr>
            <w:tcW w:w="560" w:type="dxa"/>
            <w:vAlign w:val="bottom"/>
            <w:shd w:val="clear" w:color="auto" w:fill="1764AC"/>
          </w:tcPr>
          <w:p>
            <w:pPr>
              <w:spacing w:after="0"/>
              <w:rPr>
                <w:sz w:val="13"/>
                <w:szCs w:val="13"/>
                <w:color w:val="auto"/>
              </w:rPr>
            </w:pPr>
          </w:p>
        </w:tc>
        <w:tc>
          <w:tcPr>
            <w:tcW w:w="700" w:type="dxa"/>
            <w:vAlign w:val="bottom"/>
            <w:shd w:val="clear" w:color="auto" w:fill="1764AC"/>
          </w:tcPr>
          <w:p>
            <w:pPr>
              <w:jc w:val="center"/>
              <w:spacing w:after="0"/>
              <w:rPr>
                <w:sz w:val="20"/>
                <w:szCs w:val="20"/>
                <w:color w:val="auto"/>
              </w:rPr>
            </w:pPr>
            <w:r>
              <w:rPr>
                <w:rFonts w:ascii="Arial" w:cs="Arial" w:eastAsia="Arial" w:hAnsi="Arial"/>
                <w:sz w:val="12"/>
                <w:szCs w:val="12"/>
                <w:color w:val="FFFFFF"/>
              </w:rPr>
              <w:t>Generation</w:t>
            </w:r>
          </w:p>
        </w:tc>
        <w:tc>
          <w:tcPr>
            <w:tcW w:w="640" w:type="dxa"/>
            <w:vAlign w:val="bottom"/>
            <w:tcBorders>
              <w:right w:val="single" w:sz="8" w:color="1764AC"/>
            </w:tcBorders>
            <w:shd w:val="clear" w:color="auto" w:fill="1764AC"/>
          </w:tcPr>
          <w:p>
            <w:pPr>
              <w:spacing w:after="0"/>
              <w:rPr>
                <w:sz w:val="13"/>
                <w:szCs w:val="13"/>
                <w:color w:val="auto"/>
              </w:rPr>
            </w:pPr>
          </w:p>
        </w:tc>
        <w:tc>
          <w:tcPr>
            <w:tcW w:w="580" w:type="dxa"/>
            <w:vAlign w:val="bottom"/>
            <w:shd w:val="clear" w:color="auto" w:fill="1764AC"/>
          </w:tcPr>
          <w:p>
            <w:pPr>
              <w:spacing w:after="0"/>
              <w:rPr>
                <w:sz w:val="13"/>
                <w:szCs w:val="13"/>
                <w:color w:val="auto"/>
              </w:rPr>
            </w:pPr>
          </w:p>
        </w:tc>
        <w:tc>
          <w:tcPr>
            <w:tcW w:w="620" w:type="dxa"/>
            <w:vAlign w:val="bottom"/>
            <w:shd w:val="clear" w:color="auto" w:fill="1764AC"/>
          </w:tcPr>
          <w:p>
            <w:pPr>
              <w:spacing w:after="0"/>
              <w:rPr>
                <w:sz w:val="13"/>
                <w:szCs w:val="13"/>
                <w:color w:val="auto"/>
              </w:rPr>
            </w:pPr>
          </w:p>
        </w:tc>
        <w:tc>
          <w:tcPr>
            <w:tcW w:w="720" w:type="dxa"/>
            <w:vAlign w:val="bottom"/>
            <w:shd w:val="clear" w:color="auto" w:fill="1764AC"/>
          </w:tcPr>
          <w:p>
            <w:pPr>
              <w:spacing w:after="0"/>
              <w:rPr>
                <w:sz w:val="13"/>
                <w:szCs w:val="13"/>
                <w:color w:val="auto"/>
              </w:rPr>
            </w:pPr>
          </w:p>
        </w:tc>
        <w:tc>
          <w:tcPr>
            <w:tcW w:w="680" w:type="dxa"/>
            <w:vAlign w:val="bottom"/>
            <w:shd w:val="clear" w:color="auto" w:fill="1764AC"/>
          </w:tcPr>
          <w:p>
            <w:pPr>
              <w:spacing w:after="0"/>
              <w:rPr>
                <w:sz w:val="13"/>
                <w:szCs w:val="13"/>
                <w:color w:val="auto"/>
              </w:rPr>
            </w:pPr>
          </w:p>
        </w:tc>
        <w:tc>
          <w:tcPr>
            <w:tcW w:w="5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Est. Total</w:t>
            </w:r>
          </w:p>
        </w:tc>
        <w:tc>
          <w:tcPr>
            <w:tcW w:w="620" w:type="dxa"/>
            <w:vAlign w:val="bottom"/>
            <w:shd w:val="clear" w:color="auto" w:fill="1764AC"/>
          </w:tcPr>
          <w:p>
            <w:pPr>
              <w:spacing w:after="0"/>
              <w:rPr>
                <w:sz w:val="13"/>
                <w:szCs w:val="13"/>
                <w:color w:val="auto"/>
              </w:rPr>
            </w:pPr>
          </w:p>
        </w:tc>
        <w:tc>
          <w:tcPr>
            <w:tcW w:w="880" w:type="dxa"/>
            <w:vAlign w:val="bottom"/>
            <w:shd w:val="clear" w:color="auto" w:fill="1764AC"/>
          </w:tcPr>
          <w:p>
            <w:pPr>
              <w:spacing w:after="0"/>
              <w:rPr>
                <w:sz w:val="13"/>
                <w:szCs w:val="13"/>
                <w:color w:val="auto"/>
              </w:rPr>
            </w:pPr>
          </w:p>
        </w:tc>
        <w:tc>
          <w:tcPr>
            <w:tcW w:w="640" w:type="dxa"/>
            <w:vAlign w:val="bottom"/>
            <w:shd w:val="clear" w:color="auto" w:fill="1764AC"/>
          </w:tcPr>
          <w:p>
            <w:pPr>
              <w:spacing w:after="0"/>
              <w:rPr>
                <w:sz w:val="13"/>
                <w:szCs w:val="13"/>
                <w:color w:val="auto"/>
              </w:rPr>
            </w:pPr>
          </w:p>
        </w:tc>
        <w:tc>
          <w:tcPr>
            <w:tcW w:w="580" w:type="dxa"/>
            <w:vAlign w:val="bottom"/>
            <w:shd w:val="clear" w:color="auto" w:fill="1764AC"/>
          </w:tcPr>
          <w:p>
            <w:pPr>
              <w:spacing w:after="0"/>
              <w:rPr>
                <w:sz w:val="13"/>
                <w:szCs w:val="13"/>
                <w:color w:val="auto"/>
              </w:rPr>
            </w:pPr>
          </w:p>
        </w:tc>
        <w:tc>
          <w:tcPr>
            <w:tcW w:w="680" w:type="dxa"/>
            <w:vAlign w:val="bottom"/>
            <w:shd w:val="clear" w:color="auto" w:fill="1764AC"/>
          </w:tcPr>
          <w:p>
            <w:pPr>
              <w:spacing w:after="0"/>
              <w:rPr>
                <w:sz w:val="13"/>
                <w:szCs w:val="13"/>
                <w:color w:val="auto"/>
              </w:rPr>
            </w:pPr>
          </w:p>
        </w:tc>
        <w:tc>
          <w:tcPr>
            <w:tcW w:w="660" w:type="dxa"/>
            <w:vAlign w:val="bottom"/>
            <w:shd w:val="clear" w:color="auto" w:fill="1764AC"/>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160" w:type="dxa"/>
            <w:vAlign w:val="bottom"/>
            <w:tcBorders>
              <w:right w:val="single" w:sz="8" w:color="1764AC"/>
            </w:tcBorders>
            <w:shd w:val="clear" w:color="auto" w:fill="1764AC"/>
          </w:tcPr>
          <w:p>
            <w:pPr>
              <w:spacing w:after="0"/>
              <w:rPr>
                <w:sz w:val="6"/>
                <w:szCs w:val="6"/>
                <w:color w:val="auto"/>
              </w:rPr>
            </w:pPr>
          </w:p>
        </w:tc>
        <w:tc>
          <w:tcPr>
            <w:tcW w:w="560" w:type="dxa"/>
            <w:vAlign w:val="bottom"/>
            <w:shd w:val="clear" w:color="auto" w:fill="1764AC"/>
          </w:tcPr>
          <w:p>
            <w:pPr>
              <w:spacing w:after="0"/>
              <w:rPr>
                <w:sz w:val="6"/>
                <w:szCs w:val="6"/>
                <w:color w:val="auto"/>
              </w:rPr>
            </w:pPr>
          </w:p>
        </w:tc>
        <w:tc>
          <w:tcPr>
            <w:tcW w:w="70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and energy</w:t>
            </w:r>
          </w:p>
        </w:tc>
        <w:tc>
          <w:tcPr>
            <w:tcW w:w="640" w:type="dxa"/>
            <w:vAlign w:val="bottom"/>
            <w:tcBorders>
              <w:right w:val="single" w:sz="8" w:color="1764AC"/>
            </w:tcBorders>
            <w:shd w:val="clear" w:color="auto" w:fill="1764AC"/>
          </w:tcPr>
          <w:p>
            <w:pPr>
              <w:spacing w:after="0"/>
              <w:rPr>
                <w:sz w:val="6"/>
                <w:szCs w:val="6"/>
                <w:color w:val="auto"/>
              </w:rPr>
            </w:pPr>
          </w:p>
        </w:tc>
        <w:tc>
          <w:tcPr>
            <w:tcW w:w="580" w:type="dxa"/>
            <w:vAlign w:val="bottom"/>
            <w:shd w:val="clear" w:color="auto" w:fill="1764AC"/>
          </w:tcPr>
          <w:p>
            <w:pPr>
              <w:spacing w:after="0"/>
              <w:rPr>
                <w:sz w:val="6"/>
                <w:szCs w:val="6"/>
                <w:color w:val="auto"/>
              </w:rPr>
            </w:pPr>
          </w:p>
        </w:tc>
        <w:tc>
          <w:tcPr>
            <w:tcW w:w="62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4"/>
              </w:rPr>
              <w:t>Tax credit</w:t>
            </w:r>
          </w:p>
        </w:tc>
        <w:tc>
          <w:tcPr>
            <w:tcW w:w="720" w:type="dxa"/>
            <w:vAlign w:val="bottom"/>
            <w:shd w:val="clear" w:color="auto" w:fill="1764AC"/>
          </w:tcPr>
          <w:p>
            <w:pPr>
              <w:spacing w:after="0"/>
              <w:rPr>
                <w:sz w:val="6"/>
                <w:szCs w:val="6"/>
                <w:color w:val="auto"/>
              </w:rPr>
            </w:pP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Discounted</w:t>
            </w:r>
          </w:p>
        </w:tc>
        <w:tc>
          <w:tcPr>
            <w:tcW w:w="580" w:type="dxa"/>
            <w:vAlign w:val="bottom"/>
            <w:vMerge w:val="continue"/>
            <w:shd w:val="clear" w:color="auto" w:fill="1764AC"/>
          </w:tcPr>
          <w:p>
            <w:pPr>
              <w:spacing w:after="0"/>
              <w:rPr>
                <w:sz w:val="6"/>
                <w:szCs w:val="6"/>
                <w:color w:val="auto"/>
              </w:rPr>
            </w:pPr>
          </w:p>
        </w:tc>
        <w:tc>
          <w:tcPr>
            <w:tcW w:w="62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Capital</w:t>
            </w:r>
          </w:p>
        </w:tc>
        <w:tc>
          <w:tcPr>
            <w:tcW w:w="880" w:type="dxa"/>
            <w:vAlign w:val="bottom"/>
            <w:shd w:val="clear" w:color="auto" w:fill="1764AC"/>
          </w:tcPr>
          <w:p>
            <w:pPr>
              <w:spacing w:after="0"/>
              <w:rPr>
                <w:sz w:val="6"/>
                <w:szCs w:val="6"/>
                <w:color w:val="auto"/>
              </w:rPr>
            </w:pPr>
          </w:p>
        </w:tc>
        <w:tc>
          <w:tcPr>
            <w:tcW w:w="64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Equity</w:t>
            </w:r>
          </w:p>
        </w:tc>
        <w:tc>
          <w:tcPr>
            <w:tcW w:w="580" w:type="dxa"/>
            <w:vAlign w:val="bottom"/>
            <w:shd w:val="clear" w:color="auto" w:fill="1764AC"/>
          </w:tcPr>
          <w:p>
            <w:pPr>
              <w:spacing w:after="0"/>
              <w:rPr>
                <w:sz w:val="6"/>
                <w:szCs w:val="6"/>
                <w:color w:val="auto"/>
              </w:rPr>
            </w:pPr>
          </w:p>
        </w:tc>
        <w:tc>
          <w:tcPr>
            <w:tcW w:w="680" w:type="dxa"/>
            <w:vAlign w:val="bottom"/>
            <w:shd w:val="clear" w:color="auto" w:fill="1764AC"/>
          </w:tcPr>
          <w:p>
            <w:pPr>
              <w:spacing w:after="0"/>
              <w:rPr>
                <w:sz w:val="6"/>
                <w:szCs w:val="6"/>
                <w:color w:val="auto"/>
              </w:rPr>
            </w:pPr>
          </w:p>
        </w:tc>
        <w:tc>
          <w:tcPr>
            <w:tcW w:w="660" w:type="dxa"/>
            <w:vAlign w:val="bottom"/>
            <w:shd w:val="clear" w:color="auto" w:fill="1764A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160" w:type="dxa"/>
            <w:vAlign w:val="bottom"/>
            <w:tcBorders>
              <w:right w:val="single" w:sz="8" w:color="1764AC"/>
            </w:tcBorders>
            <w:vMerge w:val="restart"/>
            <w:shd w:val="clear" w:color="auto" w:fill="1764AC"/>
          </w:tcPr>
          <w:p>
            <w:pPr>
              <w:ind w:left="20"/>
              <w:spacing w:after="0"/>
              <w:rPr>
                <w:sz w:val="20"/>
                <w:szCs w:val="20"/>
                <w:color w:val="auto"/>
              </w:rPr>
            </w:pPr>
            <w:r>
              <w:rPr>
                <w:rFonts w:ascii="Arial" w:cs="Arial" w:eastAsia="Arial" w:hAnsi="Arial"/>
                <w:sz w:val="12"/>
                <w:szCs w:val="12"/>
                <w:b w:val="1"/>
                <w:bCs w:val="1"/>
                <w:color w:val="FFFFFF"/>
              </w:rPr>
              <w:t>($ millions)</w:t>
            </w:r>
          </w:p>
        </w:tc>
        <w:tc>
          <w:tcPr>
            <w:tcW w:w="560" w:type="dxa"/>
            <w:vAlign w:val="bottom"/>
            <w:shd w:val="clear" w:color="auto" w:fill="1764AC"/>
          </w:tcPr>
          <w:p>
            <w:pPr>
              <w:spacing w:after="0"/>
              <w:rPr>
                <w:sz w:val="10"/>
                <w:szCs w:val="10"/>
                <w:color w:val="auto"/>
              </w:rPr>
            </w:pPr>
          </w:p>
        </w:tc>
        <w:tc>
          <w:tcPr>
            <w:tcW w:w="700" w:type="dxa"/>
            <w:vAlign w:val="bottom"/>
            <w:vMerge w:val="continue"/>
            <w:shd w:val="clear" w:color="auto" w:fill="1764AC"/>
          </w:tcPr>
          <w:p>
            <w:pPr>
              <w:spacing w:after="0"/>
              <w:rPr>
                <w:sz w:val="10"/>
                <w:szCs w:val="10"/>
                <w:color w:val="auto"/>
              </w:rPr>
            </w:pPr>
          </w:p>
        </w:tc>
        <w:tc>
          <w:tcPr>
            <w:tcW w:w="64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6"/>
              </w:rPr>
              <w:t>Est.</w:t>
            </w:r>
          </w:p>
        </w:tc>
        <w:tc>
          <w:tcPr>
            <w:tcW w:w="58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w w:val="98"/>
              </w:rPr>
              <w:t>Est. Total</w:t>
            </w:r>
          </w:p>
        </w:tc>
        <w:tc>
          <w:tcPr>
            <w:tcW w:w="620" w:type="dxa"/>
            <w:vAlign w:val="bottom"/>
            <w:vMerge w:val="continue"/>
            <w:shd w:val="clear" w:color="auto" w:fill="1764AC"/>
          </w:tcPr>
          <w:p>
            <w:pPr>
              <w:spacing w:after="0"/>
              <w:rPr>
                <w:sz w:val="10"/>
                <w:szCs w:val="10"/>
                <w:color w:val="auto"/>
              </w:rPr>
            </w:pPr>
          </w:p>
        </w:tc>
        <w:tc>
          <w:tcPr>
            <w:tcW w:w="72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w w:val="94"/>
              </w:rPr>
              <w:t>Tax credit</w:t>
            </w:r>
          </w:p>
        </w:tc>
        <w:tc>
          <w:tcPr>
            <w:tcW w:w="680" w:type="dxa"/>
            <w:vAlign w:val="bottom"/>
            <w:vMerge w:val="continue"/>
            <w:shd w:val="clear" w:color="auto" w:fill="1764AC"/>
          </w:tcPr>
          <w:p>
            <w:pPr>
              <w:spacing w:after="0"/>
              <w:rPr>
                <w:sz w:val="10"/>
                <w:szCs w:val="10"/>
                <w:color w:val="auto"/>
              </w:rPr>
            </w:pPr>
          </w:p>
        </w:tc>
        <w:tc>
          <w:tcPr>
            <w:tcW w:w="58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rPr>
              <w:t>Project</w:t>
            </w:r>
          </w:p>
        </w:tc>
        <w:tc>
          <w:tcPr>
            <w:tcW w:w="620" w:type="dxa"/>
            <w:vAlign w:val="bottom"/>
            <w:vMerge w:val="continue"/>
            <w:shd w:val="clear" w:color="auto" w:fill="1764AC"/>
          </w:tcPr>
          <w:p>
            <w:pPr>
              <w:spacing w:after="0"/>
              <w:rPr>
                <w:sz w:val="10"/>
                <w:szCs w:val="10"/>
                <w:color w:val="auto"/>
              </w:rPr>
            </w:pPr>
          </w:p>
        </w:tc>
        <w:tc>
          <w:tcPr>
            <w:tcW w:w="8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Est. Equity</w:t>
            </w:r>
          </w:p>
        </w:tc>
        <w:tc>
          <w:tcPr>
            <w:tcW w:w="640" w:type="dxa"/>
            <w:vAlign w:val="bottom"/>
            <w:vMerge w:val="continue"/>
            <w:shd w:val="clear" w:color="auto" w:fill="1764AC"/>
          </w:tcPr>
          <w:p>
            <w:pPr>
              <w:spacing w:after="0"/>
              <w:rPr>
                <w:sz w:val="10"/>
                <w:szCs w:val="10"/>
                <w:color w:val="auto"/>
              </w:rPr>
            </w:pPr>
          </w:p>
        </w:tc>
        <w:tc>
          <w:tcPr>
            <w:tcW w:w="580" w:type="dxa"/>
            <w:vAlign w:val="bottom"/>
            <w:shd w:val="clear" w:color="auto" w:fill="1764AC"/>
          </w:tcPr>
          <w:p>
            <w:pPr>
              <w:jc w:val="right"/>
              <w:spacing w:after="0" w:line="121" w:lineRule="exact"/>
              <w:rPr>
                <w:sz w:val="20"/>
                <w:szCs w:val="20"/>
                <w:color w:val="auto"/>
              </w:rPr>
            </w:pPr>
            <w:r>
              <w:rPr>
                <w:rFonts w:ascii="Arial" w:cs="Arial" w:eastAsia="Arial" w:hAnsi="Arial"/>
                <w:sz w:val="12"/>
                <w:szCs w:val="12"/>
                <w:color w:val="FFFFFF"/>
              </w:rPr>
              <w:t>Est. First</w:t>
            </w:r>
          </w:p>
        </w:tc>
        <w:tc>
          <w:tcPr>
            <w:tcW w:w="68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w w:val="97"/>
              </w:rPr>
              <w:t>Est. First</w:t>
            </w:r>
          </w:p>
        </w:tc>
        <w:tc>
          <w:tcPr>
            <w:tcW w:w="660" w:type="dxa"/>
            <w:vAlign w:val="bottom"/>
            <w:vMerge w:val="restart"/>
            <w:shd w:val="clear" w:color="auto" w:fill="1764AC"/>
          </w:tcPr>
          <w:p>
            <w:pPr>
              <w:ind w:left="40"/>
              <w:spacing w:after="0"/>
              <w:rPr>
                <w:sz w:val="20"/>
                <w:szCs w:val="20"/>
                <w:color w:val="auto"/>
              </w:rPr>
            </w:pPr>
            <w:r>
              <w:rPr>
                <w:rFonts w:ascii="Arial" w:cs="Arial" w:eastAsia="Arial" w:hAnsi="Arial"/>
                <w:sz w:val="12"/>
                <w:szCs w:val="12"/>
                <w:color w:val="FFFFFF"/>
              </w:rPr>
              <w:t>Ownership</w:t>
            </w:r>
          </w:p>
        </w:tc>
        <w:tc>
          <w:tcPr>
            <w:tcW w:w="0" w:type="dxa"/>
            <w:vAlign w:val="bottom"/>
          </w:tcPr>
          <w:p>
            <w:pPr>
              <w:spacing w:after="0"/>
              <w:rPr>
                <w:sz w:val="1"/>
                <w:szCs w:val="1"/>
                <w:color w:val="auto"/>
              </w:rPr>
            </w:pPr>
          </w:p>
        </w:tc>
      </w:tr>
      <w:tr>
        <w:trPr>
          <w:trHeight w:val="104"/>
        </w:trPr>
        <w:tc>
          <w:tcPr>
            <w:tcW w:w="2160" w:type="dxa"/>
            <w:vAlign w:val="bottom"/>
            <w:tcBorders>
              <w:right w:val="single" w:sz="8" w:color="1764AC"/>
            </w:tcBorders>
            <w:vMerge w:val="continue"/>
            <w:shd w:val="clear" w:color="auto" w:fill="1764AC"/>
          </w:tcPr>
          <w:p>
            <w:pPr>
              <w:spacing w:after="0"/>
              <w:rPr>
                <w:sz w:val="9"/>
                <w:szCs w:val="9"/>
                <w:color w:val="auto"/>
              </w:rPr>
            </w:pPr>
          </w:p>
        </w:tc>
        <w:tc>
          <w:tcPr>
            <w:tcW w:w="5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Country</w:t>
            </w:r>
          </w:p>
        </w:tc>
        <w:tc>
          <w:tcPr>
            <w:tcW w:w="700" w:type="dxa"/>
            <w:vAlign w:val="bottom"/>
            <w:shd w:val="clear" w:color="auto" w:fill="1764AC"/>
          </w:tcPr>
          <w:p>
            <w:pPr>
              <w:jc w:val="center"/>
              <w:spacing w:after="0" w:line="105" w:lineRule="exact"/>
              <w:rPr>
                <w:sz w:val="20"/>
                <w:szCs w:val="20"/>
                <w:color w:val="auto"/>
              </w:rPr>
            </w:pPr>
            <w:r>
              <w:rPr>
                <w:rFonts w:ascii="Arial" w:cs="Arial" w:eastAsia="Arial" w:hAnsi="Arial"/>
                <w:sz w:val="12"/>
                <w:szCs w:val="12"/>
                <w:color w:val="FFFFFF"/>
                <w:w w:val="99"/>
              </w:rPr>
              <w:t>storage</w:t>
            </w:r>
          </w:p>
        </w:tc>
        <w:tc>
          <w:tcPr>
            <w:tcW w:w="640" w:type="dxa"/>
            <w:vAlign w:val="bottom"/>
            <w:tcBorders>
              <w:right w:val="single" w:sz="8" w:color="1764AC"/>
            </w:tcBorders>
            <w:vMerge w:val="continue"/>
            <w:shd w:val="clear" w:color="auto" w:fill="1764AC"/>
          </w:tcPr>
          <w:p>
            <w:pPr>
              <w:spacing w:after="0"/>
              <w:rPr>
                <w:sz w:val="9"/>
                <w:szCs w:val="9"/>
                <w:color w:val="auto"/>
              </w:rPr>
            </w:pPr>
          </w:p>
        </w:tc>
        <w:tc>
          <w:tcPr>
            <w:tcW w:w="5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Project</w:t>
            </w:r>
          </w:p>
        </w:tc>
        <w:tc>
          <w:tcPr>
            <w:tcW w:w="620" w:type="dxa"/>
            <w:vAlign w:val="bottom"/>
            <w:shd w:val="clear" w:color="auto" w:fill="1764AC"/>
          </w:tcPr>
          <w:p>
            <w:pPr>
              <w:jc w:val="center"/>
              <w:spacing w:after="0" w:line="105" w:lineRule="exact"/>
              <w:rPr>
                <w:sz w:val="20"/>
                <w:szCs w:val="20"/>
                <w:color w:val="auto"/>
              </w:rPr>
            </w:pPr>
            <w:r>
              <w:rPr>
                <w:rFonts w:ascii="Arial" w:cs="Arial" w:eastAsia="Arial" w:hAnsi="Arial"/>
                <w:sz w:val="12"/>
                <w:szCs w:val="12"/>
                <w:color w:val="FFFFFF"/>
                <w:w w:val="99"/>
              </w:rPr>
              <w:t>benefit-</w:t>
            </w:r>
          </w:p>
        </w:tc>
        <w:tc>
          <w:tcPr>
            <w:tcW w:w="72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benefit-</w:t>
            </w:r>
          </w:p>
        </w:tc>
        <w:tc>
          <w:tcPr>
            <w:tcW w:w="680" w:type="dxa"/>
            <w:vAlign w:val="bottom"/>
            <w:shd w:val="clear" w:color="auto" w:fill="1764AC"/>
          </w:tcPr>
          <w:p>
            <w:pPr>
              <w:jc w:val="center"/>
              <w:spacing w:after="0" w:line="105" w:lineRule="exact"/>
              <w:rPr>
                <w:sz w:val="20"/>
                <w:szCs w:val="20"/>
                <w:color w:val="auto"/>
              </w:rPr>
            </w:pPr>
            <w:r>
              <w:rPr>
                <w:rFonts w:ascii="Arial" w:cs="Arial" w:eastAsia="Arial" w:hAnsi="Arial"/>
                <w:sz w:val="12"/>
                <w:szCs w:val="12"/>
                <w:color w:val="FFFFFF"/>
                <w:w w:val="95"/>
              </w:rPr>
              <w:t>Value of</w:t>
            </w:r>
          </w:p>
        </w:tc>
        <w:tc>
          <w:tcPr>
            <w:tcW w:w="5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Cost net</w:t>
            </w:r>
          </w:p>
        </w:tc>
        <w:tc>
          <w:tcPr>
            <w:tcW w:w="620" w:type="dxa"/>
            <w:vAlign w:val="bottom"/>
            <w:shd w:val="clear" w:color="auto" w:fill="1764AC"/>
          </w:tcPr>
          <w:p>
            <w:pPr>
              <w:jc w:val="center"/>
              <w:spacing w:after="0" w:line="105" w:lineRule="exact"/>
              <w:rPr>
                <w:sz w:val="20"/>
                <w:szCs w:val="20"/>
                <w:color w:val="auto"/>
              </w:rPr>
            </w:pPr>
            <w:r>
              <w:rPr>
                <w:rFonts w:ascii="Arial" w:cs="Arial" w:eastAsia="Arial" w:hAnsi="Arial"/>
                <w:sz w:val="12"/>
                <w:szCs w:val="12"/>
                <w:color w:val="FFFFFF"/>
              </w:rPr>
              <w:t>Invested</w:t>
            </w:r>
          </w:p>
        </w:tc>
        <w:tc>
          <w:tcPr>
            <w:tcW w:w="880" w:type="dxa"/>
            <w:vAlign w:val="bottom"/>
            <w:vMerge w:val="continue"/>
            <w:shd w:val="clear" w:color="auto" w:fill="1764AC"/>
          </w:tcPr>
          <w:p>
            <w:pPr>
              <w:spacing w:after="0"/>
              <w:rPr>
                <w:sz w:val="9"/>
                <w:szCs w:val="9"/>
                <w:color w:val="auto"/>
              </w:rPr>
            </w:pPr>
          </w:p>
        </w:tc>
        <w:tc>
          <w:tcPr>
            <w:tcW w:w="640" w:type="dxa"/>
            <w:vAlign w:val="bottom"/>
            <w:shd w:val="clear" w:color="auto" w:fill="1764AC"/>
          </w:tcPr>
          <w:p>
            <w:pPr>
              <w:jc w:val="center"/>
              <w:spacing w:after="0" w:line="105" w:lineRule="exact"/>
              <w:rPr>
                <w:sz w:val="20"/>
                <w:szCs w:val="20"/>
                <w:color w:val="auto"/>
              </w:rPr>
            </w:pPr>
            <w:r>
              <w:rPr>
                <w:rFonts w:ascii="Arial" w:cs="Arial" w:eastAsia="Arial" w:hAnsi="Arial"/>
                <w:sz w:val="12"/>
                <w:szCs w:val="12"/>
                <w:color w:val="FFFFFF"/>
              </w:rPr>
              <w:t>Invested</w:t>
            </w:r>
          </w:p>
        </w:tc>
        <w:tc>
          <w:tcPr>
            <w:tcW w:w="580" w:type="dxa"/>
            <w:vAlign w:val="bottom"/>
            <w:vMerge w:val="restart"/>
            <w:shd w:val="clear" w:color="auto" w:fill="1764AC"/>
          </w:tcPr>
          <w:p>
            <w:pPr>
              <w:jc w:val="right"/>
              <w:spacing w:after="0"/>
              <w:rPr>
                <w:sz w:val="20"/>
                <w:szCs w:val="20"/>
                <w:color w:val="auto"/>
              </w:rPr>
            </w:pPr>
            <w:r>
              <w:rPr>
                <w:rFonts w:ascii="Arial" w:cs="Arial" w:eastAsia="Arial" w:hAnsi="Arial"/>
                <w:sz w:val="12"/>
                <w:szCs w:val="12"/>
                <w:color w:val="FFFFFF"/>
              </w:rPr>
              <w:t>Full Year</w:t>
            </w: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5"/>
              </w:rPr>
              <w:t>Full Year</w:t>
            </w:r>
          </w:p>
        </w:tc>
        <w:tc>
          <w:tcPr>
            <w:tcW w:w="660" w:type="dxa"/>
            <w:vAlign w:val="bottom"/>
            <w:vMerge w:val="continue"/>
            <w:shd w:val="clear" w:color="auto" w:fill="1764AC"/>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160" w:type="dxa"/>
            <w:vAlign w:val="bottom"/>
            <w:tcBorders>
              <w:right w:val="single" w:sz="8" w:color="1764AC"/>
            </w:tcBorders>
            <w:vMerge w:val="restart"/>
            <w:shd w:val="clear" w:color="auto" w:fill="1764AC"/>
          </w:tcPr>
          <w:p>
            <w:pPr>
              <w:ind w:left="20"/>
              <w:spacing w:after="0"/>
              <w:rPr>
                <w:sz w:val="20"/>
                <w:szCs w:val="20"/>
                <w:color w:val="auto"/>
              </w:rPr>
            </w:pPr>
            <w:r>
              <w:rPr>
                <w:rFonts w:ascii="Arial" w:cs="Arial" w:eastAsia="Arial" w:hAnsi="Arial"/>
                <w:sz w:val="12"/>
                <w:szCs w:val="12"/>
                <w:b w:val="1"/>
                <w:bCs w:val="1"/>
                <w:color w:val="FFFFFF"/>
              </w:rPr>
              <w:t>Consolidated Projects</w:t>
            </w:r>
          </w:p>
        </w:tc>
        <w:tc>
          <w:tcPr>
            <w:tcW w:w="560" w:type="dxa"/>
            <w:vAlign w:val="bottom"/>
            <w:vMerge w:val="continue"/>
            <w:shd w:val="clear" w:color="auto" w:fill="1764AC"/>
          </w:tcPr>
          <w:p>
            <w:pPr>
              <w:spacing w:after="0"/>
              <w:rPr>
                <w:sz w:val="6"/>
                <w:szCs w:val="6"/>
                <w:color w:val="auto"/>
              </w:rPr>
            </w:pPr>
          </w:p>
        </w:tc>
        <w:tc>
          <w:tcPr>
            <w:tcW w:w="70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Capacity</w:t>
            </w:r>
          </w:p>
        </w:tc>
        <w:tc>
          <w:tcPr>
            <w:tcW w:w="64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rPr>
              <w:t>COD</w:t>
            </w:r>
          </w:p>
        </w:tc>
        <w:tc>
          <w:tcPr>
            <w:tcW w:w="580" w:type="dxa"/>
            <w:vAlign w:val="bottom"/>
            <w:vMerge w:val="continue"/>
            <w:shd w:val="clear" w:color="auto" w:fill="1764AC"/>
          </w:tcPr>
          <w:p>
            <w:pPr>
              <w:spacing w:after="0"/>
              <w:rPr>
                <w:sz w:val="6"/>
                <w:szCs w:val="6"/>
                <w:color w:val="auto"/>
              </w:rPr>
            </w:pPr>
          </w:p>
        </w:tc>
        <w:tc>
          <w:tcPr>
            <w:tcW w:w="62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Qualifying</w:t>
            </w:r>
          </w:p>
        </w:tc>
        <w:tc>
          <w:tcPr>
            <w:tcW w:w="720" w:type="dxa"/>
            <w:vAlign w:val="bottom"/>
            <w:vMerge w:val="continue"/>
            <w:shd w:val="clear" w:color="auto" w:fill="1764AC"/>
          </w:tcPr>
          <w:p>
            <w:pPr>
              <w:spacing w:after="0"/>
              <w:rPr>
                <w:sz w:val="6"/>
                <w:szCs w:val="6"/>
                <w:color w:val="auto"/>
              </w:rPr>
            </w:pP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89"/>
              </w:rPr>
              <w:t>Tax</w:t>
            </w:r>
          </w:p>
        </w:tc>
        <w:tc>
          <w:tcPr>
            <w:tcW w:w="580" w:type="dxa"/>
            <w:vAlign w:val="bottom"/>
            <w:vMerge w:val="continue"/>
            <w:shd w:val="clear" w:color="auto" w:fill="1764AC"/>
          </w:tcPr>
          <w:p>
            <w:pPr>
              <w:spacing w:after="0"/>
              <w:rPr>
                <w:sz w:val="6"/>
                <w:szCs w:val="6"/>
                <w:color w:val="auto"/>
              </w:rPr>
            </w:pPr>
          </w:p>
        </w:tc>
        <w:tc>
          <w:tcPr>
            <w:tcW w:w="62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as of June</w:t>
            </w:r>
          </w:p>
        </w:tc>
        <w:tc>
          <w:tcPr>
            <w:tcW w:w="8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Required (%)</w:t>
            </w:r>
          </w:p>
        </w:tc>
        <w:tc>
          <w:tcPr>
            <w:tcW w:w="64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as of June</w:t>
            </w:r>
          </w:p>
        </w:tc>
        <w:tc>
          <w:tcPr>
            <w:tcW w:w="580" w:type="dxa"/>
            <w:vAlign w:val="bottom"/>
            <w:vMerge w:val="continue"/>
            <w:shd w:val="clear" w:color="auto" w:fill="1764AC"/>
          </w:tcPr>
          <w:p>
            <w:pPr>
              <w:spacing w:after="0"/>
              <w:rPr>
                <w:sz w:val="6"/>
                <w:szCs w:val="6"/>
                <w:color w:val="auto"/>
              </w:rPr>
            </w:pPr>
          </w:p>
        </w:tc>
        <w:tc>
          <w:tcPr>
            <w:tcW w:w="680" w:type="dxa"/>
            <w:vAlign w:val="bottom"/>
            <w:vMerge w:val="continue"/>
            <w:shd w:val="clear" w:color="auto" w:fill="1764AC"/>
          </w:tcPr>
          <w:p>
            <w:pPr>
              <w:spacing w:after="0"/>
              <w:rPr>
                <w:sz w:val="6"/>
                <w:szCs w:val="6"/>
                <w:color w:val="auto"/>
              </w:rPr>
            </w:pP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0"/>
              </w:rPr>
              <w:t>%*</w:t>
            </w:r>
          </w:p>
        </w:tc>
        <w:tc>
          <w:tcPr>
            <w:tcW w:w="0" w:type="dxa"/>
            <w:vAlign w:val="bottom"/>
          </w:tcPr>
          <w:p>
            <w:pPr>
              <w:spacing w:after="0"/>
              <w:rPr>
                <w:sz w:val="1"/>
                <w:szCs w:val="1"/>
                <w:color w:val="auto"/>
              </w:rPr>
            </w:pPr>
          </w:p>
        </w:tc>
      </w:tr>
      <w:tr>
        <w:trPr>
          <w:trHeight w:val="121"/>
        </w:trPr>
        <w:tc>
          <w:tcPr>
            <w:tcW w:w="2160" w:type="dxa"/>
            <w:vAlign w:val="bottom"/>
            <w:tcBorders>
              <w:right w:val="single" w:sz="8" w:color="1764AC"/>
            </w:tcBorders>
            <w:vMerge w:val="continue"/>
            <w:shd w:val="clear" w:color="auto" w:fill="1764AC"/>
          </w:tcPr>
          <w:p>
            <w:pPr>
              <w:spacing w:after="0"/>
              <w:rPr>
                <w:sz w:val="10"/>
                <w:szCs w:val="10"/>
                <w:color w:val="auto"/>
              </w:rPr>
            </w:pPr>
          </w:p>
        </w:tc>
        <w:tc>
          <w:tcPr>
            <w:tcW w:w="560" w:type="dxa"/>
            <w:vAlign w:val="bottom"/>
            <w:shd w:val="clear" w:color="auto" w:fill="1764AC"/>
          </w:tcPr>
          <w:p>
            <w:pPr>
              <w:spacing w:after="0"/>
              <w:rPr>
                <w:sz w:val="10"/>
                <w:szCs w:val="10"/>
                <w:color w:val="auto"/>
              </w:rPr>
            </w:pPr>
          </w:p>
        </w:tc>
        <w:tc>
          <w:tcPr>
            <w:tcW w:w="700" w:type="dxa"/>
            <w:vAlign w:val="bottom"/>
            <w:vMerge w:val="continue"/>
            <w:shd w:val="clear" w:color="auto" w:fill="1764AC"/>
          </w:tcPr>
          <w:p>
            <w:pPr>
              <w:spacing w:after="0"/>
              <w:rPr>
                <w:sz w:val="10"/>
                <w:szCs w:val="10"/>
                <w:color w:val="auto"/>
              </w:rPr>
            </w:pPr>
          </w:p>
        </w:tc>
        <w:tc>
          <w:tcPr>
            <w:tcW w:w="640" w:type="dxa"/>
            <w:vAlign w:val="bottom"/>
            <w:tcBorders>
              <w:right w:val="single" w:sz="8" w:color="1764AC"/>
            </w:tcBorders>
            <w:vMerge w:val="continue"/>
            <w:shd w:val="clear" w:color="auto" w:fill="1764AC"/>
          </w:tcPr>
          <w:p>
            <w:pPr>
              <w:spacing w:after="0"/>
              <w:rPr>
                <w:sz w:val="10"/>
                <w:szCs w:val="10"/>
                <w:color w:val="auto"/>
              </w:rPr>
            </w:pPr>
          </w:p>
        </w:tc>
        <w:tc>
          <w:tcPr>
            <w:tcW w:w="58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rPr>
              <w:t>Cost</w:t>
            </w:r>
          </w:p>
        </w:tc>
        <w:tc>
          <w:tcPr>
            <w:tcW w:w="620" w:type="dxa"/>
            <w:vAlign w:val="bottom"/>
            <w:vMerge w:val="continue"/>
            <w:shd w:val="clear" w:color="auto" w:fill="1764AC"/>
          </w:tcPr>
          <w:p>
            <w:pPr>
              <w:spacing w:after="0"/>
              <w:rPr>
                <w:sz w:val="10"/>
                <w:szCs w:val="10"/>
                <w:color w:val="auto"/>
              </w:rPr>
            </w:pPr>
          </w:p>
        </w:tc>
        <w:tc>
          <w:tcPr>
            <w:tcW w:w="72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rPr>
              <w:t>Adders*****</w:t>
            </w:r>
          </w:p>
        </w:tc>
        <w:tc>
          <w:tcPr>
            <w:tcW w:w="680" w:type="dxa"/>
            <w:vAlign w:val="bottom"/>
            <w:vMerge w:val="continue"/>
            <w:shd w:val="clear" w:color="auto" w:fill="1764AC"/>
          </w:tcPr>
          <w:p>
            <w:pPr>
              <w:spacing w:after="0"/>
              <w:rPr>
                <w:sz w:val="10"/>
                <w:szCs w:val="10"/>
                <w:color w:val="auto"/>
              </w:rPr>
            </w:pPr>
          </w:p>
        </w:tc>
        <w:tc>
          <w:tcPr>
            <w:tcW w:w="58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rPr>
              <w:t>of tax</w:t>
            </w:r>
          </w:p>
        </w:tc>
        <w:tc>
          <w:tcPr>
            <w:tcW w:w="620" w:type="dxa"/>
            <w:vAlign w:val="bottom"/>
            <w:vMerge w:val="continue"/>
            <w:shd w:val="clear" w:color="auto" w:fill="1764AC"/>
          </w:tcPr>
          <w:p>
            <w:pPr>
              <w:spacing w:after="0"/>
              <w:rPr>
                <w:sz w:val="10"/>
                <w:szCs w:val="10"/>
                <w:color w:val="auto"/>
              </w:rPr>
            </w:pPr>
          </w:p>
        </w:tc>
        <w:tc>
          <w:tcPr>
            <w:tcW w:w="880" w:type="dxa"/>
            <w:vAlign w:val="bottom"/>
            <w:vMerge w:val="continue"/>
            <w:shd w:val="clear" w:color="auto" w:fill="1764AC"/>
          </w:tcPr>
          <w:p>
            <w:pPr>
              <w:spacing w:after="0"/>
              <w:rPr>
                <w:sz w:val="10"/>
                <w:szCs w:val="10"/>
                <w:color w:val="auto"/>
              </w:rPr>
            </w:pPr>
          </w:p>
        </w:tc>
        <w:tc>
          <w:tcPr>
            <w:tcW w:w="640" w:type="dxa"/>
            <w:vAlign w:val="bottom"/>
            <w:vMerge w:val="continue"/>
            <w:shd w:val="clear" w:color="auto" w:fill="1764AC"/>
          </w:tcPr>
          <w:p>
            <w:pPr>
              <w:spacing w:after="0"/>
              <w:rPr>
                <w:sz w:val="10"/>
                <w:szCs w:val="10"/>
                <w:color w:val="auto"/>
              </w:rPr>
            </w:pPr>
          </w:p>
        </w:tc>
        <w:tc>
          <w:tcPr>
            <w:tcW w:w="580" w:type="dxa"/>
            <w:vAlign w:val="bottom"/>
            <w:shd w:val="clear" w:color="auto" w:fill="1764AC"/>
          </w:tcPr>
          <w:p>
            <w:pPr>
              <w:jc w:val="right"/>
              <w:spacing w:after="0" w:line="121" w:lineRule="exact"/>
              <w:rPr>
                <w:sz w:val="20"/>
                <w:szCs w:val="20"/>
                <w:color w:val="auto"/>
              </w:rPr>
            </w:pPr>
            <w:r>
              <w:rPr>
                <w:rFonts w:ascii="Arial" w:cs="Arial" w:eastAsia="Arial" w:hAnsi="Arial"/>
                <w:sz w:val="12"/>
                <w:szCs w:val="12"/>
                <w:color w:val="FFFFFF"/>
              </w:rPr>
              <w:t>Revenue</w:t>
            </w:r>
          </w:p>
        </w:tc>
        <w:tc>
          <w:tcPr>
            <w:tcW w:w="68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w w:val="99"/>
              </w:rPr>
              <w:t>EBITDA****</w:t>
            </w:r>
          </w:p>
        </w:tc>
        <w:tc>
          <w:tcPr>
            <w:tcW w:w="660" w:type="dxa"/>
            <w:vAlign w:val="bottom"/>
            <w:vMerge w:val="continue"/>
            <w:shd w:val="clear" w:color="auto" w:fill="1764A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right w:val="single" w:sz="8" w:color="1764AC"/>
            </w:tcBorders>
            <w:shd w:val="clear" w:color="auto" w:fill="1764AC"/>
          </w:tcPr>
          <w:p>
            <w:pPr>
              <w:spacing w:after="0"/>
              <w:rPr>
                <w:sz w:val="13"/>
                <w:szCs w:val="13"/>
                <w:color w:val="auto"/>
              </w:rPr>
            </w:pPr>
          </w:p>
        </w:tc>
        <w:tc>
          <w:tcPr>
            <w:tcW w:w="560" w:type="dxa"/>
            <w:vAlign w:val="bottom"/>
            <w:shd w:val="clear" w:color="auto" w:fill="1764AC"/>
          </w:tcPr>
          <w:p>
            <w:pPr>
              <w:spacing w:after="0"/>
              <w:rPr>
                <w:sz w:val="13"/>
                <w:szCs w:val="13"/>
                <w:color w:val="auto"/>
              </w:rPr>
            </w:pPr>
          </w:p>
        </w:tc>
        <w:tc>
          <w:tcPr>
            <w:tcW w:w="700" w:type="dxa"/>
            <w:vAlign w:val="bottom"/>
            <w:shd w:val="clear" w:color="auto" w:fill="1764AC"/>
          </w:tcPr>
          <w:p>
            <w:pPr>
              <w:jc w:val="center"/>
              <w:spacing w:after="0"/>
              <w:rPr>
                <w:sz w:val="20"/>
                <w:szCs w:val="20"/>
                <w:color w:val="auto"/>
              </w:rPr>
            </w:pPr>
            <w:r>
              <w:rPr>
                <w:rFonts w:ascii="Arial" w:cs="Arial" w:eastAsia="Arial" w:hAnsi="Arial"/>
                <w:sz w:val="12"/>
                <w:szCs w:val="12"/>
                <w:color w:val="FFFFFF"/>
                <w:w w:val="98"/>
              </w:rPr>
              <w:t>(MW/MWh)</w:t>
            </w:r>
          </w:p>
        </w:tc>
        <w:tc>
          <w:tcPr>
            <w:tcW w:w="640" w:type="dxa"/>
            <w:vAlign w:val="bottom"/>
            <w:tcBorders>
              <w:right w:val="single" w:sz="8" w:color="1764AC"/>
            </w:tcBorders>
            <w:shd w:val="clear" w:color="auto" w:fill="1764AC"/>
          </w:tcPr>
          <w:p>
            <w:pPr>
              <w:spacing w:after="0"/>
              <w:rPr>
                <w:sz w:val="13"/>
                <w:szCs w:val="13"/>
                <w:color w:val="auto"/>
              </w:rPr>
            </w:pPr>
          </w:p>
        </w:tc>
        <w:tc>
          <w:tcPr>
            <w:tcW w:w="580" w:type="dxa"/>
            <w:vAlign w:val="bottom"/>
            <w:shd w:val="clear" w:color="auto" w:fill="1764AC"/>
          </w:tcPr>
          <w:p>
            <w:pPr>
              <w:spacing w:after="0"/>
              <w:rPr>
                <w:sz w:val="13"/>
                <w:szCs w:val="13"/>
                <w:color w:val="auto"/>
              </w:rPr>
            </w:pPr>
          </w:p>
        </w:tc>
        <w:tc>
          <w:tcPr>
            <w:tcW w:w="620" w:type="dxa"/>
            <w:vAlign w:val="bottom"/>
            <w:shd w:val="clear" w:color="auto" w:fill="1764AC"/>
          </w:tcPr>
          <w:p>
            <w:pPr>
              <w:jc w:val="center"/>
              <w:spacing w:after="0"/>
              <w:rPr>
                <w:sz w:val="20"/>
                <w:szCs w:val="20"/>
                <w:color w:val="auto"/>
              </w:rPr>
            </w:pPr>
            <w:r>
              <w:rPr>
                <w:rFonts w:ascii="Arial" w:cs="Arial" w:eastAsia="Arial" w:hAnsi="Arial"/>
                <w:sz w:val="12"/>
                <w:szCs w:val="12"/>
                <w:color w:val="FFFFFF"/>
                <w:w w:val="99"/>
              </w:rPr>
              <w:t>category</w:t>
            </w:r>
          </w:p>
        </w:tc>
        <w:tc>
          <w:tcPr>
            <w:tcW w:w="720" w:type="dxa"/>
            <w:vAlign w:val="bottom"/>
            <w:shd w:val="clear" w:color="auto" w:fill="1764AC"/>
          </w:tcPr>
          <w:p>
            <w:pPr>
              <w:spacing w:after="0"/>
              <w:rPr>
                <w:sz w:val="13"/>
                <w:szCs w:val="13"/>
                <w:color w:val="auto"/>
              </w:rPr>
            </w:pPr>
          </w:p>
        </w:tc>
        <w:tc>
          <w:tcPr>
            <w:tcW w:w="680" w:type="dxa"/>
            <w:vAlign w:val="bottom"/>
            <w:shd w:val="clear" w:color="auto" w:fill="1764AC"/>
          </w:tcPr>
          <w:p>
            <w:pPr>
              <w:jc w:val="center"/>
              <w:spacing w:after="0"/>
              <w:rPr>
                <w:sz w:val="20"/>
                <w:szCs w:val="20"/>
                <w:color w:val="auto"/>
              </w:rPr>
            </w:pPr>
            <w:r>
              <w:rPr>
                <w:rFonts w:ascii="Arial" w:cs="Arial" w:eastAsia="Arial" w:hAnsi="Arial"/>
                <w:sz w:val="12"/>
                <w:szCs w:val="12"/>
                <w:color w:val="FFFFFF"/>
              </w:rPr>
              <w:t>Benefit***</w:t>
            </w:r>
          </w:p>
        </w:tc>
        <w:tc>
          <w:tcPr>
            <w:tcW w:w="5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benefit</w:t>
            </w:r>
          </w:p>
        </w:tc>
        <w:tc>
          <w:tcPr>
            <w:tcW w:w="620" w:type="dxa"/>
            <w:vAlign w:val="bottom"/>
            <w:shd w:val="clear" w:color="auto" w:fill="1764AC"/>
          </w:tcPr>
          <w:p>
            <w:pPr>
              <w:jc w:val="center"/>
              <w:spacing w:after="0"/>
              <w:rPr>
                <w:sz w:val="20"/>
                <w:szCs w:val="20"/>
                <w:color w:val="auto"/>
              </w:rPr>
            </w:pPr>
            <w:r>
              <w:rPr>
                <w:rFonts w:ascii="Arial" w:cs="Arial" w:eastAsia="Arial" w:hAnsi="Arial"/>
                <w:sz w:val="12"/>
                <w:szCs w:val="12"/>
                <w:color w:val="FFFFFF"/>
              </w:rPr>
              <w:t>30, 2025</w:t>
            </w:r>
          </w:p>
        </w:tc>
        <w:tc>
          <w:tcPr>
            <w:tcW w:w="880" w:type="dxa"/>
            <w:vAlign w:val="bottom"/>
            <w:shd w:val="clear" w:color="auto" w:fill="1764AC"/>
          </w:tcPr>
          <w:p>
            <w:pPr>
              <w:spacing w:after="0"/>
              <w:rPr>
                <w:sz w:val="13"/>
                <w:szCs w:val="13"/>
                <w:color w:val="auto"/>
              </w:rPr>
            </w:pPr>
          </w:p>
        </w:tc>
        <w:tc>
          <w:tcPr>
            <w:tcW w:w="640" w:type="dxa"/>
            <w:vAlign w:val="bottom"/>
            <w:shd w:val="clear" w:color="auto" w:fill="1764AC"/>
          </w:tcPr>
          <w:p>
            <w:pPr>
              <w:jc w:val="center"/>
              <w:spacing w:after="0"/>
              <w:rPr>
                <w:sz w:val="20"/>
                <w:szCs w:val="20"/>
                <w:color w:val="auto"/>
              </w:rPr>
            </w:pPr>
            <w:r>
              <w:rPr>
                <w:rFonts w:ascii="Arial" w:cs="Arial" w:eastAsia="Arial" w:hAnsi="Arial"/>
                <w:sz w:val="12"/>
                <w:szCs w:val="12"/>
                <w:color w:val="FFFFFF"/>
                <w:w w:val="98"/>
              </w:rPr>
              <w:t>30, 2025</w:t>
            </w:r>
          </w:p>
        </w:tc>
        <w:tc>
          <w:tcPr>
            <w:tcW w:w="580" w:type="dxa"/>
            <w:vAlign w:val="bottom"/>
            <w:shd w:val="clear" w:color="auto" w:fill="1764AC"/>
          </w:tcPr>
          <w:p>
            <w:pPr>
              <w:spacing w:after="0"/>
              <w:rPr>
                <w:sz w:val="13"/>
                <w:szCs w:val="13"/>
                <w:color w:val="auto"/>
              </w:rPr>
            </w:pPr>
          </w:p>
        </w:tc>
        <w:tc>
          <w:tcPr>
            <w:tcW w:w="680" w:type="dxa"/>
            <w:vAlign w:val="bottom"/>
            <w:shd w:val="clear" w:color="auto" w:fill="1764AC"/>
          </w:tcPr>
          <w:p>
            <w:pPr>
              <w:spacing w:after="0"/>
              <w:rPr>
                <w:sz w:val="13"/>
                <w:szCs w:val="13"/>
                <w:color w:val="auto"/>
              </w:rPr>
            </w:pPr>
          </w:p>
        </w:tc>
        <w:tc>
          <w:tcPr>
            <w:tcW w:w="660" w:type="dxa"/>
            <w:vAlign w:val="bottom"/>
            <w:shd w:val="clear" w:color="auto" w:fill="1764AC"/>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160" w:type="dxa"/>
            <w:vAlign w:val="bottom"/>
            <w:tcBorders>
              <w:right w:val="single" w:sz="8" w:color="1764AC"/>
            </w:tcBorders>
            <w:shd w:val="clear" w:color="auto" w:fill="1764AC"/>
          </w:tcPr>
          <w:p>
            <w:pPr>
              <w:spacing w:after="0"/>
              <w:rPr>
                <w:sz w:val="3"/>
                <w:szCs w:val="3"/>
                <w:color w:val="auto"/>
              </w:rPr>
            </w:pPr>
          </w:p>
        </w:tc>
        <w:tc>
          <w:tcPr>
            <w:tcW w:w="560" w:type="dxa"/>
            <w:vAlign w:val="bottom"/>
            <w:shd w:val="clear" w:color="auto" w:fill="1764AC"/>
          </w:tcPr>
          <w:p>
            <w:pPr>
              <w:spacing w:after="0"/>
              <w:rPr>
                <w:sz w:val="3"/>
                <w:szCs w:val="3"/>
                <w:color w:val="auto"/>
              </w:rPr>
            </w:pPr>
          </w:p>
        </w:tc>
        <w:tc>
          <w:tcPr>
            <w:tcW w:w="700" w:type="dxa"/>
            <w:vAlign w:val="bottom"/>
            <w:shd w:val="clear" w:color="auto" w:fill="1764AC"/>
          </w:tcPr>
          <w:p>
            <w:pPr>
              <w:spacing w:after="0"/>
              <w:rPr>
                <w:sz w:val="3"/>
                <w:szCs w:val="3"/>
                <w:color w:val="auto"/>
              </w:rPr>
            </w:pPr>
          </w:p>
        </w:tc>
        <w:tc>
          <w:tcPr>
            <w:tcW w:w="640" w:type="dxa"/>
            <w:vAlign w:val="bottom"/>
            <w:tcBorders>
              <w:right w:val="single" w:sz="8" w:color="1764AC"/>
            </w:tcBorders>
            <w:shd w:val="clear" w:color="auto" w:fill="1764AC"/>
          </w:tcPr>
          <w:p>
            <w:pPr>
              <w:spacing w:after="0"/>
              <w:rPr>
                <w:sz w:val="3"/>
                <w:szCs w:val="3"/>
                <w:color w:val="auto"/>
              </w:rPr>
            </w:pPr>
          </w:p>
        </w:tc>
        <w:tc>
          <w:tcPr>
            <w:tcW w:w="580" w:type="dxa"/>
            <w:vAlign w:val="bottom"/>
            <w:shd w:val="clear" w:color="auto" w:fill="1764AC"/>
          </w:tcPr>
          <w:p>
            <w:pPr>
              <w:spacing w:after="0"/>
              <w:rPr>
                <w:sz w:val="3"/>
                <w:szCs w:val="3"/>
                <w:color w:val="auto"/>
              </w:rPr>
            </w:pPr>
          </w:p>
        </w:tc>
        <w:tc>
          <w:tcPr>
            <w:tcW w:w="620" w:type="dxa"/>
            <w:vAlign w:val="bottom"/>
            <w:shd w:val="clear" w:color="auto" w:fill="1764AC"/>
          </w:tcPr>
          <w:p>
            <w:pPr>
              <w:spacing w:after="0"/>
              <w:rPr>
                <w:sz w:val="3"/>
                <w:szCs w:val="3"/>
                <w:color w:val="auto"/>
              </w:rPr>
            </w:pPr>
          </w:p>
        </w:tc>
        <w:tc>
          <w:tcPr>
            <w:tcW w:w="720" w:type="dxa"/>
            <w:vAlign w:val="bottom"/>
            <w:shd w:val="clear" w:color="auto" w:fill="1764AC"/>
          </w:tcPr>
          <w:p>
            <w:pPr>
              <w:spacing w:after="0"/>
              <w:rPr>
                <w:sz w:val="3"/>
                <w:szCs w:val="3"/>
                <w:color w:val="auto"/>
              </w:rPr>
            </w:pPr>
          </w:p>
        </w:tc>
        <w:tc>
          <w:tcPr>
            <w:tcW w:w="680" w:type="dxa"/>
            <w:vAlign w:val="bottom"/>
            <w:shd w:val="clear" w:color="auto" w:fill="1764AC"/>
          </w:tcPr>
          <w:p>
            <w:pPr>
              <w:spacing w:after="0"/>
              <w:rPr>
                <w:sz w:val="3"/>
                <w:szCs w:val="3"/>
                <w:color w:val="auto"/>
              </w:rPr>
            </w:pPr>
          </w:p>
        </w:tc>
        <w:tc>
          <w:tcPr>
            <w:tcW w:w="580" w:type="dxa"/>
            <w:vAlign w:val="bottom"/>
            <w:vMerge w:val="continue"/>
            <w:shd w:val="clear" w:color="auto" w:fill="1764AC"/>
          </w:tcPr>
          <w:p>
            <w:pPr>
              <w:spacing w:after="0"/>
              <w:rPr>
                <w:sz w:val="3"/>
                <w:szCs w:val="3"/>
                <w:color w:val="auto"/>
              </w:rPr>
            </w:pPr>
          </w:p>
        </w:tc>
        <w:tc>
          <w:tcPr>
            <w:tcW w:w="620" w:type="dxa"/>
            <w:vAlign w:val="bottom"/>
            <w:shd w:val="clear" w:color="auto" w:fill="1764AC"/>
          </w:tcPr>
          <w:p>
            <w:pPr>
              <w:spacing w:after="0"/>
              <w:rPr>
                <w:sz w:val="3"/>
                <w:szCs w:val="3"/>
                <w:color w:val="auto"/>
              </w:rPr>
            </w:pPr>
          </w:p>
        </w:tc>
        <w:tc>
          <w:tcPr>
            <w:tcW w:w="880" w:type="dxa"/>
            <w:vAlign w:val="bottom"/>
            <w:shd w:val="clear" w:color="auto" w:fill="1764AC"/>
          </w:tcPr>
          <w:p>
            <w:pPr>
              <w:spacing w:after="0"/>
              <w:rPr>
                <w:sz w:val="3"/>
                <w:szCs w:val="3"/>
                <w:color w:val="auto"/>
              </w:rPr>
            </w:pPr>
          </w:p>
        </w:tc>
        <w:tc>
          <w:tcPr>
            <w:tcW w:w="640" w:type="dxa"/>
            <w:vAlign w:val="bottom"/>
            <w:shd w:val="clear" w:color="auto" w:fill="1764AC"/>
          </w:tcPr>
          <w:p>
            <w:pPr>
              <w:spacing w:after="0"/>
              <w:rPr>
                <w:sz w:val="3"/>
                <w:szCs w:val="3"/>
                <w:color w:val="auto"/>
              </w:rPr>
            </w:pPr>
          </w:p>
        </w:tc>
        <w:tc>
          <w:tcPr>
            <w:tcW w:w="580" w:type="dxa"/>
            <w:vAlign w:val="bottom"/>
            <w:shd w:val="clear" w:color="auto" w:fill="1764AC"/>
          </w:tcPr>
          <w:p>
            <w:pPr>
              <w:spacing w:after="0"/>
              <w:rPr>
                <w:sz w:val="3"/>
                <w:szCs w:val="3"/>
                <w:color w:val="auto"/>
              </w:rPr>
            </w:pPr>
          </w:p>
        </w:tc>
        <w:tc>
          <w:tcPr>
            <w:tcW w:w="680" w:type="dxa"/>
            <w:vAlign w:val="bottom"/>
            <w:shd w:val="clear" w:color="auto" w:fill="1764AC"/>
          </w:tcPr>
          <w:p>
            <w:pPr>
              <w:spacing w:after="0"/>
              <w:rPr>
                <w:sz w:val="3"/>
                <w:szCs w:val="3"/>
                <w:color w:val="auto"/>
              </w:rPr>
            </w:pPr>
          </w:p>
        </w:tc>
        <w:tc>
          <w:tcPr>
            <w:tcW w:w="660" w:type="dxa"/>
            <w:vAlign w:val="bottom"/>
            <w:shd w:val="clear" w:color="auto" w:fill="1764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Borders>
              <w:right w:val="single" w:sz="8" w:color="1764AC"/>
            </w:tcBorders>
            <w:shd w:val="clear" w:color="auto" w:fill="1764AC"/>
          </w:tcPr>
          <w:p>
            <w:pPr>
              <w:spacing w:after="0"/>
              <w:rPr>
                <w:sz w:val="9"/>
                <w:szCs w:val="9"/>
                <w:color w:val="auto"/>
              </w:rPr>
            </w:pPr>
          </w:p>
        </w:tc>
        <w:tc>
          <w:tcPr>
            <w:tcW w:w="560" w:type="dxa"/>
            <w:vAlign w:val="bottom"/>
            <w:shd w:val="clear" w:color="auto" w:fill="1764AC"/>
          </w:tcPr>
          <w:p>
            <w:pPr>
              <w:spacing w:after="0"/>
              <w:rPr>
                <w:sz w:val="9"/>
                <w:szCs w:val="9"/>
                <w:color w:val="auto"/>
              </w:rPr>
            </w:pPr>
          </w:p>
        </w:tc>
        <w:tc>
          <w:tcPr>
            <w:tcW w:w="700" w:type="dxa"/>
            <w:vAlign w:val="bottom"/>
            <w:shd w:val="clear" w:color="auto" w:fill="1764AC"/>
          </w:tcPr>
          <w:p>
            <w:pPr>
              <w:spacing w:after="0"/>
              <w:rPr>
                <w:sz w:val="9"/>
                <w:szCs w:val="9"/>
                <w:color w:val="auto"/>
              </w:rPr>
            </w:pPr>
          </w:p>
        </w:tc>
        <w:tc>
          <w:tcPr>
            <w:tcW w:w="640" w:type="dxa"/>
            <w:vAlign w:val="bottom"/>
            <w:tcBorders>
              <w:right w:val="single" w:sz="8" w:color="1764AC"/>
            </w:tcBorders>
            <w:shd w:val="clear" w:color="auto" w:fill="1764AC"/>
          </w:tcPr>
          <w:p>
            <w:pPr>
              <w:spacing w:after="0"/>
              <w:rPr>
                <w:sz w:val="9"/>
                <w:szCs w:val="9"/>
                <w:color w:val="auto"/>
              </w:rPr>
            </w:pPr>
          </w:p>
        </w:tc>
        <w:tc>
          <w:tcPr>
            <w:tcW w:w="580" w:type="dxa"/>
            <w:vAlign w:val="bottom"/>
            <w:shd w:val="clear" w:color="auto" w:fill="1764AC"/>
          </w:tcPr>
          <w:p>
            <w:pPr>
              <w:spacing w:after="0"/>
              <w:rPr>
                <w:sz w:val="9"/>
                <w:szCs w:val="9"/>
                <w:color w:val="auto"/>
              </w:rPr>
            </w:pPr>
          </w:p>
        </w:tc>
        <w:tc>
          <w:tcPr>
            <w:tcW w:w="620" w:type="dxa"/>
            <w:vAlign w:val="bottom"/>
            <w:shd w:val="clear" w:color="auto" w:fill="1764AC"/>
          </w:tcPr>
          <w:p>
            <w:pPr>
              <w:spacing w:after="0"/>
              <w:rPr>
                <w:sz w:val="9"/>
                <w:szCs w:val="9"/>
                <w:color w:val="auto"/>
              </w:rPr>
            </w:pPr>
          </w:p>
        </w:tc>
        <w:tc>
          <w:tcPr>
            <w:tcW w:w="720" w:type="dxa"/>
            <w:vAlign w:val="bottom"/>
            <w:shd w:val="clear" w:color="auto" w:fill="1764AC"/>
          </w:tcPr>
          <w:p>
            <w:pPr>
              <w:spacing w:after="0"/>
              <w:rPr>
                <w:sz w:val="9"/>
                <w:szCs w:val="9"/>
                <w:color w:val="auto"/>
              </w:rPr>
            </w:pPr>
          </w:p>
        </w:tc>
        <w:tc>
          <w:tcPr>
            <w:tcW w:w="680" w:type="dxa"/>
            <w:vAlign w:val="bottom"/>
            <w:shd w:val="clear" w:color="auto" w:fill="1764AC"/>
          </w:tcPr>
          <w:p>
            <w:pPr>
              <w:spacing w:after="0"/>
              <w:rPr>
                <w:sz w:val="9"/>
                <w:szCs w:val="9"/>
                <w:color w:val="auto"/>
              </w:rPr>
            </w:pPr>
          </w:p>
        </w:tc>
        <w:tc>
          <w:tcPr>
            <w:tcW w:w="580" w:type="dxa"/>
            <w:vAlign w:val="bottom"/>
            <w:shd w:val="clear" w:color="auto" w:fill="1764AC"/>
          </w:tcPr>
          <w:p>
            <w:pPr>
              <w:spacing w:after="0"/>
              <w:rPr>
                <w:sz w:val="9"/>
                <w:szCs w:val="9"/>
                <w:color w:val="auto"/>
              </w:rPr>
            </w:pPr>
          </w:p>
        </w:tc>
        <w:tc>
          <w:tcPr>
            <w:tcW w:w="620" w:type="dxa"/>
            <w:vAlign w:val="bottom"/>
            <w:shd w:val="clear" w:color="auto" w:fill="1764AC"/>
          </w:tcPr>
          <w:p>
            <w:pPr>
              <w:spacing w:after="0"/>
              <w:rPr>
                <w:sz w:val="9"/>
                <w:szCs w:val="9"/>
                <w:color w:val="auto"/>
              </w:rPr>
            </w:pPr>
          </w:p>
        </w:tc>
        <w:tc>
          <w:tcPr>
            <w:tcW w:w="880" w:type="dxa"/>
            <w:vAlign w:val="bottom"/>
            <w:shd w:val="clear" w:color="auto" w:fill="1764AC"/>
          </w:tcPr>
          <w:p>
            <w:pPr>
              <w:spacing w:after="0"/>
              <w:rPr>
                <w:sz w:val="9"/>
                <w:szCs w:val="9"/>
                <w:color w:val="auto"/>
              </w:rPr>
            </w:pPr>
          </w:p>
        </w:tc>
        <w:tc>
          <w:tcPr>
            <w:tcW w:w="640" w:type="dxa"/>
            <w:vAlign w:val="bottom"/>
            <w:shd w:val="clear" w:color="auto" w:fill="1764AC"/>
          </w:tcPr>
          <w:p>
            <w:pPr>
              <w:spacing w:after="0"/>
              <w:rPr>
                <w:sz w:val="9"/>
                <w:szCs w:val="9"/>
                <w:color w:val="auto"/>
              </w:rPr>
            </w:pPr>
          </w:p>
        </w:tc>
        <w:tc>
          <w:tcPr>
            <w:tcW w:w="580" w:type="dxa"/>
            <w:vAlign w:val="bottom"/>
            <w:shd w:val="clear" w:color="auto" w:fill="1764AC"/>
          </w:tcPr>
          <w:p>
            <w:pPr>
              <w:spacing w:after="0"/>
              <w:rPr>
                <w:sz w:val="9"/>
                <w:szCs w:val="9"/>
                <w:color w:val="auto"/>
              </w:rPr>
            </w:pPr>
          </w:p>
        </w:tc>
        <w:tc>
          <w:tcPr>
            <w:tcW w:w="680" w:type="dxa"/>
            <w:vAlign w:val="bottom"/>
            <w:shd w:val="clear" w:color="auto" w:fill="1764AC"/>
          </w:tcPr>
          <w:p>
            <w:pPr>
              <w:spacing w:after="0"/>
              <w:rPr>
                <w:sz w:val="9"/>
                <w:szCs w:val="9"/>
                <w:color w:val="auto"/>
              </w:rPr>
            </w:pPr>
          </w:p>
        </w:tc>
        <w:tc>
          <w:tcPr>
            <w:tcW w:w="660" w:type="dxa"/>
            <w:vAlign w:val="bottom"/>
            <w:shd w:val="clear" w:color="auto" w:fill="1764AC"/>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Country Acres</w:t>
            </w:r>
          </w:p>
        </w:tc>
        <w:tc>
          <w:tcPr>
            <w:tcW w:w="560" w:type="dxa"/>
            <w:vAlign w:val="bottom"/>
          </w:tcPr>
          <w:p>
            <w:pPr>
              <w:jc w:val="center"/>
              <w:spacing w:after="0"/>
              <w:rPr>
                <w:sz w:val="20"/>
                <w:szCs w:val="20"/>
                <w:color w:val="auto"/>
              </w:rPr>
            </w:pPr>
            <w:r>
              <w:rPr>
                <w:rFonts w:ascii="Arial" w:cs="Arial" w:eastAsia="Arial" w:hAnsi="Arial"/>
                <w:sz w:val="12"/>
                <w:szCs w:val="12"/>
                <w:color w:val="auto"/>
                <w:w w:val="97"/>
              </w:rPr>
              <w:t>USA</w:t>
            </w:r>
          </w:p>
        </w:tc>
        <w:tc>
          <w:tcPr>
            <w:tcW w:w="700" w:type="dxa"/>
            <w:vAlign w:val="bottom"/>
          </w:tcPr>
          <w:p>
            <w:pPr>
              <w:jc w:val="center"/>
              <w:spacing w:after="0"/>
              <w:rPr>
                <w:sz w:val="20"/>
                <w:szCs w:val="20"/>
                <w:color w:val="auto"/>
              </w:rPr>
            </w:pPr>
            <w:r>
              <w:rPr>
                <w:rFonts w:ascii="Arial" w:cs="Arial" w:eastAsia="Arial" w:hAnsi="Arial"/>
                <w:sz w:val="12"/>
                <w:szCs w:val="12"/>
                <w:color w:val="auto"/>
              </w:rPr>
              <w:t>403/688</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H2 2026</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793-834</w:t>
            </w:r>
          </w:p>
        </w:tc>
        <w:tc>
          <w:tcPr>
            <w:tcW w:w="620" w:type="dxa"/>
            <w:vAlign w:val="bottom"/>
          </w:tcPr>
          <w:p>
            <w:pPr>
              <w:jc w:val="center"/>
              <w:spacing w:after="0"/>
              <w:rPr>
                <w:sz w:val="20"/>
                <w:szCs w:val="20"/>
                <w:color w:val="auto"/>
              </w:rPr>
            </w:pPr>
            <w:r>
              <w:rPr>
                <w:rFonts w:ascii="Arial" w:cs="Arial" w:eastAsia="Arial" w:hAnsi="Arial"/>
                <w:sz w:val="12"/>
                <w:szCs w:val="12"/>
                <w:color w:val="auto"/>
                <w:w w:val="92"/>
              </w:rPr>
              <w:t>ITC</w:t>
            </w:r>
          </w:p>
        </w:tc>
        <w:tc>
          <w:tcPr>
            <w:tcW w:w="720" w:type="dxa"/>
            <w:vAlign w:val="bottom"/>
          </w:tcPr>
          <w:p>
            <w:pPr>
              <w:jc w:val="center"/>
              <w:spacing w:after="0"/>
              <w:rPr>
                <w:sz w:val="20"/>
                <w:szCs w:val="20"/>
                <w:color w:val="auto"/>
              </w:rPr>
            </w:pPr>
            <w:r>
              <w:rPr>
                <w:rFonts w:ascii="Arial" w:cs="Arial" w:eastAsia="Arial" w:hAnsi="Arial"/>
                <w:sz w:val="12"/>
                <w:szCs w:val="12"/>
                <w:color w:val="auto"/>
              </w:rPr>
              <w:t>DC (10%)</w:t>
            </w: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369-388</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424-446</w:t>
            </w:r>
          </w:p>
        </w:tc>
        <w:tc>
          <w:tcPr>
            <w:tcW w:w="620" w:type="dxa"/>
            <w:vAlign w:val="bottom"/>
          </w:tcPr>
          <w:p>
            <w:pPr>
              <w:jc w:val="center"/>
              <w:spacing w:after="0"/>
              <w:rPr>
                <w:sz w:val="20"/>
                <w:szCs w:val="20"/>
                <w:color w:val="auto"/>
              </w:rPr>
            </w:pPr>
            <w:r>
              <w:rPr>
                <w:rFonts w:ascii="Arial" w:cs="Arial" w:eastAsia="Arial" w:hAnsi="Arial"/>
                <w:sz w:val="12"/>
                <w:szCs w:val="12"/>
                <w:color w:val="auto"/>
                <w:w w:val="99"/>
              </w:rPr>
              <w:t>245</w:t>
            </w:r>
          </w:p>
        </w:tc>
        <w:tc>
          <w:tcPr>
            <w:tcW w:w="880" w:type="dxa"/>
            <w:vAlign w:val="bottom"/>
          </w:tcPr>
          <w:p>
            <w:pPr>
              <w:jc w:val="center"/>
              <w:spacing w:after="0"/>
              <w:rPr>
                <w:sz w:val="20"/>
                <w:szCs w:val="20"/>
                <w:color w:val="auto"/>
              </w:rPr>
            </w:pPr>
            <w:r>
              <w:rPr>
                <w:rFonts w:ascii="Arial" w:cs="Arial" w:eastAsia="Arial" w:hAnsi="Arial"/>
                <w:sz w:val="12"/>
                <w:szCs w:val="12"/>
                <w:color w:val="auto"/>
                <w:w w:val="96"/>
              </w:rPr>
              <w:t>10%-11%</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91</w:t>
            </w:r>
          </w:p>
        </w:tc>
        <w:tc>
          <w:tcPr>
            <w:tcW w:w="580" w:type="dxa"/>
            <w:vAlign w:val="bottom"/>
          </w:tcPr>
          <w:p>
            <w:pPr>
              <w:jc w:val="center"/>
              <w:spacing w:after="0"/>
              <w:rPr>
                <w:sz w:val="20"/>
                <w:szCs w:val="20"/>
                <w:color w:val="auto"/>
              </w:rPr>
            </w:pPr>
            <w:r>
              <w:rPr>
                <w:rFonts w:ascii="Arial" w:cs="Arial" w:eastAsia="Arial" w:hAnsi="Arial"/>
                <w:sz w:val="12"/>
                <w:szCs w:val="12"/>
                <w:color w:val="auto"/>
                <w:w w:val="97"/>
              </w:rPr>
              <w:t>61-63</w:t>
            </w: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44-46</w:t>
            </w:r>
          </w:p>
        </w:tc>
        <w:tc>
          <w:tcPr>
            <w:tcW w:w="660" w:type="dxa"/>
            <w:vAlign w:val="bottom"/>
          </w:tcPr>
          <w:p>
            <w:pPr>
              <w:jc w:val="center"/>
              <w:spacing w:after="0"/>
              <w:rPr>
                <w:sz w:val="20"/>
                <w:szCs w:val="20"/>
                <w:color w:val="auto"/>
              </w:rPr>
            </w:pPr>
            <w:r>
              <w:rPr>
                <w:rFonts w:ascii="Arial" w:cs="Arial" w:eastAsia="Arial" w:hAnsi="Arial"/>
                <w:sz w:val="12"/>
                <w:szCs w:val="12"/>
                <w:color w:val="auto"/>
                <w:w w:val="97"/>
              </w:rPr>
              <w:t>100%</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Quail Ranch BESS</w:t>
            </w:r>
          </w:p>
        </w:tc>
        <w:tc>
          <w:tcPr>
            <w:tcW w:w="560" w:type="dxa"/>
            <w:vAlign w:val="bottom"/>
          </w:tcPr>
          <w:p>
            <w:pPr>
              <w:jc w:val="center"/>
              <w:spacing w:after="0"/>
              <w:rPr>
                <w:sz w:val="20"/>
                <w:szCs w:val="20"/>
                <w:color w:val="auto"/>
              </w:rPr>
            </w:pPr>
            <w:r>
              <w:rPr>
                <w:rFonts w:ascii="Arial" w:cs="Arial" w:eastAsia="Arial" w:hAnsi="Arial"/>
                <w:sz w:val="12"/>
                <w:szCs w:val="12"/>
                <w:color w:val="auto"/>
                <w:w w:val="97"/>
              </w:rPr>
              <w:t>USA</w:t>
            </w: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0/400</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H2 2025</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126-132</w:t>
            </w:r>
          </w:p>
        </w:tc>
        <w:tc>
          <w:tcPr>
            <w:tcW w:w="620" w:type="dxa"/>
            <w:vAlign w:val="bottom"/>
          </w:tcPr>
          <w:p>
            <w:pPr>
              <w:jc w:val="center"/>
              <w:spacing w:after="0"/>
              <w:rPr>
                <w:sz w:val="20"/>
                <w:szCs w:val="20"/>
                <w:color w:val="auto"/>
              </w:rPr>
            </w:pPr>
            <w:r>
              <w:rPr>
                <w:rFonts w:ascii="Arial" w:cs="Arial" w:eastAsia="Arial" w:hAnsi="Arial"/>
                <w:sz w:val="12"/>
                <w:szCs w:val="12"/>
                <w:color w:val="auto"/>
                <w:w w:val="92"/>
              </w:rPr>
              <w:t>ITC</w:t>
            </w:r>
          </w:p>
        </w:tc>
        <w:tc>
          <w:tcPr>
            <w:tcW w:w="720" w:type="dxa"/>
            <w:vAlign w:val="bottom"/>
          </w:tcPr>
          <w:p>
            <w:pPr>
              <w:jc w:val="center"/>
              <w:spacing w:after="0"/>
              <w:rPr>
                <w:sz w:val="20"/>
                <w:szCs w:val="20"/>
                <w:color w:val="auto"/>
              </w:rPr>
            </w:pPr>
            <w:r>
              <w:rPr>
                <w:rFonts w:ascii="Arial" w:cs="Arial" w:eastAsia="Arial" w:hAnsi="Arial"/>
                <w:sz w:val="12"/>
                <w:szCs w:val="12"/>
                <w:color w:val="auto"/>
                <w:w w:val="99"/>
              </w:rPr>
              <w:t>EC (10%)</w:t>
            </w: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58-61</w:t>
            </w:r>
          </w:p>
        </w:tc>
        <w:tc>
          <w:tcPr>
            <w:tcW w:w="580" w:type="dxa"/>
            <w:vAlign w:val="bottom"/>
          </w:tcPr>
          <w:p>
            <w:pPr>
              <w:jc w:val="center"/>
              <w:spacing w:after="0"/>
              <w:rPr>
                <w:sz w:val="20"/>
                <w:szCs w:val="20"/>
                <w:color w:val="auto"/>
              </w:rPr>
            </w:pPr>
            <w:r>
              <w:rPr>
                <w:rFonts w:ascii="Arial" w:cs="Arial" w:eastAsia="Arial" w:hAnsi="Arial"/>
                <w:sz w:val="12"/>
                <w:szCs w:val="12"/>
                <w:color w:val="auto"/>
                <w:w w:val="97"/>
              </w:rPr>
              <w:t>68-71</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w w:val="99"/>
              </w:rPr>
              <w:t>157</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auto"/>
                <w:w w:val="99"/>
              </w:rPr>
              <w:t>12%-15%</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48</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7"/>
              </w:rPr>
              <w:t>23-24</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16-17</w:t>
            </w:r>
          </w:p>
        </w:tc>
        <w:tc>
          <w:tcPr>
            <w:tcW w:w="660" w:type="dxa"/>
            <w:vAlign w:val="bottom"/>
          </w:tcPr>
          <w:p>
            <w:pPr>
              <w:jc w:val="center"/>
              <w:spacing w:after="0"/>
              <w:rPr>
                <w:sz w:val="20"/>
                <w:szCs w:val="20"/>
                <w:color w:val="auto"/>
              </w:rPr>
            </w:pPr>
            <w:r>
              <w:rPr>
                <w:rFonts w:ascii="Arial" w:cs="Arial" w:eastAsia="Arial" w:hAnsi="Arial"/>
                <w:sz w:val="12"/>
                <w:szCs w:val="12"/>
                <w:color w:val="auto"/>
                <w:w w:val="97"/>
              </w:rPr>
              <w:t>100%</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right w:val="single" w:sz="8" w:color="auto"/>
            </w:tcBorders>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Quail Ranch Solar</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auto"/>
                <w:w w:val="97"/>
              </w:rPr>
              <w:t>USA</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9"/>
              </w:rPr>
              <w:t>128/0</w:t>
            </w:r>
          </w:p>
        </w:tc>
        <w:tc>
          <w:tcPr>
            <w:tcW w:w="640" w:type="dxa"/>
            <w:vAlign w:val="bottom"/>
            <w:tcBorders>
              <w:right w:val="single" w:sz="8" w:color="auto"/>
            </w:tcBorders>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9"/>
              </w:rPr>
              <w:t>145-152</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w w:val="99"/>
              </w:rPr>
              <w:t>PTC</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9"/>
              </w:rPr>
              <w:t>EC (10%)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69-73</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7"/>
              </w:rPr>
              <w:t>76-79</w:t>
            </w:r>
          </w:p>
        </w:tc>
        <w:tc>
          <w:tcPr>
            <w:tcW w:w="6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7"/>
              </w:rPr>
              <w:t>100%</w:t>
            </w:r>
          </w:p>
        </w:tc>
        <w:tc>
          <w:tcPr>
            <w:tcW w:w="0" w:type="dxa"/>
            <w:vAlign w:val="bottom"/>
          </w:tcPr>
          <w:p>
            <w:pPr>
              <w:spacing w:after="0"/>
              <w:rPr>
                <w:sz w:val="1"/>
                <w:szCs w:val="1"/>
                <w:color w:val="auto"/>
              </w:rPr>
            </w:pPr>
          </w:p>
        </w:tc>
      </w:tr>
      <w:tr>
        <w:trPr>
          <w:trHeight w:val="117"/>
        </w:trPr>
        <w:tc>
          <w:tcPr>
            <w:tcW w:w="2160" w:type="dxa"/>
            <w:vAlign w:val="bottom"/>
            <w:tcBorders>
              <w:right w:val="single" w:sz="8" w:color="auto"/>
            </w:tcBorders>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Roadrunner BESS</w:t>
            </w:r>
          </w:p>
        </w:tc>
        <w:tc>
          <w:tcPr>
            <w:tcW w:w="560" w:type="dxa"/>
            <w:vAlign w:val="bottom"/>
          </w:tcPr>
          <w:p>
            <w:pPr>
              <w:jc w:val="center"/>
              <w:spacing w:after="0"/>
              <w:rPr>
                <w:sz w:val="20"/>
                <w:szCs w:val="20"/>
                <w:color w:val="auto"/>
              </w:rPr>
            </w:pPr>
            <w:r>
              <w:rPr>
                <w:rFonts w:ascii="Arial" w:cs="Arial" w:eastAsia="Arial" w:hAnsi="Arial"/>
                <w:sz w:val="12"/>
                <w:szCs w:val="12"/>
                <w:color w:val="auto"/>
                <w:w w:val="97"/>
              </w:rPr>
              <w:t>USA</w:t>
            </w: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0/940</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H2 2025</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332-350</w:t>
            </w:r>
          </w:p>
        </w:tc>
        <w:tc>
          <w:tcPr>
            <w:tcW w:w="620" w:type="dxa"/>
            <w:vAlign w:val="bottom"/>
          </w:tcPr>
          <w:p>
            <w:pPr>
              <w:jc w:val="center"/>
              <w:spacing w:after="0"/>
              <w:rPr>
                <w:sz w:val="20"/>
                <w:szCs w:val="20"/>
                <w:color w:val="auto"/>
              </w:rPr>
            </w:pPr>
            <w:r>
              <w:rPr>
                <w:rFonts w:ascii="Arial" w:cs="Arial" w:eastAsia="Arial" w:hAnsi="Arial"/>
                <w:sz w:val="12"/>
                <w:szCs w:val="12"/>
                <w:color w:val="auto"/>
                <w:w w:val="92"/>
              </w:rPr>
              <w:t>ITC</w:t>
            </w:r>
          </w:p>
        </w:tc>
        <w:tc>
          <w:tcPr>
            <w:tcW w:w="720" w:type="dxa"/>
            <w:vAlign w:val="bottom"/>
          </w:tcPr>
          <w:p>
            <w:pPr>
              <w:jc w:val="center"/>
              <w:spacing w:after="0"/>
              <w:rPr>
                <w:sz w:val="20"/>
                <w:szCs w:val="20"/>
                <w:color w:val="auto"/>
              </w:rPr>
            </w:pPr>
            <w:r>
              <w:rPr>
                <w:rFonts w:ascii="Arial" w:cs="Arial" w:eastAsia="Arial" w:hAnsi="Arial"/>
                <w:sz w:val="12"/>
                <w:szCs w:val="12"/>
                <w:color w:val="auto"/>
                <w:w w:val="99"/>
              </w:rPr>
              <w:t>EC (10%)</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157-165   175-185</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w w:val="99"/>
              </w:rPr>
              <w:t>284</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auto"/>
                <w:w w:val="99"/>
              </w:rPr>
              <w:t>0%-10%********</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61</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7"/>
              </w:rPr>
              <w:t>52-55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39-40</w:t>
            </w:r>
          </w:p>
        </w:tc>
        <w:tc>
          <w:tcPr>
            <w:tcW w:w="660" w:type="dxa"/>
            <w:vAlign w:val="bottom"/>
          </w:tcPr>
          <w:p>
            <w:pPr>
              <w:jc w:val="center"/>
              <w:spacing w:after="0"/>
              <w:rPr>
                <w:sz w:val="20"/>
                <w:szCs w:val="20"/>
                <w:color w:val="auto"/>
              </w:rPr>
            </w:pPr>
            <w:r>
              <w:rPr>
                <w:rFonts w:ascii="Arial" w:cs="Arial" w:eastAsia="Arial" w:hAnsi="Arial"/>
                <w:sz w:val="12"/>
                <w:szCs w:val="12"/>
                <w:color w:val="auto"/>
                <w:w w:val="97"/>
              </w:rPr>
              <w:t>100%</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right w:val="single" w:sz="8" w:color="auto"/>
            </w:tcBorders>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Roadrunner Solar</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auto"/>
                <w:w w:val="97"/>
              </w:rPr>
              <w:t>USA</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9"/>
              </w:rPr>
              <w:t>290/0</w:t>
            </w:r>
          </w:p>
        </w:tc>
        <w:tc>
          <w:tcPr>
            <w:tcW w:w="640" w:type="dxa"/>
            <w:vAlign w:val="bottom"/>
            <w:tcBorders>
              <w:right w:val="single" w:sz="8" w:color="auto"/>
            </w:tcBorders>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9"/>
              </w:rPr>
              <w:t>284-298</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w w:val="99"/>
              </w:rPr>
              <w:t>PTC</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9"/>
              </w:rPr>
              <w:t>EC (10%)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169-177</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9"/>
              </w:rPr>
              <w:t>115-121</w:t>
            </w:r>
          </w:p>
        </w:tc>
        <w:tc>
          <w:tcPr>
            <w:tcW w:w="6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7"/>
              </w:rPr>
              <w:t>100%</w:t>
            </w:r>
          </w:p>
        </w:tc>
        <w:tc>
          <w:tcPr>
            <w:tcW w:w="0" w:type="dxa"/>
            <w:vAlign w:val="bottom"/>
          </w:tcPr>
          <w:p>
            <w:pPr>
              <w:spacing w:after="0"/>
              <w:rPr>
                <w:sz w:val="1"/>
                <w:szCs w:val="1"/>
                <w:color w:val="auto"/>
              </w:rPr>
            </w:pPr>
          </w:p>
        </w:tc>
      </w:tr>
      <w:tr>
        <w:trPr>
          <w:trHeight w:val="117"/>
        </w:trPr>
        <w:tc>
          <w:tcPr>
            <w:tcW w:w="2160" w:type="dxa"/>
            <w:vAlign w:val="bottom"/>
            <w:tcBorders>
              <w:right w:val="single" w:sz="8" w:color="auto"/>
            </w:tcBorders>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16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600/</w:t>
            </w:r>
          </w:p>
        </w:tc>
        <w:tc>
          <w:tcPr>
            <w:tcW w:w="640" w:type="dxa"/>
            <w:vAlign w:val="bottom"/>
            <w:tcBorders>
              <w:right w:val="single" w:sz="8" w:color="auto"/>
            </w:tcBorders>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9"/>
              </w:rPr>
              <w:t>1,476-</w:t>
            </w:r>
          </w:p>
        </w:tc>
        <w:tc>
          <w:tcPr>
            <w:tcW w:w="6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9"/>
              </w:rPr>
              <w:t>EC (10%) +</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Snowflake A</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auto"/>
                <w:w w:val="97"/>
              </w:rPr>
              <w:t>USA</w:t>
            </w:r>
          </w:p>
        </w:tc>
        <w:tc>
          <w:tcPr>
            <w:tcW w:w="700" w:type="dxa"/>
            <w:vAlign w:val="bottom"/>
            <w:vMerge w:val="continue"/>
          </w:tcPr>
          <w:p>
            <w:pPr>
              <w:spacing w:after="0"/>
              <w:rPr>
                <w:sz w:val="6"/>
                <w:szCs w:val="6"/>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2027</w:t>
            </w:r>
          </w:p>
        </w:tc>
        <w:tc>
          <w:tcPr>
            <w:tcW w:w="58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w w:val="92"/>
              </w:rPr>
              <w:t>ITC</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DC (10%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647-681</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9"/>
              </w:rPr>
              <w:t>829-871</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29</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auto"/>
                <w:w w:val="99"/>
              </w:rPr>
              <w:t>10%</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29</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9"/>
              </w:rPr>
              <w:t>124-130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100-105</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7"/>
              </w:rPr>
              <w:t>100%</w:t>
            </w:r>
          </w:p>
        </w:tc>
        <w:tc>
          <w:tcPr>
            <w:tcW w:w="0" w:type="dxa"/>
            <w:vAlign w:val="bottom"/>
          </w:tcPr>
          <w:p>
            <w:pPr>
              <w:spacing w:after="0"/>
              <w:rPr>
                <w:sz w:val="1"/>
                <w:szCs w:val="1"/>
                <w:color w:val="auto"/>
              </w:rPr>
            </w:pPr>
          </w:p>
        </w:tc>
      </w:tr>
      <w:tr>
        <w:trPr>
          <w:trHeight w:val="81"/>
        </w:trPr>
        <w:tc>
          <w:tcPr>
            <w:tcW w:w="2160" w:type="dxa"/>
            <w:vAlign w:val="bottom"/>
            <w:tcBorders>
              <w:right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9"/>
              </w:rPr>
              <w:t>1,900</w:t>
            </w:r>
          </w:p>
        </w:tc>
        <w:tc>
          <w:tcPr>
            <w:tcW w:w="640" w:type="dxa"/>
            <w:vAlign w:val="bottom"/>
            <w:tcBorders>
              <w:right w:val="single" w:sz="8" w:color="auto"/>
            </w:tcBorders>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9"/>
              </w:rPr>
              <w:t>1,552</w:t>
            </w: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16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BESS only)</w:t>
            </w: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16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Gecama Solar</w:t>
            </w:r>
          </w:p>
        </w:tc>
        <w:tc>
          <w:tcPr>
            <w:tcW w:w="560" w:type="dxa"/>
            <w:vAlign w:val="bottom"/>
          </w:tcPr>
          <w:p>
            <w:pPr>
              <w:jc w:val="center"/>
              <w:spacing w:after="0"/>
              <w:rPr>
                <w:sz w:val="20"/>
                <w:szCs w:val="20"/>
                <w:color w:val="auto"/>
              </w:rPr>
            </w:pPr>
            <w:r>
              <w:rPr>
                <w:rFonts w:ascii="Arial" w:cs="Arial" w:eastAsia="Arial" w:hAnsi="Arial"/>
                <w:sz w:val="12"/>
                <w:szCs w:val="12"/>
                <w:color w:val="auto"/>
                <w:w w:val="97"/>
              </w:rPr>
              <w:t>Spain</w:t>
            </w:r>
          </w:p>
        </w:tc>
        <w:tc>
          <w:tcPr>
            <w:tcW w:w="700" w:type="dxa"/>
            <w:vAlign w:val="bottom"/>
          </w:tcPr>
          <w:p>
            <w:pPr>
              <w:jc w:val="center"/>
              <w:spacing w:after="0"/>
              <w:rPr>
                <w:sz w:val="20"/>
                <w:szCs w:val="20"/>
                <w:color w:val="auto"/>
              </w:rPr>
            </w:pPr>
            <w:r>
              <w:rPr>
                <w:rFonts w:ascii="Arial" w:cs="Arial" w:eastAsia="Arial" w:hAnsi="Arial"/>
                <w:sz w:val="12"/>
                <w:szCs w:val="12"/>
                <w:color w:val="auto"/>
              </w:rPr>
              <w:t>225/220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H2 2026</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215-225</w:t>
            </w:r>
          </w:p>
        </w:tc>
        <w:tc>
          <w:tcPr>
            <w:tcW w:w="6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580" w:type="dxa"/>
            <w:vAlign w:val="bottom"/>
          </w:tcPr>
          <w:p>
            <w:pPr>
              <w:jc w:val="center"/>
              <w:spacing w:after="0"/>
              <w:rPr>
                <w:sz w:val="20"/>
                <w:szCs w:val="20"/>
                <w:color w:val="auto"/>
              </w:rPr>
            </w:pPr>
            <w:r>
              <w:rPr>
                <w:rFonts w:ascii="Arial" w:cs="Arial" w:eastAsia="Arial" w:hAnsi="Arial"/>
                <w:sz w:val="12"/>
                <w:szCs w:val="12"/>
                <w:color w:val="auto"/>
                <w:w w:val="99"/>
              </w:rPr>
              <w:t>215-225</w:t>
            </w:r>
          </w:p>
        </w:tc>
        <w:tc>
          <w:tcPr>
            <w:tcW w:w="620" w:type="dxa"/>
            <w:vAlign w:val="bottom"/>
          </w:tcPr>
          <w:p>
            <w:pPr>
              <w:jc w:val="center"/>
              <w:spacing w:after="0"/>
              <w:rPr>
                <w:sz w:val="20"/>
                <w:szCs w:val="20"/>
                <w:color w:val="auto"/>
              </w:rPr>
            </w:pPr>
            <w:r>
              <w:rPr>
                <w:rFonts w:ascii="Arial" w:cs="Arial" w:eastAsia="Arial" w:hAnsi="Arial"/>
                <w:sz w:val="12"/>
                <w:szCs w:val="12"/>
                <w:color w:val="auto"/>
              </w:rPr>
              <w:t>42</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23%-28%</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42</w:t>
            </w:r>
          </w:p>
        </w:tc>
        <w:tc>
          <w:tcPr>
            <w:tcW w:w="580" w:type="dxa"/>
            <w:vAlign w:val="bottom"/>
          </w:tcPr>
          <w:p>
            <w:pPr>
              <w:jc w:val="center"/>
              <w:spacing w:after="0"/>
              <w:rPr>
                <w:sz w:val="20"/>
                <w:szCs w:val="20"/>
                <w:color w:val="auto"/>
              </w:rPr>
            </w:pPr>
            <w:r>
              <w:rPr>
                <w:rFonts w:ascii="Arial" w:cs="Arial" w:eastAsia="Arial" w:hAnsi="Arial"/>
                <w:sz w:val="12"/>
                <w:szCs w:val="12"/>
                <w:color w:val="auto"/>
                <w:w w:val="97"/>
              </w:rPr>
              <w:t>43-45</w:t>
            </w: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35-37</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72%</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1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Bjornberget – BESS</w:t>
            </w:r>
          </w:p>
        </w:tc>
        <w:tc>
          <w:tcPr>
            <w:tcW w:w="560" w:type="dxa"/>
            <w:vAlign w:val="bottom"/>
          </w:tcPr>
          <w:p>
            <w:pPr>
              <w:jc w:val="center"/>
              <w:spacing w:after="0"/>
              <w:rPr>
                <w:sz w:val="20"/>
                <w:szCs w:val="20"/>
                <w:color w:val="auto"/>
              </w:rPr>
            </w:pPr>
            <w:r>
              <w:rPr>
                <w:rFonts w:ascii="Arial" w:cs="Arial" w:eastAsia="Arial" w:hAnsi="Arial"/>
                <w:sz w:val="12"/>
                <w:szCs w:val="12"/>
                <w:color w:val="auto"/>
              </w:rPr>
              <w:t>Sweden</w:t>
            </w: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0/100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2026</w:t>
            </w:r>
          </w:p>
        </w:tc>
        <w:tc>
          <w:tcPr>
            <w:tcW w:w="580" w:type="dxa"/>
            <w:vAlign w:val="bottom"/>
          </w:tcPr>
          <w:p>
            <w:pPr>
              <w:jc w:val="center"/>
              <w:spacing w:after="0"/>
              <w:rPr>
                <w:sz w:val="20"/>
                <w:szCs w:val="20"/>
                <w:color w:val="auto"/>
              </w:rPr>
            </w:pPr>
            <w:r>
              <w:rPr>
                <w:rFonts w:ascii="Arial" w:cs="Arial" w:eastAsia="Arial" w:hAnsi="Arial"/>
                <w:sz w:val="12"/>
                <w:szCs w:val="12"/>
                <w:color w:val="auto"/>
                <w:w w:val="97"/>
              </w:rPr>
              <w:t>28-30</w:t>
            </w:r>
          </w:p>
        </w:tc>
        <w:tc>
          <w:tcPr>
            <w:tcW w:w="6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580" w:type="dxa"/>
            <w:vAlign w:val="bottom"/>
          </w:tcPr>
          <w:p>
            <w:pPr>
              <w:jc w:val="center"/>
              <w:spacing w:after="0"/>
              <w:rPr>
                <w:sz w:val="20"/>
                <w:szCs w:val="20"/>
                <w:color w:val="auto"/>
              </w:rPr>
            </w:pPr>
            <w:r>
              <w:rPr>
                <w:rFonts w:ascii="Arial" w:cs="Arial" w:eastAsia="Arial" w:hAnsi="Arial"/>
                <w:sz w:val="12"/>
                <w:szCs w:val="12"/>
                <w:color w:val="auto"/>
                <w:w w:val="97"/>
              </w:rPr>
              <w:t>28-30</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880" w:type="dxa"/>
            <w:vAlign w:val="bottom"/>
          </w:tcPr>
          <w:p>
            <w:pPr>
              <w:jc w:val="center"/>
              <w:spacing w:after="0"/>
              <w:rPr>
                <w:sz w:val="20"/>
                <w:szCs w:val="20"/>
                <w:color w:val="auto"/>
              </w:rPr>
            </w:pPr>
            <w:r>
              <w:rPr>
                <w:rFonts w:ascii="Arial" w:cs="Arial" w:eastAsia="Arial" w:hAnsi="Arial"/>
                <w:sz w:val="12"/>
                <w:szCs w:val="12"/>
                <w:color w:val="auto"/>
                <w:w w:val="97"/>
              </w:rPr>
              <w:t>100%</w:t>
            </w:r>
          </w:p>
        </w:tc>
        <w:tc>
          <w:tcPr>
            <w:tcW w:w="640" w:type="dxa"/>
            <w:vAlign w:val="bottom"/>
          </w:tcPr>
          <w:p>
            <w:pPr>
              <w:jc w:val="center"/>
              <w:spacing w:after="0"/>
              <w:rPr>
                <w:sz w:val="20"/>
                <w:szCs w:val="20"/>
                <w:color w:val="auto"/>
              </w:rPr>
            </w:pPr>
            <w:r>
              <w:rPr>
                <w:rFonts w:ascii="Arial" w:cs="Arial" w:eastAsia="Arial" w:hAnsi="Arial"/>
                <w:sz w:val="12"/>
                <w:szCs w:val="12"/>
                <w:color w:val="auto"/>
              </w:rPr>
              <w:t>3</w:t>
            </w:r>
          </w:p>
        </w:tc>
        <w:tc>
          <w:tcPr>
            <w:tcW w:w="580" w:type="dxa"/>
            <w:vAlign w:val="bottom"/>
          </w:tcPr>
          <w:p>
            <w:pPr>
              <w:jc w:val="center"/>
              <w:spacing w:after="0"/>
              <w:rPr>
                <w:sz w:val="20"/>
                <w:szCs w:val="20"/>
                <w:color w:val="auto"/>
              </w:rPr>
            </w:pPr>
            <w:r>
              <w:rPr>
                <w:rFonts w:ascii="Arial" w:cs="Arial" w:eastAsia="Arial" w:hAnsi="Arial"/>
                <w:sz w:val="12"/>
                <w:szCs w:val="12"/>
                <w:color w:val="auto"/>
                <w:w w:val="97"/>
              </w:rPr>
              <w:t>10-11</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9</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55%</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Israel Construction</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auto"/>
              </w:rPr>
              <w:t>Israel</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4/69</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H2 2025-</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7"/>
              </w:rPr>
              <w:t>20-22</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w w:val="98"/>
              </w:rPr>
              <w:t>-</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8"/>
              </w:rPr>
              <w:t>-</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7"/>
              </w:rPr>
              <w:t>20-22</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w w:val="89"/>
              </w:rPr>
              <w:t>9</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auto"/>
                <w:w w:val="99"/>
              </w:rPr>
              <w:t>15%-25%</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9</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2</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2</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9"/>
              </w:rPr>
              <w:t>82%</w:t>
            </w:r>
          </w:p>
        </w:tc>
        <w:tc>
          <w:tcPr>
            <w:tcW w:w="0" w:type="dxa"/>
            <w:vAlign w:val="bottom"/>
          </w:tcPr>
          <w:p>
            <w:pPr>
              <w:spacing w:after="0"/>
              <w:rPr>
                <w:sz w:val="1"/>
                <w:szCs w:val="1"/>
                <w:color w:val="auto"/>
              </w:rPr>
            </w:pPr>
          </w:p>
        </w:tc>
      </w:tr>
      <w:tr>
        <w:trPr>
          <w:trHeight w:val="87"/>
        </w:trPr>
        <w:tc>
          <w:tcPr>
            <w:tcW w:w="2160" w:type="dxa"/>
            <w:vAlign w:val="bottom"/>
            <w:tcBorders>
              <w:right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H2 2026</w:t>
            </w: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16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160" w:type="dxa"/>
            <w:vAlign w:val="bottom"/>
            <w:tcBorders>
              <w:right w:val="single" w:sz="8" w:color="auto"/>
            </w:tcBorders>
            <w:vMerge w:val="restart"/>
            <w:shd w:val="clear" w:color="auto" w:fill="BDD6EE"/>
          </w:tcPr>
          <w:p>
            <w:pPr>
              <w:ind w:left="20"/>
              <w:spacing w:after="0"/>
              <w:rPr>
                <w:sz w:val="20"/>
                <w:szCs w:val="20"/>
                <w:color w:val="auto"/>
              </w:rPr>
            </w:pPr>
            <w:r>
              <w:rPr>
                <w:rFonts w:ascii="Arial" w:cs="Arial" w:eastAsia="Arial" w:hAnsi="Arial"/>
                <w:sz w:val="12"/>
                <w:szCs w:val="12"/>
                <w:b w:val="1"/>
                <w:bCs w:val="1"/>
                <w:color w:val="auto"/>
              </w:rPr>
              <w:t>Total Consolidated Projects</w:t>
            </w:r>
          </w:p>
        </w:tc>
        <w:tc>
          <w:tcPr>
            <w:tcW w:w="560" w:type="dxa"/>
            <w:vAlign w:val="bottom"/>
            <w:shd w:val="clear" w:color="auto" w:fill="BDD6EE"/>
          </w:tcPr>
          <w:p>
            <w:pPr>
              <w:spacing w:after="0"/>
              <w:rPr>
                <w:sz w:val="13"/>
                <w:szCs w:val="13"/>
                <w:color w:val="auto"/>
              </w:rPr>
            </w:pPr>
          </w:p>
        </w:tc>
        <w:tc>
          <w:tcPr>
            <w:tcW w:w="700" w:type="dxa"/>
            <w:vAlign w:val="bottom"/>
            <w:shd w:val="clear" w:color="auto" w:fill="BDD6EE"/>
          </w:tcPr>
          <w:p>
            <w:pPr>
              <w:jc w:val="center"/>
              <w:spacing w:after="0"/>
              <w:rPr>
                <w:sz w:val="20"/>
                <w:szCs w:val="20"/>
                <w:color w:val="auto"/>
              </w:rPr>
            </w:pPr>
            <w:r>
              <w:rPr>
                <w:rFonts w:ascii="Arial" w:cs="Arial" w:eastAsia="Arial" w:hAnsi="Arial"/>
                <w:sz w:val="12"/>
                <w:szCs w:val="12"/>
                <w:b w:val="1"/>
                <w:bCs w:val="1"/>
                <w:color w:val="auto"/>
              </w:rPr>
              <w:t>1,650/</w:t>
            </w:r>
          </w:p>
        </w:tc>
        <w:tc>
          <w:tcPr>
            <w:tcW w:w="640" w:type="dxa"/>
            <w:vAlign w:val="bottom"/>
            <w:tcBorders>
              <w:right w:val="single" w:sz="8" w:color="auto"/>
            </w:tcBorders>
            <w:shd w:val="clear" w:color="auto" w:fill="BDD6EE"/>
          </w:tcPr>
          <w:p>
            <w:pPr>
              <w:spacing w:after="0"/>
              <w:rPr>
                <w:sz w:val="13"/>
                <w:szCs w:val="13"/>
                <w:color w:val="auto"/>
              </w:rPr>
            </w:pPr>
          </w:p>
        </w:tc>
        <w:tc>
          <w:tcPr>
            <w:tcW w:w="580" w:type="dxa"/>
            <w:vAlign w:val="bottom"/>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3,419-</w:t>
            </w:r>
          </w:p>
        </w:tc>
        <w:tc>
          <w:tcPr>
            <w:tcW w:w="620" w:type="dxa"/>
            <w:vAlign w:val="bottom"/>
            <w:shd w:val="clear" w:color="auto" w:fill="BDD6EE"/>
          </w:tcPr>
          <w:p>
            <w:pPr>
              <w:spacing w:after="0"/>
              <w:rPr>
                <w:sz w:val="13"/>
                <w:szCs w:val="13"/>
                <w:color w:val="auto"/>
              </w:rPr>
            </w:pPr>
          </w:p>
        </w:tc>
        <w:tc>
          <w:tcPr>
            <w:tcW w:w="720" w:type="dxa"/>
            <w:vAlign w:val="bottom"/>
            <w:shd w:val="clear" w:color="auto" w:fill="BDD6EE"/>
          </w:tcPr>
          <w:p>
            <w:pPr>
              <w:spacing w:after="0"/>
              <w:rPr>
                <w:sz w:val="13"/>
                <w:szCs w:val="13"/>
                <w:color w:val="auto"/>
              </w:rPr>
            </w:pPr>
          </w:p>
        </w:tc>
        <w:tc>
          <w:tcPr>
            <w:tcW w:w="680" w:type="dxa"/>
            <w:vAlign w:val="bottom"/>
            <w:shd w:val="clear" w:color="auto" w:fill="BDD6EE"/>
          </w:tcPr>
          <w:p>
            <w:pPr>
              <w:jc w:val="right"/>
              <w:ind w:right="100"/>
              <w:spacing w:after="0"/>
              <w:rPr>
                <w:sz w:val="20"/>
                <w:szCs w:val="20"/>
                <w:color w:val="auto"/>
              </w:rPr>
            </w:pPr>
            <w:r>
              <w:rPr>
                <w:rFonts w:ascii="Arial" w:cs="Arial" w:eastAsia="Arial" w:hAnsi="Arial"/>
                <w:sz w:val="12"/>
                <w:szCs w:val="12"/>
                <w:b w:val="1"/>
                <w:bCs w:val="1"/>
                <w:color w:val="auto"/>
              </w:rPr>
              <w:t>1,469-</w:t>
            </w:r>
          </w:p>
        </w:tc>
        <w:tc>
          <w:tcPr>
            <w:tcW w:w="580" w:type="dxa"/>
            <w:vAlign w:val="bottom"/>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1,950-</w:t>
            </w:r>
          </w:p>
        </w:tc>
        <w:tc>
          <w:tcPr>
            <w:tcW w:w="62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769</w:t>
            </w:r>
          </w:p>
        </w:tc>
        <w:tc>
          <w:tcPr>
            <w:tcW w:w="880" w:type="dxa"/>
            <w:vAlign w:val="bottom"/>
            <w:shd w:val="clear" w:color="auto" w:fill="BDD6EE"/>
          </w:tcPr>
          <w:p>
            <w:pPr>
              <w:spacing w:after="0"/>
              <w:rPr>
                <w:sz w:val="13"/>
                <w:szCs w:val="13"/>
                <w:color w:val="auto"/>
              </w:rPr>
            </w:pPr>
          </w:p>
        </w:tc>
        <w:tc>
          <w:tcPr>
            <w:tcW w:w="64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283</w:t>
            </w:r>
          </w:p>
        </w:tc>
        <w:tc>
          <w:tcPr>
            <w:tcW w:w="580" w:type="dxa"/>
            <w:vAlign w:val="bottom"/>
            <w:vMerge w:val="restart"/>
            <w:shd w:val="clear" w:color="auto" w:fill="BDD6EE"/>
          </w:tcPr>
          <w:p>
            <w:pPr>
              <w:jc w:val="right"/>
              <w:spacing w:after="0"/>
              <w:rPr>
                <w:sz w:val="20"/>
                <w:szCs w:val="20"/>
                <w:color w:val="auto"/>
              </w:rPr>
            </w:pPr>
            <w:r>
              <w:rPr>
                <w:rFonts w:ascii="Arial" w:cs="Arial" w:eastAsia="Arial" w:hAnsi="Arial"/>
                <w:sz w:val="12"/>
                <w:szCs w:val="12"/>
                <w:b w:val="1"/>
                <w:bCs w:val="1"/>
                <w:color w:val="auto"/>
              </w:rPr>
              <w:t>315-330</w:t>
            </w:r>
          </w:p>
        </w:tc>
        <w:tc>
          <w:tcPr>
            <w:tcW w:w="6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246-257</w:t>
            </w:r>
          </w:p>
        </w:tc>
        <w:tc>
          <w:tcPr>
            <w:tcW w:w="660" w:type="dxa"/>
            <w:vAlign w:val="bottom"/>
            <w:shd w:val="clear" w:color="auto" w:fill="BDD6E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160" w:type="dxa"/>
            <w:vAlign w:val="bottom"/>
            <w:tcBorders>
              <w:right w:val="single" w:sz="8" w:color="auto"/>
            </w:tcBorders>
            <w:vMerge w:val="continue"/>
            <w:shd w:val="clear" w:color="auto" w:fill="BDD6EE"/>
          </w:tcPr>
          <w:p>
            <w:pPr>
              <w:spacing w:after="0"/>
              <w:rPr>
                <w:sz w:val="8"/>
                <w:szCs w:val="8"/>
                <w:color w:val="auto"/>
              </w:rPr>
            </w:pPr>
          </w:p>
        </w:tc>
        <w:tc>
          <w:tcPr>
            <w:tcW w:w="560" w:type="dxa"/>
            <w:vAlign w:val="bottom"/>
            <w:shd w:val="clear" w:color="auto" w:fill="BDD6EE"/>
          </w:tcPr>
          <w:p>
            <w:pPr>
              <w:spacing w:after="0"/>
              <w:rPr>
                <w:sz w:val="8"/>
                <w:szCs w:val="8"/>
                <w:color w:val="auto"/>
              </w:rPr>
            </w:pPr>
          </w:p>
        </w:tc>
        <w:tc>
          <w:tcPr>
            <w:tcW w:w="70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4,317</w:t>
            </w:r>
          </w:p>
        </w:tc>
        <w:tc>
          <w:tcPr>
            <w:tcW w:w="640" w:type="dxa"/>
            <w:vAlign w:val="bottom"/>
            <w:tcBorders>
              <w:right w:val="single" w:sz="8" w:color="auto"/>
            </w:tcBorders>
            <w:shd w:val="clear" w:color="auto" w:fill="BDD6EE"/>
          </w:tcPr>
          <w:p>
            <w:pPr>
              <w:spacing w:after="0"/>
              <w:rPr>
                <w:sz w:val="8"/>
                <w:szCs w:val="8"/>
                <w:color w:val="auto"/>
              </w:rPr>
            </w:pPr>
          </w:p>
        </w:tc>
        <w:tc>
          <w:tcPr>
            <w:tcW w:w="5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3,595</w:t>
            </w:r>
          </w:p>
        </w:tc>
        <w:tc>
          <w:tcPr>
            <w:tcW w:w="620" w:type="dxa"/>
            <w:vAlign w:val="bottom"/>
            <w:shd w:val="clear" w:color="auto" w:fill="BDD6EE"/>
          </w:tcPr>
          <w:p>
            <w:pPr>
              <w:spacing w:after="0"/>
              <w:rPr>
                <w:sz w:val="8"/>
                <w:szCs w:val="8"/>
                <w:color w:val="auto"/>
              </w:rPr>
            </w:pPr>
          </w:p>
        </w:tc>
        <w:tc>
          <w:tcPr>
            <w:tcW w:w="720" w:type="dxa"/>
            <w:vAlign w:val="bottom"/>
            <w:shd w:val="clear" w:color="auto" w:fill="BDD6EE"/>
          </w:tcPr>
          <w:p>
            <w:pPr>
              <w:spacing w:after="0"/>
              <w:rPr>
                <w:sz w:val="8"/>
                <w:szCs w:val="8"/>
                <w:color w:val="auto"/>
              </w:rPr>
            </w:pPr>
          </w:p>
        </w:tc>
        <w:tc>
          <w:tcPr>
            <w:tcW w:w="6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1,545</w:t>
            </w:r>
          </w:p>
        </w:tc>
        <w:tc>
          <w:tcPr>
            <w:tcW w:w="5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2,050</w:t>
            </w:r>
          </w:p>
        </w:tc>
        <w:tc>
          <w:tcPr>
            <w:tcW w:w="620" w:type="dxa"/>
            <w:vAlign w:val="bottom"/>
            <w:vMerge w:val="continue"/>
            <w:shd w:val="clear" w:color="auto" w:fill="BDD6EE"/>
          </w:tcPr>
          <w:p>
            <w:pPr>
              <w:spacing w:after="0"/>
              <w:rPr>
                <w:sz w:val="8"/>
                <w:szCs w:val="8"/>
                <w:color w:val="auto"/>
              </w:rPr>
            </w:pPr>
          </w:p>
        </w:tc>
        <w:tc>
          <w:tcPr>
            <w:tcW w:w="880" w:type="dxa"/>
            <w:vAlign w:val="bottom"/>
            <w:shd w:val="clear" w:color="auto" w:fill="BDD6EE"/>
          </w:tcPr>
          <w:p>
            <w:pPr>
              <w:spacing w:after="0"/>
              <w:rPr>
                <w:sz w:val="8"/>
                <w:szCs w:val="8"/>
                <w:color w:val="auto"/>
              </w:rPr>
            </w:pPr>
          </w:p>
        </w:tc>
        <w:tc>
          <w:tcPr>
            <w:tcW w:w="640" w:type="dxa"/>
            <w:vAlign w:val="bottom"/>
            <w:vMerge w:val="continue"/>
            <w:shd w:val="clear" w:color="auto" w:fill="BDD6EE"/>
          </w:tcPr>
          <w:p>
            <w:pPr>
              <w:spacing w:after="0"/>
              <w:rPr>
                <w:sz w:val="8"/>
                <w:szCs w:val="8"/>
                <w:color w:val="auto"/>
              </w:rPr>
            </w:pPr>
          </w:p>
        </w:tc>
        <w:tc>
          <w:tcPr>
            <w:tcW w:w="580" w:type="dxa"/>
            <w:vAlign w:val="bottom"/>
            <w:vMerge w:val="continue"/>
            <w:shd w:val="clear" w:color="auto" w:fill="BDD6EE"/>
          </w:tcPr>
          <w:p>
            <w:pPr>
              <w:spacing w:after="0"/>
              <w:rPr>
                <w:sz w:val="8"/>
                <w:szCs w:val="8"/>
                <w:color w:val="auto"/>
              </w:rPr>
            </w:pPr>
          </w:p>
        </w:tc>
        <w:tc>
          <w:tcPr>
            <w:tcW w:w="680" w:type="dxa"/>
            <w:vAlign w:val="bottom"/>
            <w:vMerge w:val="continue"/>
            <w:shd w:val="clear" w:color="auto" w:fill="BDD6EE"/>
          </w:tcPr>
          <w:p>
            <w:pPr>
              <w:spacing w:after="0"/>
              <w:rPr>
                <w:sz w:val="8"/>
                <w:szCs w:val="8"/>
                <w:color w:val="auto"/>
              </w:rPr>
            </w:pPr>
          </w:p>
        </w:tc>
        <w:tc>
          <w:tcPr>
            <w:tcW w:w="660" w:type="dxa"/>
            <w:vAlign w:val="bottom"/>
            <w:shd w:val="clear" w:color="auto" w:fill="BDD6E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160" w:type="dxa"/>
            <w:vAlign w:val="bottom"/>
            <w:tcBorders>
              <w:bottom w:val="single" w:sz="8" w:color="BDD6EE"/>
              <w:right w:val="single" w:sz="8" w:color="auto"/>
            </w:tcBorders>
            <w:shd w:val="clear" w:color="auto" w:fill="BDD6EE"/>
          </w:tcPr>
          <w:p>
            <w:pPr>
              <w:spacing w:after="0"/>
              <w:rPr>
                <w:sz w:val="8"/>
                <w:szCs w:val="8"/>
                <w:color w:val="auto"/>
              </w:rPr>
            </w:pPr>
          </w:p>
        </w:tc>
        <w:tc>
          <w:tcPr>
            <w:tcW w:w="560" w:type="dxa"/>
            <w:vAlign w:val="bottom"/>
            <w:tcBorders>
              <w:bottom w:val="single" w:sz="8" w:color="BDD6EE"/>
            </w:tcBorders>
            <w:shd w:val="clear" w:color="auto" w:fill="BDD6EE"/>
          </w:tcPr>
          <w:p>
            <w:pPr>
              <w:spacing w:after="0"/>
              <w:rPr>
                <w:sz w:val="8"/>
                <w:szCs w:val="8"/>
                <w:color w:val="auto"/>
              </w:rPr>
            </w:pPr>
          </w:p>
        </w:tc>
        <w:tc>
          <w:tcPr>
            <w:tcW w:w="700" w:type="dxa"/>
            <w:vAlign w:val="bottom"/>
            <w:tcBorders>
              <w:bottom w:val="single" w:sz="8" w:color="BDD6EE"/>
            </w:tcBorders>
            <w:vMerge w:val="continue"/>
            <w:shd w:val="clear" w:color="auto" w:fill="BDD6EE"/>
          </w:tcPr>
          <w:p>
            <w:pPr>
              <w:spacing w:after="0"/>
              <w:rPr>
                <w:sz w:val="8"/>
                <w:szCs w:val="8"/>
                <w:color w:val="auto"/>
              </w:rPr>
            </w:pPr>
          </w:p>
        </w:tc>
        <w:tc>
          <w:tcPr>
            <w:tcW w:w="640" w:type="dxa"/>
            <w:vAlign w:val="bottom"/>
            <w:tcBorders>
              <w:bottom w:val="single" w:sz="8" w:color="BDD6EE"/>
              <w:right w:val="single" w:sz="8" w:color="auto"/>
            </w:tcBorders>
            <w:shd w:val="clear" w:color="auto" w:fill="BDD6EE"/>
          </w:tcPr>
          <w:p>
            <w:pPr>
              <w:spacing w:after="0"/>
              <w:rPr>
                <w:sz w:val="8"/>
                <w:szCs w:val="8"/>
                <w:color w:val="auto"/>
              </w:rPr>
            </w:pPr>
          </w:p>
        </w:tc>
        <w:tc>
          <w:tcPr>
            <w:tcW w:w="580" w:type="dxa"/>
            <w:vAlign w:val="bottom"/>
            <w:tcBorders>
              <w:bottom w:val="single" w:sz="8" w:color="BDD6EE"/>
            </w:tcBorders>
            <w:vMerge w:val="continue"/>
            <w:shd w:val="clear" w:color="auto" w:fill="BDD6EE"/>
          </w:tcPr>
          <w:p>
            <w:pPr>
              <w:spacing w:after="0"/>
              <w:rPr>
                <w:sz w:val="8"/>
                <w:szCs w:val="8"/>
                <w:color w:val="auto"/>
              </w:rPr>
            </w:pPr>
          </w:p>
        </w:tc>
        <w:tc>
          <w:tcPr>
            <w:tcW w:w="620" w:type="dxa"/>
            <w:vAlign w:val="bottom"/>
            <w:tcBorders>
              <w:bottom w:val="single" w:sz="8" w:color="BDD6EE"/>
            </w:tcBorders>
            <w:shd w:val="clear" w:color="auto" w:fill="BDD6EE"/>
          </w:tcPr>
          <w:p>
            <w:pPr>
              <w:spacing w:after="0"/>
              <w:rPr>
                <w:sz w:val="8"/>
                <w:szCs w:val="8"/>
                <w:color w:val="auto"/>
              </w:rPr>
            </w:pPr>
          </w:p>
        </w:tc>
        <w:tc>
          <w:tcPr>
            <w:tcW w:w="720" w:type="dxa"/>
            <w:vAlign w:val="bottom"/>
            <w:tcBorders>
              <w:bottom w:val="single" w:sz="8" w:color="BDD6EE"/>
            </w:tcBorders>
            <w:shd w:val="clear" w:color="auto" w:fill="BDD6EE"/>
          </w:tcPr>
          <w:p>
            <w:pPr>
              <w:spacing w:after="0"/>
              <w:rPr>
                <w:sz w:val="8"/>
                <w:szCs w:val="8"/>
                <w:color w:val="auto"/>
              </w:rPr>
            </w:pPr>
          </w:p>
        </w:tc>
        <w:tc>
          <w:tcPr>
            <w:tcW w:w="680" w:type="dxa"/>
            <w:vAlign w:val="bottom"/>
            <w:tcBorders>
              <w:bottom w:val="single" w:sz="8" w:color="BDD6EE"/>
            </w:tcBorders>
            <w:vMerge w:val="continue"/>
            <w:shd w:val="clear" w:color="auto" w:fill="BDD6EE"/>
          </w:tcPr>
          <w:p>
            <w:pPr>
              <w:spacing w:after="0"/>
              <w:rPr>
                <w:sz w:val="8"/>
                <w:szCs w:val="8"/>
                <w:color w:val="auto"/>
              </w:rPr>
            </w:pPr>
          </w:p>
        </w:tc>
        <w:tc>
          <w:tcPr>
            <w:tcW w:w="580" w:type="dxa"/>
            <w:vAlign w:val="bottom"/>
            <w:tcBorders>
              <w:bottom w:val="single" w:sz="8" w:color="BDD6EE"/>
            </w:tcBorders>
            <w:vMerge w:val="continue"/>
            <w:shd w:val="clear" w:color="auto" w:fill="BDD6EE"/>
          </w:tcPr>
          <w:p>
            <w:pPr>
              <w:spacing w:after="0"/>
              <w:rPr>
                <w:sz w:val="8"/>
                <w:szCs w:val="8"/>
                <w:color w:val="auto"/>
              </w:rPr>
            </w:pPr>
          </w:p>
        </w:tc>
        <w:tc>
          <w:tcPr>
            <w:tcW w:w="620" w:type="dxa"/>
            <w:vAlign w:val="bottom"/>
            <w:tcBorders>
              <w:bottom w:val="single" w:sz="8" w:color="BDD6EE"/>
            </w:tcBorders>
            <w:shd w:val="clear" w:color="auto" w:fill="BDD6EE"/>
          </w:tcPr>
          <w:p>
            <w:pPr>
              <w:spacing w:after="0"/>
              <w:rPr>
                <w:sz w:val="8"/>
                <w:szCs w:val="8"/>
                <w:color w:val="auto"/>
              </w:rPr>
            </w:pPr>
          </w:p>
        </w:tc>
        <w:tc>
          <w:tcPr>
            <w:tcW w:w="880" w:type="dxa"/>
            <w:vAlign w:val="bottom"/>
            <w:tcBorders>
              <w:bottom w:val="single" w:sz="8" w:color="BDD6EE"/>
            </w:tcBorders>
            <w:shd w:val="clear" w:color="auto" w:fill="BDD6EE"/>
          </w:tcPr>
          <w:p>
            <w:pPr>
              <w:spacing w:after="0"/>
              <w:rPr>
                <w:sz w:val="8"/>
                <w:szCs w:val="8"/>
                <w:color w:val="auto"/>
              </w:rPr>
            </w:pPr>
          </w:p>
        </w:tc>
        <w:tc>
          <w:tcPr>
            <w:tcW w:w="640" w:type="dxa"/>
            <w:vAlign w:val="bottom"/>
            <w:tcBorders>
              <w:bottom w:val="single" w:sz="8" w:color="BDD6EE"/>
            </w:tcBorders>
            <w:shd w:val="clear" w:color="auto" w:fill="BDD6EE"/>
          </w:tcPr>
          <w:p>
            <w:pPr>
              <w:spacing w:after="0"/>
              <w:rPr>
                <w:sz w:val="8"/>
                <w:szCs w:val="8"/>
                <w:color w:val="auto"/>
              </w:rPr>
            </w:pPr>
          </w:p>
        </w:tc>
        <w:tc>
          <w:tcPr>
            <w:tcW w:w="580" w:type="dxa"/>
            <w:vAlign w:val="bottom"/>
            <w:tcBorders>
              <w:bottom w:val="single" w:sz="8" w:color="BDD6EE"/>
            </w:tcBorders>
            <w:shd w:val="clear" w:color="auto" w:fill="BDD6EE"/>
          </w:tcPr>
          <w:p>
            <w:pPr>
              <w:spacing w:after="0"/>
              <w:rPr>
                <w:sz w:val="8"/>
                <w:szCs w:val="8"/>
                <w:color w:val="auto"/>
              </w:rPr>
            </w:pPr>
          </w:p>
        </w:tc>
        <w:tc>
          <w:tcPr>
            <w:tcW w:w="680" w:type="dxa"/>
            <w:vAlign w:val="bottom"/>
            <w:tcBorders>
              <w:bottom w:val="single" w:sz="8" w:color="BDD6EE"/>
            </w:tcBorders>
            <w:shd w:val="clear" w:color="auto" w:fill="BDD6EE"/>
          </w:tcPr>
          <w:p>
            <w:pPr>
              <w:spacing w:after="0"/>
              <w:rPr>
                <w:sz w:val="8"/>
                <w:szCs w:val="8"/>
                <w:color w:val="auto"/>
              </w:rPr>
            </w:pPr>
          </w:p>
        </w:tc>
        <w:tc>
          <w:tcPr>
            <w:tcW w:w="660" w:type="dxa"/>
            <w:vAlign w:val="bottom"/>
            <w:tcBorders>
              <w:bottom w:val="single" w:sz="8" w:color="BDD6EE"/>
            </w:tcBorders>
            <w:shd w:val="clear" w:color="auto" w:fill="BDD6E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1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color w:val="auto"/>
              </w:rPr>
              <w:t>Unconsolidated Projects at share*******</w:t>
            </w: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rPr>
              <w:t>Israel</w:t>
            </w:r>
          </w:p>
        </w:tc>
        <w:tc>
          <w:tcPr>
            <w:tcW w:w="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rPr>
              <w:t>4/79</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H2 2025-</w:t>
            </w: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w w:val="97"/>
              </w:rPr>
              <w:t>20-22</w:t>
            </w:r>
          </w:p>
        </w:tc>
        <w:tc>
          <w:tcPr>
            <w:tcW w:w="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w w:val="98"/>
              </w:rPr>
              <w:t>-</w:t>
            </w:r>
          </w:p>
        </w:tc>
        <w:tc>
          <w:tcPr>
            <w:tcW w:w="7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w w:val="98"/>
              </w:rPr>
              <w:t>-</w:t>
            </w:r>
          </w:p>
        </w:tc>
        <w:tc>
          <w:tcPr>
            <w:tcW w:w="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rPr>
              <w:t>24</w:t>
            </w: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15%-25%</w:t>
            </w:r>
          </w:p>
        </w:tc>
        <w:tc>
          <w:tcPr>
            <w:tcW w:w="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24</w:t>
            </w: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3</w:t>
            </w:r>
          </w:p>
        </w:tc>
        <w:tc>
          <w:tcPr>
            <w:tcW w:w="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2</w:t>
            </w: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160" w:type="dxa"/>
            <w:vAlign w:val="bottom"/>
            <w:tcBorders>
              <w:right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H2 2026</w:t>
            </w: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8"/>
              </w:rPr>
              <w:t>-</w:t>
            </w: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9"/>
              </w:rPr>
              <w:t>64%</w:t>
            </w:r>
          </w:p>
        </w:tc>
        <w:tc>
          <w:tcPr>
            <w:tcW w:w="0" w:type="dxa"/>
            <w:vAlign w:val="bottom"/>
          </w:tcPr>
          <w:p>
            <w:pPr>
              <w:spacing w:after="0"/>
              <w:rPr>
                <w:sz w:val="1"/>
                <w:szCs w:val="1"/>
                <w:color w:val="auto"/>
              </w:rPr>
            </w:pPr>
          </w:p>
        </w:tc>
      </w:tr>
      <w:tr>
        <w:trPr>
          <w:trHeight w:val="72"/>
        </w:trPr>
        <w:tc>
          <w:tcPr>
            <w:tcW w:w="216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160" w:type="dxa"/>
            <w:vAlign w:val="bottom"/>
            <w:tcBorders>
              <w:right w:val="single" w:sz="8" w:color="auto"/>
            </w:tcBorders>
            <w:vMerge w:val="restart"/>
            <w:shd w:val="clear" w:color="auto" w:fill="BDD6EE"/>
          </w:tcPr>
          <w:p>
            <w:pPr>
              <w:ind w:left="20"/>
              <w:spacing w:after="0"/>
              <w:rPr>
                <w:sz w:val="20"/>
                <w:szCs w:val="20"/>
                <w:color w:val="auto"/>
              </w:rPr>
            </w:pPr>
            <w:r>
              <w:rPr>
                <w:rFonts w:ascii="Arial" w:cs="Arial" w:eastAsia="Arial" w:hAnsi="Arial"/>
                <w:sz w:val="12"/>
                <w:szCs w:val="12"/>
                <w:b w:val="1"/>
                <w:bCs w:val="1"/>
                <w:color w:val="auto"/>
              </w:rPr>
              <w:t>Total</w:t>
            </w:r>
          </w:p>
        </w:tc>
        <w:tc>
          <w:tcPr>
            <w:tcW w:w="560" w:type="dxa"/>
            <w:vAlign w:val="bottom"/>
            <w:shd w:val="clear" w:color="auto" w:fill="BDD6EE"/>
          </w:tcPr>
          <w:p>
            <w:pPr>
              <w:spacing w:after="0"/>
              <w:rPr>
                <w:sz w:val="13"/>
                <w:szCs w:val="13"/>
                <w:color w:val="auto"/>
              </w:rPr>
            </w:pPr>
          </w:p>
        </w:tc>
        <w:tc>
          <w:tcPr>
            <w:tcW w:w="700" w:type="dxa"/>
            <w:vAlign w:val="bottom"/>
            <w:shd w:val="clear" w:color="auto" w:fill="BDD6EE"/>
          </w:tcPr>
          <w:p>
            <w:pPr>
              <w:jc w:val="center"/>
              <w:spacing w:after="0"/>
              <w:rPr>
                <w:sz w:val="20"/>
                <w:szCs w:val="20"/>
                <w:color w:val="auto"/>
              </w:rPr>
            </w:pPr>
            <w:r>
              <w:rPr>
                <w:rFonts w:ascii="Arial" w:cs="Arial" w:eastAsia="Arial" w:hAnsi="Arial"/>
                <w:sz w:val="12"/>
                <w:szCs w:val="12"/>
                <w:b w:val="1"/>
                <w:bCs w:val="1"/>
                <w:color w:val="auto"/>
              </w:rPr>
              <w:t>1,654/</w:t>
            </w:r>
          </w:p>
        </w:tc>
        <w:tc>
          <w:tcPr>
            <w:tcW w:w="640" w:type="dxa"/>
            <w:vAlign w:val="bottom"/>
            <w:tcBorders>
              <w:right w:val="single" w:sz="8" w:color="auto"/>
            </w:tcBorders>
            <w:shd w:val="clear" w:color="auto" w:fill="BDD6EE"/>
          </w:tcPr>
          <w:p>
            <w:pPr>
              <w:spacing w:after="0"/>
              <w:rPr>
                <w:sz w:val="13"/>
                <w:szCs w:val="13"/>
                <w:color w:val="auto"/>
              </w:rPr>
            </w:pPr>
          </w:p>
        </w:tc>
        <w:tc>
          <w:tcPr>
            <w:tcW w:w="580" w:type="dxa"/>
            <w:vAlign w:val="bottom"/>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3,439-</w:t>
            </w:r>
          </w:p>
        </w:tc>
        <w:tc>
          <w:tcPr>
            <w:tcW w:w="620" w:type="dxa"/>
            <w:vAlign w:val="bottom"/>
            <w:shd w:val="clear" w:color="auto" w:fill="BDD6EE"/>
          </w:tcPr>
          <w:p>
            <w:pPr>
              <w:spacing w:after="0"/>
              <w:rPr>
                <w:sz w:val="13"/>
                <w:szCs w:val="13"/>
                <w:color w:val="auto"/>
              </w:rPr>
            </w:pPr>
          </w:p>
        </w:tc>
        <w:tc>
          <w:tcPr>
            <w:tcW w:w="720" w:type="dxa"/>
            <w:vAlign w:val="bottom"/>
            <w:shd w:val="clear" w:color="auto" w:fill="BDD6EE"/>
          </w:tcPr>
          <w:p>
            <w:pPr>
              <w:spacing w:after="0"/>
              <w:rPr>
                <w:sz w:val="13"/>
                <w:szCs w:val="13"/>
                <w:color w:val="auto"/>
              </w:rPr>
            </w:pPr>
          </w:p>
        </w:tc>
        <w:tc>
          <w:tcPr>
            <w:tcW w:w="680" w:type="dxa"/>
            <w:vAlign w:val="bottom"/>
            <w:shd w:val="clear" w:color="auto" w:fill="BDD6EE"/>
          </w:tcPr>
          <w:p>
            <w:pPr>
              <w:jc w:val="right"/>
              <w:ind w:right="80"/>
              <w:spacing w:after="0"/>
              <w:rPr>
                <w:sz w:val="20"/>
                <w:szCs w:val="20"/>
                <w:color w:val="auto"/>
              </w:rPr>
            </w:pPr>
            <w:r>
              <w:rPr>
                <w:rFonts w:ascii="Arial" w:cs="Arial" w:eastAsia="Arial" w:hAnsi="Arial"/>
                <w:sz w:val="12"/>
                <w:szCs w:val="12"/>
                <w:b w:val="1"/>
                <w:bCs w:val="1"/>
                <w:color w:val="auto"/>
              </w:rPr>
              <w:t>1,469-</w:t>
            </w:r>
          </w:p>
        </w:tc>
        <w:tc>
          <w:tcPr>
            <w:tcW w:w="580" w:type="dxa"/>
            <w:vAlign w:val="bottom"/>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1,950-</w:t>
            </w:r>
          </w:p>
        </w:tc>
        <w:tc>
          <w:tcPr>
            <w:tcW w:w="62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793</w:t>
            </w:r>
          </w:p>
        </w:tc>
        <w:tc>
          <w:tcPr>
            <w:tcW w:w="880" w:type="dxa"/>
            <w:vAlign w:val="bottom"/>
            <w:shd w:val="clear" w:color="auto" w:fill="BDD6EE"/>
          </w:tcPr>
          <w:p>
            <w:pPr>
              <w:spacing w:after="0"/>
              <w:rPr>
                <w:sz w:val="13"/>
                <w:szCs w:val="13"/>
                <w:color w:val="auto"/>
              </w:rPr>
            </w:pPr>
          </w:p>
        </w:tc>
        <w:tc>
          <w:tcPr>
            <w:tcW w:w="64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307</w:t>
            </w:r>
          </w:p>
        </w:tc>
        <w:tc>
          <w:tcPr>
            <w:tcW w:w="5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318-333</w:t>
            </w:r>
          </w:p>
        </w:tc>
        <w:tc>
          <w:tcPr>
            <w:tcW w:w="6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248-259</w:t>
            </w:r>
          </w:p>
        </w:tc>
        <w:tc>
          <w:tcPr>
            <w:tcW w:w="660" w:type="dxa"/>
            <w:vAlign w:val="bottom"/>
            <w:shd w:val="clear" w:color="auto" w:fill="BDD6E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160" w:type="dxa"/>
            <w:vAlign w:val="bottom"/>
            <w:tcBorders>
              <w:right w:val="single" w:sz="8" w:color="auto"/>
            </w:tcBorders>
            <w:vMerge w:val="continue"/>
            <w:shd w:val="clear" w:color="auto" w:fill="BDD6EE"/>
          </w:tcPr>
          <w:p>
            <w:pPr>
              <w:spacing w:after="0"/>
              <w:rPr>
                <w:sz w:val="8"/>
                <w:szCs w:val="8"/>
                <w:color w:val="auto"/>
              </w:rPr>
            </w:pPr>
          </w:p>
        </w:tc>
        <w:tc>
          <w:tcPr>
            <w:tcW w:w="560" w:type="dxa"/>
            <w:vAlign w:val="bottom"/>
            <w:shd w:val="clear" w:color="auto" w:fill="BDD6EE"/>
          </w:tcPr>
          <w:p>
            <w:pPr>
              <w:spacing w:after="0"/>
              <w:rPr>
                <w:sz w:val="8"/>
                <w:szCs w:val="8"/>
                <w:color w:val="auto"/>
              </w:rPr>
            </w:pPr>
          </w:p>
        </w:tc>
        <w:tc>
          <w:tcPr>
            <w:tcW w:w="70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4,396</w:t>
            </w:r>
          </w:p>
        </w:tc>
        <w:tc>
          <w:tcPr>
            <w:tcW w:w="640" w:type="dxa"/>
            <w:vAlign w:val="bottom"/>
            <w:tcBorders>
              <w:right w:val="single" w:sz="8" w:color="auto"/>
            </w:tcBorders>
            <w:shd w:val="clear" w:color="auto" w:fill="BDD6EE"/>
          </w:tcPr>
          <w:p>
            <w:pPr>
              <w:spacing w:after="0"/>
              <w:rPr>
                <w:sz w:val="8"/>
                <w:szCs w:val="8"/>
                <w:color w:val="auto"/>
              </w:rPr>
            </w:pPr>
          </w:p>
        </w:tc>
        <w:tc>
          <w:tcPr>
            <w:tcW w:w="5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3,617</w:t>
            </w:r>
          </w:p>
        </w:tc>
        <w:tc>
          <w:tcPr>
            <w:tcW w:w="620" w:type="dxa"/>
            <w:vAlign w:val="bottom"/>
            <w:shd w:val="clear" w:color="auto" w:fill="BDD6EE"/>
          </w:tcPr>
          <w:p>
            <w:pPr>
              <w:spacing w:after="0"/>
              <w:rPr>
                <w:sz w:val="8"/>
                <w:szCs w:val="8"/>
                <w:color w:val="auto"/>
              </w:rPr>
            </w:pPr>
          </w:p>
        </w:tc>
        <w:tc>
          <w:tcPr>
            <w:tcW w:w="720" w:type="dxa"/>
            <w:vAlign w:val="bottom"/>
            <w:shd w:val="clear" w:color="auto" w:fill="BDD6EE"/>
          </w:tcPr>
          <w:p>
            <w:pPr>
              <w:spacing w:after="0"/>
              <w:rPr>
                <w:sz w:val="8"/>
                <w:szCs w:val="8"/>
                <w:color w:val="auto"/>
              </w:rPr>
            </w:pPr>
          </w:p>
        </w:tc>
        <w:tc>
          <w:tcPr>
            <w:tcW w:w="6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1,545</w:t>
            </w:r>
          </w:p>
        </w:tc>
        <w:tc>
          <w:tcPr>
            <w:tcW w:w="5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2,050</w:t>
            </w:r>
          </w:p>
        </w:tc>
        <w:tc>
          <w:tcPr>
            <w:tcW w:w="620" w:type="dxa"/>
            <w:vAlign w:val="bottom"/>
            <w:vMerge w:val="continue"/>
            <w:shd w:val="clear" w:color="auto" w:fill="BDD6EE"/>
          </w:tcPr>
          <w:p>
            <w:pPr>
              <w:spacing w:after="0"/>
              <w:rPr>
                <w:sz w:val="8"/>
                <w:szCs w:val="8"/>
                <w:color w:val="auto"/>
              </w:rPr>
            </w:pPr>
          </w:p>
        </w:tc>
        <w:tc>
          <w:tcPr>
            <w:tcW w:w="880" w:type="dxa"/>
            <w:vAlign w:val="bottom"/>
            <w:shd w:val="clear" w:color="auto" w:fill="BDD6EE"/>
          </w:tcPr>
          <w:p>
            <w:pPr>
              <w:spacing w:after="0"/>
              <w:rPr>
                <w:sz w:val="8"/>
                <w:szCs w:val="8"/>
                <w:color w:val="auto"/>
              </w:rPr>
            </w:pPr>
          </w:p>
        </w:tc>
        <w:tc>
          <w:tcPr>
            <w:tcW w:w="640" w:type="dxa"/>
            <w:vAlign w:val="bottom"/>
            <w:vMerge w:val="continue"/>
            <w:shd w:val="clear" w:color="auto" w:fill="BDD6EE"/>
          </w:tcPr>
          <w:p>
            <w:pPr>
              <w:spacing w:after="0"/>
              <w:rPr>
                <w:sz w:val="8"/>
                <w:szCs w:val="8"/>
                <w:color w:val="auto"/>
              </w:rPr>
            </w:pPr>
          </w:p>
        </w:tc>
        <w:tc>
          <w:tcPr>
            <w:tcW w:w="580" w:type="dxa"/>
            <w:vAlign w:val="bottom"/>
            <w:vMerge w:val="continue"/>
            <w:shd w:val="clear" w:color="auto" w:fill="BDD6EE"/>
          </w:tcPr>
          <w:p>
            <w:pPr>
              <w:spacing w:after="0"/>
              <w:rPr>
                <w:sz w:val="8"/>
                <w:szCs w:val="8"/>
                <w:color w:val="auto"/>
              </w:rPr>
            </w:pPr>
          </w:p>
        </w:tc>
        <w:tc>
          <w:tcPr>
            <w:tcW w:w="680" w:type="dxa"/>
            <w:vAlign w:val="bottom"/>
            <w:vMerge w:val="continue"/>
            <w:shd w:val="clear" w:color="auto" w:fill="BDD6EE"/>
          </w:tcPr>
          <w:p>
            <w:pPr>
              <w:spacing w:after="0"/>
              <w:rPr>
                <w:sz w:val="8"/>
                <w:szCs w:val="8"/>
                <w:color w:val="auto"/>
              </w:rPr>
            </w:pPr>
          </w:p>
        </w:tc>
        <w:tc>
          <w:tcPr>
            <w:tcW w:w="660" w:type="dxa"/>
            <w:vAlign w:val="bottom"/>
            <w:shd w:val="clear" w:color="auto" w:fill="BDD6E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160" w:type="dxa"/>
            <w:vAlign w:val="bottom"/>
            <w:tcBorders>
              <w:bottom w:val="single" w:sz="8" w:color="BDD6EE"/>
              <w:right w:val="single" w:sz="8" w:color="auto"/>
            </w:tcBorders>
            <w:shd w:val="clear" w:color="auto" w:fill="BDD6EE"/>
          </w:tcPr>
          <w:p>
            <w:pPr>
              <w:spacing w:after="0"/>
              <w:rPr>
                <w:sz w:val="8"/>
                <w:szCs w:val="8"/>
                <w:color w:val="auto"/>
              </w:rPr>
            </w:pPr>
          </w:p>
        </w:tc>
        <w:tc>
          <w:tcPr>
            <w:tcW w:w="560" w:type="dxa"/>
            <w:vAlign w:val="bottom"/>
            <w:tcBorders>
              <w:bottom w:val="single" w:sz="8" w:color="BDD6EE"/>
            </w:tcBorders>
            <w:shd w:val="clear" w:color="auto" w:fill="BDD6EE"/>
          </w:tcPr>
          <w:p>
            <w:pPr>
              <w:spacing w:after="0"/>
              <w:rPr>
                <w:sz w:val="8"/>
                <w:szCs w:val="8"/>
                <w:color w:val="auto"/>
              </w:rPr>
            </w:pPr>
          </w:p>
        </w:tc>
        <w:tc>
          <w:tcPr>
            <w:tcW w:w="700" w:type="dxa"/>
            <w:vAlign w:val="bottom"/>
            <w:tcBorders>
              <w:bottom w:val="single" w:sz="8" w:color="BDD6EE"/>
            </w:tcBorders>
            <w:vMerge w:val="continue"/>
            <w:shd w:val="clear" w:color="auto" w:fill="BDD6EE"/>
          </w:tcPr>
          <w:p>
            <w:pPr>
              <w:spacing w:after="0"/>
              <w:rPr>
                <w:sz w:val="8"/>
                <w:szCs w:val="8"/>
                <w:color w:val="auto"/>
              </w:rPr>
            </w:pPr>
          </w:p>
        </w:tc>
        <w:tc>
          <w:tcPr>
            <w:tcW w:w="640" w:type="dxa"/>
            <w:vAlign w:val="bottom"/>
            <w:tcBorders>
              <w:bottom w:val="single" w:sz="8" w:color="BDD6EE"/>
              <w:right w:val="single" w:sz="8" w:color="auto"/>
            </w:tcBorders>
            <w:shd w:val="clear" w:color="auto" w:fill="BDD6EE"/>
          </w:tcPr>
          <w:p>
            <w:pPr>
              <w:spacing w:after="0"/>
              <w:rPr>
                <w:sz w:val="8"/>
                <w:szCs w:val="8"/>
                <w:color w:val="auto"/>
              </w:rPr>
            </w:pPr>
          </w:p>
        </w:tc>
        <w:tc>
          <w:tcPr>
            <w:tcW w:w="580" w:type="dxa"/>
            <w:vAlign w:val="bottom"/>
            <w:tcBorders>
              <w:bottom w:val="single" w:sz="8" w:color="BDD6EE"/>
            </w:tcBorders>
            <w:vMerge w:val="continue"/>
            <w:shd w:val="clear" w:color="auto" w:fill="BDD6EE"/>
          </w:tcPr>
          <w:p>
            <w:pPr>
              <w:spacing w:after="0"/>
              <w:rPr>
                <w:sz w:val="8"/>
                <w:szCs w:val="8"/>
                <w:color w:val="auto"/>
              </w:rPr>
            </w:pPr>
          </w:p>
        </w:tc>
        <w:tc>
          <w:tcPr>
            <w:tcW w:w="620" w:type="dxa"/>
            <w:vAlign w:val="bottom"/>
            <w:tcBorders>
              <w:bottom w:val="single" w:sz="8" w:color="BDD6EE"/>
            </w:tcBorders>
            <w:shd w:val="clear" w:color="auto" w:fill="BDD6EE"/>
          </w:tcPr>
          <w:p>
            <w:pPr>
              <w:spacing w:after="0"/>
              <w:rPr>
                <w:sz w:val="8"/>
                <w:szCs w:val="8"/>
                <w:color w:val="auto"/>
              </w:rPr>
            </w:pPr>
          </w:p>
        </w:tc>
        <w:tc>
          <w:tcPr>
            <w:tcW w:w="720" w:type="dxa"/>
            <w:vAlign w:val="bottom"/>
            <w:tcBorders>
              <w:bottom w:val="single" w:sz="8" w:color="BDD6EE"/>
            </w:tcBorders>
            <w:shd w:val="clear" w:color="auto" w:fill="BDD6EE"/>
          </w:tcPr>
          <w:p>
            <w:pPr>
              <w:spacing w:after="0"/>
              <w:rPr>
                <w:sz w:val="8"/>
                <w:szCs w:val="8"/>
                <w:color w:val="auto"/>
              </w:rPr>
            </w:pPr>
          </w:p>
        </w:tc>
        <w:tc>
          <w:tcPr>
            <w:tcW w:w="680" w:type="dxa"/>
            <w:vAlign w:val="bottom"/>
            <w:tcBorders>
              <w:bottom w:val="single" w:sz="8" w:color="BDD6EE"/>
            </w:tcBorders>
            <w:vMerge w:val="continue"/>
            <w:shd w:val="clear" w:color="auto" w:fill="BDD6EE"/>
          </w:tcPr>
          <w:p>
            <w:pPr>
              <w:spacing w:after="0"/>
              <w:rPr>
                <w:sz w:val="8"/>
                <w:szCs w:val="8"/>
                <w:color w:val="auto"/>
              </w:rPr>
            </w:pPr>
          </w:p>
        </w:tc>
        <w:tc>
          <w:tcPr>
            <w:tcW w:w="580" w:type="dxa"/>
            <w:vAlign w:val="bottom"/>
            <w:tcBorders>
              <w:bottom w:val="single" w:sz="8" w:color="BDD6EE"/>
            </w:tcBorders>
            <w:vMerge w:val="continue"/>
            <w:shd w:val="clear" w:color="auto" w:fill="BDD6EE"/>
          </w:tcPr>
          <w:p>
            <w:pPr>
              <w:spacing w:after="0"/>
              <w:rPr>
                <w:sz w:val="8"/>
                <w:szCs w:val="8"/>
                <w:color w:val="auto"/>
              </w:rPr>
            </w:pPr>
          </w:p>
        </w:tc>
        <w:tc>
          <w:tcPr>
            <w:tcW w:w="620" w:type="dxa"/>
            <w:vAlign w:val="bottom"/>
            <w:tcBorders>
              <w:bottom w:val="single" w:sz="8" w:color="BDD6EE"/>
            </w:tcBorders>
            <w:shd w:val="clear" w:color="auto" w:fill="BDD6EE"/>
          </w:tcPr>
          <w:p>
            <w:pPr>
              <w:spacing w:after="0"/>
              <w:rPr>
                <w:sz w:val="8"/>
                <w:szCs w:val="8"/>
                <w:color w:val="auto"/>
              </w:rPr>
            </w:pPr>
          </w:p>
        </w:tc>
        <w:tc>
          <w:tcPr>
            <w:tcW w:w="880" w:type="dxa"/>
            <w:vAlign w:val="bottom"/>
            <w:tcBorders>
              <w:bottom w:val="single" w:sz="8" w:color="BDD6EE"/>
            </w:tcBorders>
            <w:shd w:val="clear" w:color="auto" w:fill="BDD6EE"/>
          </w:tcPr>
          <w:p>
            <w:pPr>
              <w:spacing w:after="0"/>
              <w:rPr>
                <w:sz w:val="8"/>
                <w:szCs w:val="8"/>
                <w:color w:val="auto"/>
              </w:rPr>
            </w:pPr>
          </w:p>
        </w:tc>
        <w:tc>
          <w:tcPr>
            <w:tcW w:w="640" w:type="dxa"/>
            <w:vAlign w:val="bottom"/>
            <w:tcBorders>
              <w:bottom w:val="single" w:sz="8" w:color="BDD6EE"/>
            </w:tcBorders>
            <w:shd w:val="clear" w:color="auto" w:fill="BDD6EE"/>
          </w:tcPr>
          <w:p>
            <w:pPr>
              <w:spacing w:after="0"/>
              <w:rPr>
                <w:sz w:val="8"/>
                <w:szCs w:val="8"/>
                <w:color w:val="auto"/>
              </w:rPr>
            </w:pPr>
          </w:p>
        </w:tc>
        <w:tc>
          <w:tcPr>
            <w:tcW w:w="580" w:type="dxa"/>
            <w:vAlign w:val="bottom"/>
            <w:tcBorders>
              <w:bottom w:val="single" w:sz="8" w:color="BDD6EE"/>
            </w:tcBorders>
            <w:shd w:val="clear" w:color="auto" w:fill="BDD6EE"/>
          </w:tcPr>
          <w:p>
            <w:pPr>
              <w:spacing w:after="0"/>
              <w:rPr>
                <w:sz w:val="8"/>
                <w:szCs w:val="8"/>
                <w:color w:val="auto"/>
              </w:rPr>
            </w:pPr>
          </w:p>
        </w:tc>
        <w:tc>
          <w:tcPr>
            <w:tcW w:w="680" w:type="dxa"/>
            <w:vAlign w:val="bottom"/>
            <w:tcBorders>
              <w:bottom w:val="single" w:sz="8" w:color="BDD6EE"/>
            </w:tcBorders>
            <w:shd w:val="clear" w:color="auto" w:fill="BDD6EE"/>
          </w:tcPr>
          <w:p>
            <w:pPr>
              <w:spacing w:after="0"/>
              <w:rPr>
                <w:sz w:val="8"/>
                <w:szCs w:val="8"/>
                <w:color w:val="auto"/>
              </w:rPr>
            </w:pPr>
          </w:p>
        </w:tc>
        <w:tc>
          <w:tcPr>
            <w:tcW w:w="660" w:type="dxa"/>
            <w:vAlign w:val="bottom"/>
            <w:tcBorders>
              <w:bottom w:val="single" w:sz="8" w:color="BDD6EE"/>
            </w:tcBorders>
            <w:shd w:val="clear" w:color="auto" w:fill="BDD6EE"/>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2160" w:type="dxa"/>
            <w:vAlign w:val="bottom"/>
            <w:tcBorders>
              <w:top w:val="single" w:sz="8" w:color="auto"/>
              <w:bottom w:val="single" w:sz="8" w:color="auto"/>
            </w:tcBorders>
          </w:tcPr>
          <w:p>
            <w:pPr>
              <w:spacing w:after="0"/>
              <w:rPr>
                <w:sz w:val="23"/>
                <w:szCs w:val="23"/>
                <w:color w:val="auto"/>
              </w:rPr>
            </w:pPr>
          </w:p>
        </w:tc>
        <w:tc>
          <w:tcPr>
            <w:tcW w:w="56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8" w:right="299" w:bottom="1440" w:gutter="0" w:footer="0" w:header="0"/>
        </w:sectPr>
      </w:pPr>
    </w:p>
    <w:bookmarkStart w:id="28" w:name="page29"/>
    <w:bookmarkEnd w:id="28"/>
    <w:p>
      <w:pPr>
        <w:ind w:left="408" w:hanging="408"/>
        <w:spacing w:after="0"/>
        <w:tabs>
          <w:tab w:leader="none" w:pos="408"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color w:val="auto"/>
        </w:rPr>
        <w:t>Pre-Construction Projects (due to commence construction within 12 months of the 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108585</wp:posOffset>
            </wp:positionV>
            <wp:extent cx="840105" cy="6172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0105" cy="61722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108585</wp:posOffset>
            </wp:positionV>
            <wp:extent cx="11430" cy="617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430" cy="61722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108585</wp:posOffset>
            </wp:positionV>
            <wp:extent cx="11430" cy="6172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430" cy="617220"/>
                    </a:xfrm>
                    <a:prstGeom prst="rect">
                      <a:avLst/>
                    </a:prstGeom>
                    <a:noFill/>
                  </pic:spPr>
                </pic:pic>
              </a:graphicData>
            </a:graphic>
          </wp:anchor>
        </w:drawing>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67"/>
        </w:trPr>
        <w:tc>
          <w:tcPr>
            <w:tcW w:w="1800" w:type="dxa"/>
            <w:vAlign w:val="bottom"/>
            <w:tcBorders>
              <w:right w:val="single" w:sz="8" w:color="1764AC"/>
            </w:tcBorders>
            <w:shd w:val="clear" w:color="auto" w:fill="1764AC"/>
          </w:tcPr>
          <w:p>
            <w:pPr>
              <w:spacing w:after="0"/>
              <w:rPr>
                <w:sz w:val="14"/>
                <w:szCs w:val="14"/>
                <w:color w:val="auto"/>
              </w:rPr>
            </w:pPr>
          </w:p>
        </w:tc>
        <w:tc>
          <w:tcPr>
            <w:tcW w:w="780" w:type="dxa"/>
            <w:vAlign w:val="bottom"/>
            <w:shd w:val="clear" w:color="auto" w:fill="1764AC"/>
          </w:tcPr>
          <w:p>
            <w:pPr>
              <w:spacing w:after="0"/>
              <w:rPr>
                <w:sz w:val="14"/>
                <w:szCs w:val="14"/>
                <w:color w:val="auto"/>
              </w:rPr>
            </w:pPr>
          </w:p>
        </w:tc>
        <w:tc>
          <w:tcPr>
            <w:tcW w:w="680" w:type="dxa"/>
            <w:vAlign w:val="bottom"/>
            <w:shd w:val="clear" w:color="auto" w:fill="1764AC"/>
          </w:tcPr>
          <w:p>
            <w:pPr>
              <w:spacing w:after="0"/>
              <w:rPr>
                <w:sz w:val="14"/>
                <w:szCs w:val="14"/>
                <w:color w:val="auto"/>
              </w:rPr>
            </w:pPr>
          </w:p>
        </w:tc>
        <w:tc>
          <w:tcPr>
            <w:tcW w:w="680" w:type="dxa"/>
            <w:vAlign w:val="bottom"/>
            <w:tcBorders>
              <w:right w:val="single" w:sz="8" w:color="1764AC"/>
            </w:tcBorders>
            <w:shd w:val="clear" w:color="auto" w:fill="1764AC"/>
          </w:tcPr>
          <w:p>
            <w:pPr>
              <w:spacing w:after="0"/>
              <w:rPr>
                <w:sz w:val="14"/>
                <w:szCs w:val="14"/>
                <w:color w:val="auto"/>
              </w:rPr>
            </w:pPr>
          </w:p>
        </w:tc>
        <w:tc>
          <w:tcPr>
            <w:tcW w:w="680" w:type="dxa"/>
            <w:vAlign w:val="bottom"/>
            <w:tcBorders>
              <w:right w:val="single" w:sz="8" w:color="1764AC"/>
            </w:tcBorders>
            <w:shd w:val="clear" w:color="auto" w:fill="1764AC"/>
          </w:tcPr>
          <w:p>
            <w:pPr>
              <w:spacing w:after="0"/>
              <w:rPr>
                <w:sz w:val="14"/>
                <w:szCs w:val="14"/>
                <w:color w:val="auto"/>
              </w:rPr>
            </w:pPr>
          </w:p>
        </w:tc>
        <w:tc>
          <w:tcPr>
            <w:tcW w:w="1300" w:type="dxa"/>
            <w:vAlign w:val="bottom"/>
            <w:tcBorders>
              <w:right w:val="single" w:sz="8" w:color="1764AC"/>
            </w:tcBorders>
            <w:gridSpan w:val="2"/>
            <w:shd w:val="clear" w:color="auto" w:fill="1764AC"/>
          </w:tcPr>
          <w:p>
            <w:pPr>
              <w:ind w:left="160"/>
              <w:spacing w:after="0"/>
              <w:rPr>
                <w:sz w:val="20"/>
                <w:szCs w:val="20"/>
                <w:color w:val="auto"/>
              </w:rPr>
            </w:pPr>
            <w:r>
              <w:rPr>
                <w:rFonts w:ascii="Arial" w:cs="Arial" w:eastAsia="Arial" w:hAnsi="Arial"/>
                <w:sz w:val="12"/>
                <w:szCs w:val="12"/>
                <w:color w:val="FFFFFF"/>
              </w:rPr>
              <w:t>Tax Credit Benefit</w:t>
            </w:r>
          </w:p>
        </w:tc>
        <w:tc>
          <w:tcPr>
            <w:tcW w:w="680" w:type="dxa"/>
            <w:vAlign w:val="bottom"/>
            <w:shd w:val="clear" w:color="auto" w:fill="1764AC"/>
          </w:tcPr>
          <w:p>
            <w:pPr>
              <w:spacing w:after="0"/>
              <w:rPr>
                <w:sz w:val="14"/>
                <w:szCs w:val="14"/>
                <w:color w:val="auto"/>
              </w:rPr>
            </w:pPr>
          </w:p>
        </w:tc>
        <w:tc>
          <w:tcPr>
            <w:tcW w:w="660" w:type="dxa"/>
            <w:vAlign w:val="bottom"/>
            <w:shd w:val="clear" w:color="auto" w:fill="1764AC"/>
          </w:tcPr>
          <w:p>
            <w:pPr>
              <w:jc w:val="center"/>
              <w:spacing w:after="0"/>
              <w:rPr>
                <w:sz w:val="20"/>
                <w:szCs w:val="20"/>
                <w:color w:val="auto"/>
              </w:rPr>
            </w:pPr>
            <w:r>
              <w:rPr>
                <w:rFonts w:ascii="Arial" w:cs="Arial" w:eastAsia="Arial" w:hAnsi="Arial"/>
                <w:sz w:val="12"/>
                <w:szCs w:val="12"/>
                <w:color w:val="FFFFFF"/>
                <w:w w:val="94"/>
              </w:rPr>
              <w:t>Est. Total</w:t>
            </w:r>
          </w:p>
        </w:tc>
        <w:tc>
          <w:tcPr>
            <w:tcW w:w="680" w:type="dxa"/>
            <w:vAlign w:val="bottom"/>
            <w:shd w:val="clear" w:color="auto" w:fill="1764AC"/>
          </w:tcPr>
          <w:p>
            <w:pPr>
              <w:spacing w:after="0"/>
              <w:rPr>
                <w:sz w:val="14"/>
                <w:szCs w:val="14"/>
                <w:color w:val="auto"/>
              </w:rPr>
            </w:pPr>
          </w:p>
        </w:tc>
        <w:tc>
          <w:tcPr>
            <w:tcW w:w="680" w:type="dxa"/>
            <w:vAlign w:val="bottom"/>
            <w:shd w:val="clear" w:color="auto" w:fill="1764AC"/>
          </w:tcPr>
          <w:p>
            <w:pPr>
              <w:spacing w:after="0"/>
              <w:rPr>
                <w:sz w:val="14"/>
                <w:szCs w:val="14"/>
                <w:color w:val="auto"/>
              </w:rPr>
            </w:pPr>
          </w:p>
        </w:tc>
        <w:tc>
          <w:tcPr>
            <w:tcW w:w="720" w:type="dxa"/>
            <w:vAlign w:val="bottom"/>
            <w:shd w:val="clear" w:color="auto" w:fill="1764AC"/>
          </w:tcPr>
          <w:p>
            <w:pPr>
              <w:spacing w:after="0"/>
              <w:rPr>
                <w:sz w:val="14"/>
                <w:szCs w:val="14"/>
                <w:color w:val="auto"/>
              </w:rPr>
            </w:pPr>
          </w:p>
        </w:tc>
        <w:tc>
          <w:tcPr>
            <w:tcW w:w="580" w:type="dxa"/>
            <w:vAlign w:val="bottom"/>
            <w:shd w:val="clear" w:color="auto" w:fill="1764AC"/>
          </w:tcPr>
          <w:p>
            <w:pPr>
              <w:spacing w:after="0"/>
              <w:rPr>
                <w:sz w:val="14"/>
                <w:szCs w:val="14"/>
                <w:color w:val="auto"/>
              </w:rPr>
            </w:pPr>
          </w:p>
        </w:tc>
        <w:tc>
          <w:tcPr>
            <w:tcW w:w="720" w:type="dxa"/>
            <w:vAlign w:val="bottom"/>
            <w:shd w:val="clear" w:color="auto" w:fill="1764AC"/>
          </w:tcPr>
          <w:p>
            <w:pPr>
              <w:spacing w:after="0"/>
              <w:rPr>
                <w:sz w:val="14"/>
                <w:szCs w:val="14"/>
                <w:color w:val="auto"/>
              </w:rPr>
            </w:pPr>
          </w:p>
        </w:tc>
        <w:tc>
          <w:tcPr>
            <w:tcW w:w="660" w:type="dxa"/>
            <w:vAlign w:val="bottom"/>
            <w:shd w:val="clear" w:color="auto" w:fill="1764A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00" w:type="dxa"/>
            <w:vAlign w:val="bottom"/>
            <w:tcBorders>
              <w:right w:val="single" w:sz="8" w:color="1764AC"/>
            </w:tcBorders>
            <w:shd w:val="clear" w:color="auto" w:fill="1764AC"/>
          </w:tcPr>
          <w:p>
            <w:pPr>
              <w:jc w:val="center"/>
              <w:spacing w:after="0"/>
              <w:rPr>
                <w:sz w:val="20"/>
                <w:szCs w:val="20"/>
                <w:color w:val="auto"/>
              </w:rPr>
            </w:pPr>
            <w:r>
              <w:rPr>
                <w:rFonts w:ascii="Arial" w:cs="Arial" w:eastAsia="Arial" w:hAnsi="Arial"/>
                <w:sz w:val="12"/>
                <w:szCs w:val="12"/>
                <w:color w:val="FFFFFF"/>
                <w:w w:val="99"/>
              </w:rPr>
              <w:t>($ millions)</w:t>
            </w:r>
          </w:p>
        </w:tc>
        <w:tc>
          <w:tcPr>
            <w:tcW w:w="780" w:type="dxa"/>
            <w:vAlign w:val="bottom"/>
            <w:shd w:val="clear" w:color="auto" w:fill="1764AC"/>
          </w:tcPr>
          <w:p>
            <w:pPr>
              <w:spacing w:after="0"/>
              <w:rPr>
                <w:sz w:val="13"/>
                <w:szCs w:val="13"/>
                <w:color w:val="auto"/>
              </w:rPr>
            </w:pPr>
          </w:p>
        </w:tc>
        <w:tc>
          <w:tcPr>
            <w:tcW w:w="680" w:type="dxa"/>
            <w:vAlign w:val="bottom"/>
            <w:shd w:val="clear" w:color="auto" w:fill="1764AC"/>
          </w:tcPr>
          <w:p>
            <w:pPr>
              <w:jc w:val="center"/>
              <w:spacing w:after="0"/>
              <w:rPr>
                <w:sz w:val="20"/>
                <w:szCs w:val="20"/>
                <w:color w:val="auto"/>
              </w:rPr>
            </w:pPr>
            <w:r>
              <w:rPr>
                <w:rFonts w:ascii="Arial" w:cs="Arial" w:eastAsia="Arial" w:hAnsi="Arial"/>
                <w:sz w:val="12"/>
                <w:szCs w:val="12"/>
                <w:color w:val="FFFFFF"/>
              </w:rPr>
              <w:t>Generation</w:t>
            </w:r>
          </w:p>
        </w:tc>
        <w:tc>
          <w:tcPr>
            <w:tcW w:w="680" w:type="dxa"/>
            <w:vAlign w:val="bottom"/>
            <w:tcBorders>
              <w:right w:val="single" w:sz="8" w:color="1764AC"/>
            </w:tcBorders>
            <w:shd w:val="clear" w:color="auto" w:fill="1764AC"/>
          </w:tcPr>
          <w:p>
            <w:pPr>
              <w:spacing w:after="0"/>
              <w:rPr>
                <w:sz w:val="13"/>
                <w:szCs w:val="13"/>
                <w:color w:val="auto"/>
              </w:rPr>
            </w:pPr>
          </w:p>
        </w:tc>
        <w:tc>
          <w:tcPr>
            <w:tcW w:w="680" w:type="dxa"/>
            <w:vAlign w:val="bottom"/>
            <w:tcBorders>
              <w:right w:val="single" w:sz="8" w:color="1764AC"/>
            </w:tcBorders>
            <w:shd w:val="clear" w:color="auto" w:fill="1764AC"/>
          </w:tcPr>
          <w:p>
            <w:pPr>
              <w:jc w:val="center"/>
              <w:spacing w:after="0"/>
              <w:rPr>
                <w:sz w:val="20"/>
                <w:szCs w:val="20"/>
                <w:color w:val="auto"/>
              </w:rPr>
            </w:pPr>
            <w:r>
              <w:rPr>
                <w:rFonts w:ascii="Arial" w:cs="Arial" w:eastAsia="Arial" w:hAnsi="Arial"/>
                <w:sz w:val="12"/>
                <w:szCs w:val="12"/>
                <w:color w:val="FFFFFF"/>
                <w:w w:val="98"/>
              </w:rPr>
              <w:t>Est. Total</w:t>
            </w:r>
          </w:p>
        </w:tc>
        <w:tc>
          <w:tcPr>
            <w:tcW w:w="600" w:type="dxa"/>
            <w:vAlign w:val="bottom"/>
            <w:shd w:val="clear" w:color="auto" w:fill="1764AC"/>
          </w:tcPr>
          <w:p>
            <w:pPr>
              <w:spacing w:after="0"/>
              <w:rPr>
                <w:sz w:val="13"/>
                <w:szCs w:val="13"/>
                <w:color w:val="auto"/>
              </w:rPr>
            </w:pPr>
          </w:p>
        </w:tc>
        <w:tc>
          <w:tcPr>
            <w:tcW w:w="700" w:type="dxa"/>
            <w:vAlign w:val="bottom"/>
            <w:tcBorders>
              <w:right w:val="single" w:sz="8" w:color="1764AC"/>
            </w:tcBorders>
            <w:shd w:val="clear" w:color="auto" w:fill="1764AC"/>
          </w:tcPr>
          <w:p>
            <w:pPr>
              <w:spacing w:after="0"/>
              <w:rPr>
                <w:sz w:val="13"/>
                <w:szCs w:val="13"/>
                <w:color w:val="auto"/>
              </w:rPr>
            </w:pP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Discounted</w:t>
            </w:r>
          </w:p>
        </w:tc>
        <w:tc>
          <w:tcPr>
            <w:tcW w:w="660" w:type="dxa"/>
            <w:vAlign w:val="bottom"/>
            <w:shd w:val="clear" w:color="auto" w:fill="1764AC"/>
          </w:tcPr>
          <w:p>
            <w:pPr>
              <w:jc w:val="center"/>
              <w:spacing w:after="0"/>
              <w:rPr>
                <w:sz w:val="20"/>
                <w:szCs w:val="20"/>
                <w:color w:val="auto"/>
              </w:rPr>
            </w:pPr>
            <w:r>
              <w:rPr>
                <w:rFonts w:ascii="Arial" w:cs="Arial" w:eastAsia="Arial" w:hAnsi="Arial"/>
                <w:sz w:val="12"/>
                <w:szCs w:val="12"/>
                <w:color w:val="FFFFFF"/>
                <w:w w:val="96"/>
              </w:rPr>
              <w:t>Project</w:t>
            </w:r>
          </w:p>
        </w:tc>
        <w:tc>
          <w:tcPr>
            <w:tcW w:w="680" w:type="dxa"/>
            <w:vAlign w:val="bottom"/>
            <w:shd w:val="clear" w:color="auto" w:fill="1764AC"/>
          </w:tcPr>
          <w:p>
            <w:pPr>
              <w:jc w:val="center"/>
              <w:spacing w:after="0"/>
              <w:rPr>
                <w:sz w:val="20"/>
                <w:szCs w:val="20"/>
                <w:color w:val="auto"/>
              </w:rPr>
            </w:pPr>
            <w:r>
              <w:rPr>
                <w:rFonts w:ascii="Arial" w:cs="Arial" w:eastAsia="Arial" w:hAnsi="Arial"/>
                <w:sz w:val="12"/>
                <w:szCs w:val="12"/>
                <w:color w:val="FFFFFF"/>
              </w:rPr>
              <w:t>Capital</w:t>
            </w:r>
          </w:p>
        </w:tc>
        <w:tc>
          <w:tcPr>
            <w:tcW w:w="680" w:type="dxa"/>
            <w:vAlign w:val="bottom"/>
            <w:shd w:val="clear" w:color="auto" w:fill="1764AC"/>
          </w:tcPr>
          <w:p>
            <w:pPr>
              <w:jc w:val="center"/>
              <w:spacing w:after="0"/>
              <w:rPr>
                <w:sz w:val="20"/>
                <w:szCs w:val="20"/>
                <w:color w:val="auto"/>
              </w:rPr>
            </w:pPr>
            <w:r>
              <w:rPr>
                <w:rFonts w:ascii="Arial" w:cs="Arial" w:eastAsia="Arial" w:hAnsi="Arial"/>
                <w:sz w:val="12"/>
                <w:szCs w:val="12"/>
                <w:color w:val="FFFFFF"/>
              </w:rPr>
              <w:t>Est. Equity</w:t>
            </w:r>
          </w:p>
        </w:tc>
        <w:tc>
          <w:tcPr>
            <w:tcW w:w="720" w:type="dxa"/>
            <w:vAlign w:val="bottom"/>
            <w:shd w:val="clear" w:color="auto" w:fill="1764AC"/>
          </w:tcPr>
          <w:p>
            <w:pPr>
              <w:jc w:val="center"/>
              <w:spacing w:after="0"/>
              <w:rPr>
                <w:sz w:val="20"/>
                <w:szCs w:val="20"/>
                <w:color w:val="auto"/>
              </w:rPr>
            </w:pPr>
            <w:r>
              <w:rPr>
                <w:rFonts w:ascii="Arial" w:cs="Arial" w:eastAsia="Arial" w:hAnsi="Arial"/>
                <w:sz w:val="12"/>
                <w:szCs w:val="12"/>
                <w:color w:val="FFFFFF"/>
                <w:w w:val="95"/>
              </w:rPr>
              <w:t>Equity</w:t>
            </w:r>
          </w:p>
        </w:tc>
        <w:tc>
          <w:tcPr>
            <w:tcW w:w="580" w:type="dxa"/>
            <w:vAlign w:val="bottom"/>
            <w:shd w:val="clear" w:color="auto" w:fill="1764AC"/>
          </w:tcPr>
          <w:p>
            <w:pPr>
              <w:spacing w:after="0"/>
              <w:rPr>
                <w:sz w:val="13"/>
                <w:szCs w:val="13"/>
                <w:color w:val="auto"/>
              </w:rPr>
            </w:pPr>
          </w:p>
        </w:tc>
        <w:tc>
          <w:tcPr>
            <w:tcW w:w="720" w:type="dxa"/>
            <w:vAlign w:val="bottom"/>
            <w:shd w:val="clear" w:color="auto" w:fill="1764AC"/>
          </w:tcPr>
          <w:p>
            <w:pPr>
              <w:spacing w:after="0"/>
              <w:rPr>
                <w:sz w:val="13"/>
                <w:szCs w:val="13"/>
                <w:color w:val="auto"/>
              </w:rPr>
            </w:pPr>
          </w:p>
        </w:tc>
        <w:tc>
          <w:tcPr>
            <w:tcW w:w="660" w:type="dxa"/>
            <w:vAlign w:val="bottom"/>
            <w:shd w:val="clear" w:color="auto" w:fill="1764A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00" w:type="dxa"/>
            <w:vAlign w:val="bottom"/>
            <w:tcBorders>
              <w:right w:val="single" w:sz="8" w:color="1764AC"/>
            </w:tcBorders>
            <w:shd w:val="clear" w:color="auto" w:fill="1764AC"/>
          </w:tcPr>
          <w:p>
            <w:pPr>
              <w:jc w:val="center"/>
              <w:spacing w:after="0" w:line="121" w:lineRule="exact"/>
              <w:rPr>
                <w:sz w:val="20"/>
                <w:szCs w:val="20"/>
                <w:color w:val="auto"/>
              </w:rPr>
            </w:pPr>
            <w:r>
              <w:rPr>
                <w:rFonts w:ascii="Arial" w:cs="Arial" w:eastAsia="Arial" w:hAnsi="Arial"/>
                <w:sz w:val="12"/>
                <w:szCs w:val="12"/>
                <w:b w:val="1"/>
                <w:bCs w:val="1"/>
                <w:color w:val="FFFFFF"/>
                <w:w w:val="99"/>
              </w:rPr>
              <w:t>Consolidated Projects</w:t>
            </w:r>
          </w:p>
        </w:tc>
        <w:tc>
          <w:tcPr>
            <w:tcW w:w="78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w w:val="99"/>
              </w:rPr>
              <w:t>Country</w:t>
            </w:r>
          </w:p>
        </w:tc>
        <w:tc>
          <w:tcPr>
            <w:tcW w:w="68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w w:val="99"/>
              </w:rPr>
              <w:t>and energy</w:t>
            </w:r>
          </w:p>
        </w:tc>
        <w:tc>
          <w:tcPr>
            <w:tcW w:w="680" w:type="dxa"/>
            <w:vAlign w:val="bottom"/>
            <w:tcBorders>
              <w:right w:val="single" w:sz="8" w:color="1764AC"/>
            </w:tcBorders>
            <w:shd w:val="clear" w:color="auto" w:fill="1764AC"/>
          </w:tcPr>
          <w:p>
            <w:pPr>
              <w:jc w:val="center"/>
              <w:spacing w:after="0" w:line="121" w:lineRule="exact"/>
              <w:rPr>
                <w:sz w:val="20"/>
                <w:szCs w:val="20"/>
                <w:color w:val="auto"/>
              </w:rPr>
            </w:pPr>
            <w:r>
              <w:rPr>
                <w:rFonts w:ascii="Arial" w:cs="Arial" w:eastAsia="Arial" w:hAnsi="Arial"/>
                <w:sz w:val="12"/>
                <w:szCs w:val="12"/>
                <w:color w:val="FFFFFF"/>
              </w:rPr>
              <w:t>Est.</w:t>
            </w:r>
          </w:p>
        </w:tc>
        <w:tc>
          <w:tcPr>
            <w:tcW w:w="680" w:type="dxa"/>
            <w:vAlign w:val="bottom"/>
            <w:tcBorders>
              <w:right w:val="single" w:sz="8" w:color="1764AC"/>
            </w:tcBorders>
            <w:shd w:val="clear" w:color="auto" w:fill="1764AC"/>
          </w:tcPr>
          <w:p>
            <w:pPr>
              <w:jc w:val="center"/>
              <w:spacing w:after="0" w:line="121" w:lineRule="exact"/>
              <w:rPr>
                <w:sz w:val="20"/>
                <w:szCs w:val="20"/>
                <w:color w:val="auto"/>
              </w:rPr>
            </w:pPr>
            <w:r>
              <w:rPr>
                <w:rFonts w:ascii="Arial" w:cs="Arial" w:eastAsia="Arial" w:hAnsi="Arial"/>
                <w:sz w:val="12"/>
                <w:szCs w:val="12"/>
                <w:color w:val="FFFFFF"/>
              </w:rPr>
              <w:t>Project</w:t>
            </w:r>
          </w:p>
        </w:tc>
        <w:tc>
          <w:tcPr>
            <w:tcW w:w="60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Qualifying</w:t>
            </w:r>
          </w:p>
        </w:tc>
        <w:tc>
          <w:tcPr>
            <w:tcW w:w="70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7"/>
              </w:rPr>
              <w:t>Adders*****</w:t>
            </w:r>
          </w:p>
        </w:tc>
        <w:tc>
          <w:tcPr>
            <w:tcW w:w="680" w:type="dxa"/>
            <w:vAlign w:val="bottom"/>
            <w:vMerge w:val="continue"/>
            <w:shd w:val="clear" w:color="auto" w:fill="1764AC"/>
          </w:tcPr>
          <w:p>
            <w:pPr>
              <w:spacing w:after="0"/>
              <w:rPr>
                <w:sz w:val="10"/>
                <w:szCs w:val="10"/>
                <w:color w:val="auto"/>
              </w:rPr>
            </w:pPr>
          </w:p>
        </w:tc>
        <w:tc>
          <w:tcPr>
            <w:tcW w:w="66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w w:val="99"/>
              </w:rPr>
              <w:t>Cost net of</w:t>
            </w:r>
          </w:p>
        </w:tc>
        <w:tc>
          <w:tcPr>
            <w:tcW w:w="68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rPr>
              <w:t>Invested as</w:t>
            </w:r>
          </w:p>
        </w:tc>
        <w:tc>
          <w:tcPr>
            <w:tcW w:w="68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w w:val="98"/>
              </w:rPr>
              <w:t>Required</w:t>
            </w:r>
          </w:p>
        </w:tc>
        <w:tc>
          <w:tcPr>
            <w:tcW w:w="72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w w:val="97"/>
              </w:rPr>
              <w:t>Invested as</w:t>
            </w:r>
          </w:p>
        </w:tc>
        <w:tc>
          <w:tcPr>
            <w:tcW w:w="580" w:type="dxa"/>
            <w:vAlign w:val="bottom"/>
            <w:shd w:val="clear" w:color="auto" w:fill="1764AC"/>
          </w:tcPr>
          <w:p>
            <w:pPr>
              <w:ind w:left="60"/>
              <w:spacing w:after="0" w:line="121" w:lineRule="exact"/>
              <w:rPr>
                <w:sz w:val="20"/>
                <w:szCs w:val="20"/>
                <w:color w:val="auto"/>
              </w:rPr>
            </w:pPr>
            <w:r>
              <w:rPr>
                <w:rFonts w:ascii="Arial" w:cs="Arial" w:eastAsia="Arial" w:hAnsi="Arial"/>
                <w:sz w:val="12"/>
                <w:szCs w:val="12"/>
                <w:color w:val="FFFFFF"/>
              </w:rPr>
              <w:t>Est. First</w:t>
            </w:r>
          </w:p>
        </w:tc>
        <w:tc>
          <w:tcPr>
            <w:tcW w:w="72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rPr>
              <w:t>Est. First</w:t>
            </w:r>
          </w:p>
        </w:tc>
        <w:tc>
          <w:tcPr>
            <w:tcW w:w="660" w:type="dxa"/>
            <w:vAlign w:val="bottom"/>
            <w:shd w:val="clear" w:color="auto" w:fill="1764AC"/>
          </w:tcPr>
          <w:p>
            <w:pPr>
              <w:ind w:left="40"/>
              <w:spacing w:after="0" w:line="121" w:lineRule="exact"/>
              <w:rPr>
                <w:sz w:val="20"/>
                <w:szCs w:val="20"/>
                <w:color w:val="auto"/>
              </w:rPr>
            </w:pPr>
            <w:r>
              <w:rPr>
                <w:rFonts w:ascii="Arial" w:cs="Arial" w:eastAsia="Arial" w:hAnsi="Arial"/>
                <w:sz w:val="12"/>
                <w:szCs w:val="12"/>
                <w:color w:val="FFFFFF"/>
              </w:rPr>
              <w:t>Ownership</w:t>
            </w:r>
          </w:p>
        </w:tc>
        <w:tc>
          <w:tcPr>
            <w:tcW w:w="0" w:type="dxa"/>
            <w:vAlign w:val="bottom"/>
          </w:tcPr>
          <w:p>
            <w:pPr>
              <w:spacing w:after="0"/>
              <w:rPr>
                <w:sz w:val="1"/>
                <w:szCs w:val="1"/>
                <w:color w:val="auto"/>
              </w:rPr>
            </w:pPr>
          </w:p>
        </w:tc>
      </w:tr>
      <w:tr>
        <w:trPr>
          <w:trHeight w:val="113"/>
        </w:trPr>
        <w:tc>
          <w:tcPr>
            <w:tcW w:w="1800" w:type="dxa"/>
            <w:vAlign w:val="bottom"/>
            <w:tcBorders>
              <w:right w:val="single" w:sz="8" w:color="1764AC"/>
            </w:tcBorders>
            <w:shd w:val="clear" w:color="auto" w:fill="1764AC"/>
          </w:tcPr>
          <w:p>
            <w:pPr>
              <w:spacing w:after="0"/>
              <w:rPr>
                <w:sz w:val="9"/>
                <w:szCs w:val="9"/>
                <w:color w:val="auto"/>
              </w:rPr>
            </w:pPr>
          </w:p>
        </w:tc>
        <w:tc>
          <w:tcPr>
            <w:tcW w:w="780" w:type="dxa"/>
            <w:vAlign w:val="bottom"/>
            <w:shd w:val="clear" w:color="auto" w:fill="1764AC"/>
          </w:tcPr>
          <w:p>
            <w:pPr>
              <w:spacing w:after="0"/>
              <w:rPr>
                <w:sz w:val="9"/>
                <w:szCs w:val="9"/>
                <w:color w:val="auto"/>
              </w:rPr>
            </w:pP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storage</w:t>
            </w:r>
          </w:p>
        </w:tc>
        <w:tc>
          <w:tcPr>
            <w:tcW w:w="68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7"/>
              </w:rPr>
              <w:t>COD</w:t>
            </w:r>
          </w:p>
        </w:tc>
        <w:tc>
          <w:tcPr>
            <w:tcW w:w="68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rPr>
              <w:t>Cost</w:t>
            </w:r>
          </w:p>
        </w:tc>
        <w:tc>
          <w:tcPr>
            <w:tcW w:w="600" w:type="dxa"/>
            <w:vAlign w:val="bottom"/>
            <w:vMerge w:val="continue"/>
            <w:shd w:val="clear" w:color="auto" w:fill="1764AC"/>
          </w:tcPr>
          <w:p>
            <w:pPr>
              <w:spacing w:after="0"/>
              <w:rPr>
                <w:sz w:val="9"/>
                <w:szCs w:val="9"/>
                <w:color w:val="auto"/>
              </w:rPr>
            </w:pPr>
          </w:p>
        </w:tc>
        <w:tc>
          <w:tcPr>
            <w:tcW w:w="700" w:type="dxa"/>
            <w:vAlign w:val="bottom"/>
            <w:tcBorders>
              <w:right w:val="single" w:sz="8" w:color="1764AC"/>
            </w:tcBorders>
            <w:vMerge w:val="continue"/>
            <w:shd w:val="clear" w:color="auto" w:fill="1764AC"/>
          </w:tcPr>
          <w:p>
            <w:pPr>
              <w:spacing w:after="0"/>
              <w:rPr>
                <w:sz w:val="9"/>
                <w:szCs w:val="9"/>
                <w:color w:val="auto"/>
              </w:rPr>
            </w:pPr>
          </w:p>
        </w:tc>
        <w:tc>
          <w:tcPr>
            <w:tcW w:w="680" w:type="dxa"/>
            <w:vAlign w:val="bottom"/>
            <w:shd w:val="clear" w:color="auto" w:fill="1764AC"/>
          </w:tcPr>
          <w:p>
            <w:pPr>
              <w:jc w:val="center"/>
              <w:spacing w:after="0" w:line="114" w:lineRule="exact"/>
              <w:rPr>
                <w:sz w:val="20"/>
                <w:szCs w:val="20"/>
                <w:color w:val="auto"/>
              </w:rPr>
            </w:pPr>
            <w:r>
              <w:rPr>
                <w:rFonts w:ascii="Arial" w:cs="Arial" w:eastAsia="Arial" w:hAnsi="Arial"/>
                <w:sz w:val="12"/>
                <w:szCs w:val="12"/>
                <w:color w:val="FFFFFF"/>
                <w:w w:val="95"/>
              </w:rPr>
              <w:t>Value of</w:t>
            </w: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tax benefit</w:t>
            </w: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7"/>
              </w:rPr>
              <w:t>of June 30,</w:t>
            </w: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6"/>
              </w:rPr>
              <w:t>(%)</w:t>
            </w:r>
          </w:p>
        </w:tc>
        <w:tc>
          <w:tcPr>
            <w:tcW w:w="72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of June 30,</w:t>
            </w:r>
          </w:p>
        </w:tc>
        <w:tc>
          <w:tcPr>
            <w:tcW w:w="580" w:type="dxa"/>
            <w:vAlign w:val="bottom"/>
            <w:vMerge w:val="restart"/>
            <w:shd w:val="clear" w:color="auto" w:fill="1764AC"/>
          </w:tcPr>
          <w:p>
            <w:pPr>
              <w:ind w:left="60"/>
              <w:spacing w:after="0"/>
              <w:rPr>
                <w:sz w:val="20"/>
                <w:szCs w:val="20"/>
                <w:color w:val="auto"/>
              </w:rPr>
            </w:pPr>
            <w:r>
              <w:rPr>
                <w:rFonts w:ascii="Arial" w:cs="Arial" w:eastAsia="Arial" w:hAnsi="Arial"/>
                <w:sz w:val="12"/>
                <w:szCs w:val="12"/>
                <w:color w:val="FFFFFF"/>
              </w:rPr>
              <w:t>Full Year</w:t>
            </w:r>
          </w:p>
        </w:tc>
        <w:tc>
          <w:tcPr>
            <w:tcW w:w="72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Full Year</w:t>
            </w: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w:t>
            </w:r>
          </w:p>
        </w:tc>
        <w:tc>
          <w:tcPr>
            <w:tcW w:w="0" w:type="dxa"/>
            <w:vAlign w:val="bottom"/>
          </w:tcPr>
          <w:p>
            <w:pPr>
              <w:spacing w:after="0"/>
              <w:rPr>
                <w:sz w:val="1"/>
                <w:szCs w:val="1"/>
                <w:color w:val="auto"/>
              </w:rPr>
            </w:pPr>
          </w:p>
        </w:tc>
      </w:tr>
      <w:tr>
        <w:trPr>
          <w:trHeight w:val="63"/>
        </w:trPr>
        <w:tc>
          <w:tcPr>
            <w:tcW w:w="1800" w:type="dxa"/>
            <w:vAlign w:val="bottom"/>
            <w:tcBorders>
              <w:right w:val="single" w:sz="8" w:color="1764AC"/>
            </w:tcBorders>
            <w:shd w:val="clear" w:color="auto" w:fill="1764AC"/>
          </w:tcPr>
          <w:p>
            <w:pPr>
              <w:spacing w:after="0"/>
              <w:rPr>
                <w:sz w:val="5"/>
                <w:szCs w:val="5"/>
                <w:color w:val="auto"/>
              </w:rPr>
            </w:pPr>
          </w:p>
        </w:tc>
        <w:tc>
          <w:tcPr>
            <w:tcW w:w="780" w:type="dxa"/>
            <w:vAlign w:val="bottom"/>
            <w:shd w:val="clear" w:color="auto" w:fill="1764AC"/>
          </w:tcPr>
          <w:p>
            <w:pPr>
              <w:spacing w:after="0"/>
              <w:rPr>
                <w:sz w:val="5"/>
                <w:szCs w:val="5"/>
                <w:color w:val="auto"/>
              </w:rPr>
            </w:pPr>
          </w:p>
        </w:tc>
        <w:tc>
          <w:tcPr>
            <w:tcW w:w="680" w:type="dxa"/>
            <w:vAlign w:val="bottom"/>
            <w:vMerge w:val="continue"/>
            <w:shd w:val="clear" w:color="auto" w:fill="1764AC"/>
          </w:tcPr>
          <w:p>
            <w:pPr>
              <w:spacing w:after="0"/>
              <w:rPr>
                <w:sz w:val="5"/>
                <w:szCs w:val="5"/>
                <w:color w:val="auto"/>
              </w:rPr>
            </w:pPr>
          </w:p>
        </w:tc>
        <w:tc>
          <w:tcPr>
            <w:tcW w:w="680" w:type="dxa"/>
            <w:vAlign w:val="bottom"/>
            <w:tcBorders>
              <w:right w:val="single" w:sz="8" w:color="1764AC"/>
            </w:tcBorders>
            <w:vMerge w:val="continue"/>
            <w:shd w:val="clear" w:color="auto" w:fill="1764AC"/>
          </w:tcPr>
          <w:p>
            <w:pPr>
              <w:spacing w:after="0"/>
              <w:rPr>
                <w:sz w:val="5"/>
                <w:szCs w:val="5"/>
                <w:color w:val="auto"/>
              </w:rPr>
            </w:pPr>
          </w:p>
        </w:tc>
        <w:tc>
          <w:tcPr>
            <w:tcW w:w="680" w:type="dxa"/>
            <w:vAlign w:val="bottom"/>
            <w:tcBorders>
              <w:right w:val="single" w:sz="8" w:color="1764AC"/>
            </w:tcBorders>
            <w:vMerge w:val="continue"/>
            <w:shd w:val="clear" w:color="auto" w:fill="1764AC"/>
          </w:tcPr>
          <w:p>
            <w:pPr>
              <w:spacing w:after="0"/>
              <w:rPr>
                <w:sz w:val="5"/>
                <w:szCs w:val="5"/>
                <w:color w:val="auto"/>
              </w:rPr>
            </w:pPr>
          </w:p>
        </w:tc>
        <w:tc>
          <w:tcPr>
            <w:tcW w:w="60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Category</w:t>
            </w:r>
          </w:p>
        </w:tc>
        <w:tc>
          <w:tcPr>
            <w:tcW w:w="700" w:type="dxa"/>
            <w:vAlign w:val="bottom"/>
            <w:tcBorders>
              <w:right w:val="single" w:sz="8" w:color="1764AC"/>
            </w:tcBorders>
            <w:shd w:val="clear" w:color="auto" w:fill="1764AC"/>
          </w:tcPr>
          <w:p>
            <w:pPr>
              <w:spacing w:after="0"/>
              <w:rPr>
                <w:sz w:val="5"/>
                <w:szCs w:val="5"/>
                <w:color w:val="auto"/>
              </w:rPr>
            </w:pP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89"/>
              </w:rPr>
              <w:t>Tax</w:t>
            </w:r>
          </w:p>
        </w:tc>
        <w:tc>
          <w:tcPr>
            <w:tcW w:w="660" w:type="dxa"/>
            <w:vAlign w:val="bottom"/>
            <w:vMerge w:val="continue"/>
            <w:shd w:val="clear" w:color="auto" w:fill="1764AC"/>
          </w:tcPr>
          <w:p>
            <w:pPr>
              <w:spacing w:after="0"/>
              <w:rPr>
                <w:sz w:val="5"/>
                <w:szCs w:val="5"/>
                <w:color w:val="auto"/>
              </w:rPr>
            </w:pPr>
          </w:p>
        </w:tc>
        <w:tc>
          <w:tcPr>
            <w:tcW w:w="680" w:type="dxa"/>
            <w:vAlign w:val="bottom"/>
            <w:vMerge w:val="continue"/>
            <w:shd w:val="clear" w:color="auto" w:fill="1764AC"/>
          </w:tcPr>
          <w:p>
            <w:pPr>
              <w:spacing w:after="0"/>
              <w:rPr>
                <w:sz w:val="5"/>
                <w:szCs w:val="5"/>
                <w:color w:val="auto"/>
              </w:rPr>
            </w:pPr>
          </w:p>
        </w:tc>
        <w:tc>
          <w:tcPr>
            <w:tcW w:w="680" w:type="dxa"/>
            <w:vAlign w:val="bottom"/>
            <w:vMerge w:val="continue"/>
            <w:shd w:val="clear" w:color="auto" w:fill="1764AC"/>
          </w:tcPr>
          <w:p>
            <w:pPr>
              <w:spacing w:after="0"/>
              <w:rPr>
                <w:sz w:val="5"/>
                <w:szCs w:val="5"/>
                <w:color w:val="auto"/>
              </w:rPr>
            </w:pPr>
          </w:p>
        </w:tc>
        <w:tc>
          <w:tcPr>
            <w:tcW w:w="720" w:type="dxa"/>
            <w:vAlign w:val="bottom"/>
            <w:vMerge w:val="continue"/>
            <w:shd w:val="clear" w:color="auto" w:fill="1764AC"/>
          </w:tcPr>
          <w:p>
            <w:pPr>
              <w:spacing w:after="0"/>
              <w:rPr>
                <w:sz w:val="5"/>
                <w:szCs w:val="5"/>
                <w:color w:val="auto"/>
              </w:rPr>
            </w:pPr>
          </w:p>
        </w:tc>
        <w:tc>
          <w:tcPr>
            <w:tcW w:w="580" w:type="dxa"/>
            <w:vAlign w:val="bottom"/>
            <w:vMerge w:val="continue"/>
            <w:shd w:val="clear" w:color="auto" w:fill="1764AC"/>
          </w:tcPr>
          <w:p>
            <w:pPr>
              <w:spacing w:after="0"/>
              <w:rPr>
                <w:sz w:val="5"/>
                <w:szCs w:val="5"/>
                <w:color w:val="auto"/>
              </w:rPr>
            </w:pPr>
          </w:p>
        </w:tc>
        <w:tc>
          <w:tcPr>
            <w:tcW w:w="720" w:type="dxa"/>
            <w:vAlign w:val="bottom"/>
            <w:vMerge w:val="continue"/>
            <w:shd w:val="clear" w:color="auto" w:fill="1764AC"/>
          </w:tcPr>
          <w:p>
            <w:pPr>
              <w:spacing w:after="0"/>
              <w:rPr>
                <w:sz w:val="5"/>
                <w:szCs w:val="5"/>
                <w:color w:val="auto"/>
              </w:rPr>
            </w:pPr>
          </w:p>
        </w:tc>
        <w:tc>
          <w:tcPr>
            <w:tcW w:w="660" w:type="dxa"/>
            <w:vAlign w:val="bottom"/>
            <w:vMerge w:val="continue"/>
            <w:shd w:val="clear" w:color="auto" w:fill="1764A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00" w:type="dxa"/>
            <w:vAlign w:val="bottom"/>
            <w:tcBorders>
              <w:right w:val="single" w:sz="8" w:color="1764AC"/>
            </w:tcBorders>
            <w:shd w:val="clear" w:color="auto" w:fill="1764AC"/>
          </w:tcPr>
          <w:p>
            <w:pPr>
              <w:spacing w:after="0"/>
              <w:rPr>
                <w:sz w:val="7"/>
                <w:szCs w:val="7"/>
                <w:color w:val="auto"/>
              </w:rPr>
            </w:pPr>
          </w:p>
        </w:tc>
        <w:tc>
          <w:tcPr>
            <w:tcW w:w="780" w:type="dxa"/>
            <w:vAlign w:val="bottom"/>
            <w:shd w:val="clear" w:color="auto" w:fill="1764AC"/>
          </w:tcPr>
          <w:p>
            <w:pPr>
              <w:spacing w:after="0"/>
              <w:rPr>
                <w:sz w:val="7"/>
                <w:szCs w:val="7"/>
                <w:color w:val="auto"/>
              </w:rPr>
            </w:pP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Capacity</w:t>
            </w:r>
          </w:p>
        </w:tc>
        <w:tc>
          <w:tcPr>
            <w:tcW w:w="680" w:type="dxa"/>
            <w:vAlign w:val="bottom"/>
            <w:tcBorders>
              <w:right w:val="single" w:sz="8" w:color="1764AC"/>
            </w:tcBorders>
            <w:shd w:val="clear" w:color="auto" w:fill="1764AC"/>
          </w:tcPr>
          <w:p>
            <w:pPr>
              <w:spacing w:after="0"/>
              <w:rPr>
                <w:sz w:val="7"/>
                <w:szCs w:val="7"/>
                <w:color w:val="auto"/>
              </w:rPr>
            </w:pPr>
          </w:p>
        </w:tc>
        <w:tc>
          <w:tcPr>
            <w:tcW w:w="680" w:type="dxa"/>
            <w:vAlign w:val="bottom"/>
            <w:tcBorders>
              <w:right w:val="single" w:sz="8" w:color="1764AC"/>
            </w:tcBorders>
            <w:shd w:val="clear" w:color="auto" w:fill="1764AC"/>
          </w:tcPr>
          <w:p>
            <w:pPr>
              <w:spacing w:after="0"/>
              <w:rPr>
                <w:sz w:val="7"/>
                <w:szCs w:val="7"/>
                <w:color w:val="auto"/>
              </w:rPr>
            </w:pPr>
          </w:p>
        </w:tc>
        <w:tc>
          <w:tcPr>
            <w:tcW w:w="600" w:type="dxa"/>
            <w:vAlign w:val="bottom"/>
            <w:vMerge w:val="continue"/>
            <w:shd w:val="clear" w:color="auto" w:fill="1764AC"/>
          </w:tcPr>
          <w:p>
            <w:pPr>
              <w:spacing w:after="0"/>
              <w:rPr>
                <w:sz w:val="7"/>
                <w:szCs w:val="7"/>
                <w:color w:val="auto"/>
              </w:rPr>
            </w:pPr>
          </w:p>
        </w:tc>
        <w:tc>
          <w:tcPr>
            <w:tcW w:w="700" w:type="dxa"/>
            <w:vAlign w:val="bottom"/>
            <w:tcBorders>
              <w:right w:val="single" w:sz="8" w:color="1764AC"/>
            </w:tcBorders>
            <w:shd w:val="clear" w:color="auto" w:fill="1764AC"/>
          </w:tcPr>
          <w:p>
            <w:pPr>
              <w:spacing w:after="0"/>
              <w:rPr>
                <w:sz w:val="7"/>
                <w:szCs w:val="7"/>
                <w:color w:val="auto"/>
              </w:rPr>
            </w:pPr>
          </w:p>
        </w:tc>
        <w:tc>
          <w:tcPr>
            <w:tcW w:w="680" w:type="dxa"/>
            <w:vAlign w:val="bottom"/>
            <w:vMerge w:val="continue"/>
            <w:shd w:val="clear" w:color="auto" w:fill="1764AC"/>
          </w:tcPr>
          <w:p>
            <w:pPr>
              <w:spacing w:after="0"/>
              <w:rPr>
                <w:sz w:val="7"/>
                <w:szCs w:val="7"/>
                <w:color w:val="auto"/>
              </w:rPr>
            </w:pPr>
          </w:p>
        </w:tc>
        <w:tc>
          <w:tcPr>
            <w:tcW w:w="660" w:type="dxa"/>
            <w:vAlign w:val="bottom"/>
            <w:shd w:val="clear" w:color="auto" w:fill="1764AC"/>
          </w:tcPr>
          <w:p>
            <w:pPr>
              <w:spacing w:after="0"/>
              <w:rPr>
                <w:sz w:val="7"/>
                <w:szCs w:val="7"/>
                <w:color w:val="auto"/>
              </w:rPr>
            </w:pP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7"/>
              </w:rPr>
              <w:t>2025</w:t>
            </w:r>
          </w:p>
        </w:tc>
        <w:tc>
          <w:tcPr>
            <w:tcW w:w="680" w:type="dxa"/>
            <w:vAlign w:val="bottom"/>
            <w:shd w:val="clear" w:color="auto" w:fill="1764AC"/>
          </w:tcPr>
          <w:p>
            <w:pPr>
              <w:spacing w:after="0"/>
              <w:rPr>
                <w:sz w:val="7"/>
                <w:szCs w:val="7"/>
                <w:color w:val="auto"/>
              </w:rPr>
            </w:pPr>
          </w:p>
        </w:tc>
        <w:tc>
          <w:tcPr>
            <w:tcW w:w="72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2025</w:t>
            </w:r>
          </w:p>
        </w:tc>
        <w:tc>
          <w:tcPr>
            <w:tcW w:w="580" w:type="dxa"/>
            <w:vAlign w:val="bottom"/>
            <w:vMerge w:val="restart"/>
            <w:shd w:val="clear" w:color="auto" w:fill="1764AC"/>
          </w:tcPr>
          <w:p>
            <w:pPr>
              <w:ind w:left="60"/>
              <w:spacing w:after="0"/>
              <w:rPr>
                <w:sz w:val="20"/>
                <w:szCs w:val="20"/>
                <w:color w:val="auto"/>
              </w:rPr>
            </w:pPr>
            <w:r>
              <w:rPr>
                <w:rFonts w:ascii="Arial" w:cs="Arial" w:eastAsia="Arial" w:hAnsi="Arial"/>
                <w:sz w:val="12"/>
                <w:szCs w:val="12"/>
                <w:color w:val="FFFFFF"/>
              </w:rPr>
              <w:t>Revenue</w:t>
            </w:r>
          </w:p>
        </w:tc>
        <w:tc>
          <w:tcPr>
            <w:tcW w:w="72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EBITDA****</w:t>
            </w:r>
          </w:p>
        </w:tc>
        <w:tc>
          <w:tcPr>
            <w:tcW w:w="660" w:type="dxa"/>
            <w:vAlign w:val="bottom"/>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800" w:type="dxa"/>
            <w:vAlign w:val="bottom"/>
            <w:tcBorders>
              <w:right w:val="single" w:sz="8" w:color="1764AC"/>
            </w:tcBorders>
            <w:shd w:val="clear" w:color="auto" w:fill="1764AC"/>
          </w:tcPr>
          <w:p>
            <w:pPr>
              <w:spacing w:after="0"/>
              <w:rPr>
                <w:sz w:val="6"/>
                <w:szCs w:val="6"/>
                <w:color w:val="auto"/>
              </w:rPr>
            </w:pPr>
          </w:p>
        </w:tc>
        <w:tc>
          <w:tcPr>
            <w:tcW w:w="780" w:type="dxa"/>
            <w:vAlign w:val="bottom"/>
            <w:shd w:val="clear" w:color="auto" w:fill="1764AC"/>
          </w:tcPr>
          <w:p>
            <w:pPr>
              <w:spacing w:after="0"/>
              <w:rPr>
                <w:sz w:val="6"/>
                <w:szCs w:val="6"/>
                <w:color w:val="auto"/>
              </w:rPr>
            </w:pPr>
          </w:p>
        </w:tc>
        <w:tc>
          <w:tcPr>
            <w:tcW w:w="680" w:type="dxa"/>
            <w:vAlign w:val="bottom"/>
            <w:vMerge w:val="continue"/>
            <w:shd w:val="clear" w:color="auto" w:fill="1764AC"/>
          </w:tcPr>
          <w:p>
            <w:pPr>
              <w:spacing w:after="0"/>
              <w:rPr>
                <w:sz w:val="6"/>
                <w:szCs w:val="6"/>
                <w:color w:val="auto"/>
              </w:rPr>
            </w:pPr>
          </w:p>
        </w:tc>
        <w:tc>
          <w:tcPr>
            <w:tcW w:w="680" w:type="dxa"/>
            <w:vAlign w:val="bottom"/>
            <w:tcBorders>
              <w:right w:val="single" w:sz="8" w:color="1764AC"/>
            </w:tcBorders>
            <w:shd w:val="clear" w:color="auto" w:fill="1764AC"/>
          </w:tcPr>
          <w:p>
            <w:pPr>
              <w:spacing w:after="0"/>
              <w:rPr>
                <w:sz w:val="6"/>
                <w:szCs w:val="6"/>
                <w:color w:val="auto"/>
              </w:rPr>
            </w:pPr>
          </w:p>
        </w:tc>
        <w:tc>
          <w:tcPr>
            <w:tcW w:w="680" w:type="dxa"/>
            <w:vAlign w:val="bottom"/>
            <w:tcBorders>
              <w:right w:val="single" w:sz="8" w:color="1764AC"/>
            </w:tcBorders>
            <w:shd w:val="clear" w:color="auto" w:fill="1764AC"/>
          </w:tcPr>
          <w:p>
            <w:pPr>
              <w:spacing w:after="0"/>
              <w:rPr>
                <w:sz w:val="6"/>
                <w:szCs w:val="6"/>
                <w:color w:val="auto"/>
              </w:rPr>
            </w:pPr>
          </w:p>
        </w:tc>
        <w:tc>
          <w:tcPr>
            <w:tcW w:w="600" w:type="dxa"/>
            <w:vAlign w:val="bottom"/>
            <w:shd w:val="clear" w:color="auto" w:fill="1764AC"/>
          </w:tcPr>
          <w:p>
            <w:pPr>
              <w:spacing w:after="0"/>
              <w:rPr>
                <w:sz w:val="6"/>
                <w:szCs w:val="6"/>
                <w:color w:val="auto"/>
              </w:rPr>
            </w:pPr>
          </w:p>
        </w:tc>
        <w:tc>
          <w:tcPr>
            <w:tcW w:w="700" w:type="dxa"/>
            <w:vAlign w:val="bottom"/>
            <w:tcBorders>
              <w:right w:val="single" w:sz="8" w:color="1764AC"/>
            </w:tcBorders>
            <w:shd w:val="clear" w:color="auto" w:fill="1764AC"/>
          </w:tcPr>
          <w:p>
            <w:pPr>
              <w:spacing w:after="0"/>
              <w:rPr>
                <w:sz w:val="6"/>
                <w:szCs w:val="6"/>
                <w:color w:val="auto"/>
              </w:rPr>
            </w:pP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7"/>
              </w:rPr>
              <w:t>Benefit***</w:t>
            </w:r>
          </w:p>
        </w:tc>
        <w:tc>
          <w:tcPr>
            <w:tcW w:w="660" w:type="dxa"/>
            <w:vAlign w:val="bottom"/>
            <w:shd w:val="clear" w:color="auto" w:fill="1764AC"/>
          </w:tcPr>
          <w:p>
            <w:pPr>
              <w:spacing w:after="0"/>
              <w:rPr>
                <w:sz w:val="6"/>
                <w:szCs w:val="6"/>
                <w:color w:val="auto"/>
              </w:rPr>
            </w:pPr>
          </w:p>
        </w:tc>
        <w:tc>
          <w:tcPr>
            <w:tcW w:w="680" w:type="dxa"/>
            <w:vAlign w:val="bottom"/>
            <w:vMerge w:val="continue"/>
            <w:shd w:val="clear" w:color="auto" w:fill="1764AC"/>
          </w:tcPr>
          <w:p>
            <w:pPr>
              <w:spacing w:after="0"/>
              <w:rPr>
                <w:sz w:val="6"/>
                <w:szCs w:val="6"/>
                <w:color w:val="auto"/>
              </w:rPr>
            </w:pPr>
          </w:p>
        </w:tc>
        <w:tc>
          <w:tcPr>
            <w:tcW w:w="680" w:type="dxa"/>
            <w:vAlign w:val="bottom"/>
            <w:shd w:val="clear" w:color="auto" w:fill="1764AC"/>
          </w:tcPr>
          <w:p>
            <w:pPr>
              <w:spacing w:after="0"/>
              <w:rPr>
                <w:sz w:val="6"/>
                <w:szCs w:val="6"/>
                <w:color w:val="auto"/>
              </w:rPr>
            </w:pPr>
          </w:p>
        </w:tc>
        <w:tc>
          <w:tcPr>
            <w:tcW w:w="720" w:type="dxa"/>
            <w:vAlign w:val="bottom"/>
            <w:vMerge w:val="continue"/>
            <w:shd w:val="clear" w:color="auto" w:fill="1764AC"/>
          </w:tcPr>
          <w:p>
            <w:pPr>
              <w:spacing w:after="0"/>
              <w:rPr>
                <w:sz w:val="6"/>
                <w:szCs w:val="6"/>
                <w:color w:val="auto"/>
              </w:rPr>
            </w:pPr>
          </w:p>
        </w:tc>
        <w:tc>
          <w:tcPr>
            <w:tcW w:w="580" w:type="dxa"/>
            <w:vAlign w:val="bottom"/>
            <w:vMerge w:val="continue"/>
            <w:shd w:val="clear" w:color="auto" w:fill="1764AC"/>
          </w:tcPr>
          <w:p>
            <w:pPr>
              <w:spacing w:after="0"/>
              <w:rPr>
                <w:sz w:val="6"/>
                <w:szCs w:val="6"/>
                <w:color w:val="auto"/>
              </w:rPr>
            </w:pPr>
          </w:p>
        </w:tc>
        <w:tc>
          <w:tcPr>
            <w:tcW w:w="720" w:type="dxa"/>
            <w:vAlign w:val="bottom"/>
            <w:vMerge w:val="continue"/>
            <w:shd w:val="clear" w:color="auto" w:fill="1764AC"/>
          </w:tcPr>
          <w:p>
            <w:pPr>
              <w:spacing w:after="0"/>
              <w:rPr>
                <w:sz w:val="6"/>
                <w:szCs w:val="6"/>
                <w:color w:val="auto"/>
              </w:rPr>
            </w:pPr>
          </w:p>
        </w:tc>
        <w:tc>
          <w:tcPr>
            <w:tcW w:w="660" w:type="dxa"/>
            <w:vAlign w:val="bottom"/>
            <w:shd w:val="clear" w:color="auto" w:fill="1764AC"/>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800" w:type="dxa"/>
            <w:vAlign w:val="bottom"/>
            <w:tcBorders>
              <w:right w:val="single" w:sz="8" w:color="1764AC"/>
            </w:tcBorders>
            <w:shd w:val="clear" w:color="auto" w:fill="1764AC"/>
          </w:tcPr>
          <w:p>
            <w:pPr>
              <w:spacing w:after="0"/>
              <w:rPr>
                <w:sz w:val="7"/>
                <w:szCs w:val="7"/>
                <w:color w:val="auto"/>
              </w:rPr>
            </w:pPr>
          </w:p>
        </w:tc>
        <w:tc>
          <w:tcPr>
            <w:tcW w:w="780" w:type="dxa"/>
            <w:vAlign w:val="bottom"/>
            <w:shd w:val="clear" w:color="auto" w:fill="1764AC"/>
          </w:tcPr>
          <w:p>
            <w:pPr>
              <w:spacing w:after="0"/>
              <w:rPr>
                <w:sz w:val="7"/>
                <w:szCs w:val="7"/>
                <w:color w:val="auto"/>
              </w:rPr>
            </w:pP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(MW/MWh)</w:t>
            </w:r>
          </w:p>
        </w:tc>
        <w:tc>
          <w:tcPr>
            <w:tcW w:w="680" w:type="dxa"/>
            <w:vAlign w:val="bottom"/>
            <w:tcBorders>
              <w:right w:val="single" w:sz="8" w:color="1764AC"/>
            </w:tcBorders>
            <w:shd w:val="clear" w:color="auto" w:fill="1764AC"/>
          </w:tcPr>
          <w:p>
            <w:pPr>
              <w:spacing w:after="0"/>
              <w:rPr>
                <w:sz w:val="7"/>
                <w:szCs w:val="7"/>
                <w:color w:val="auto"/>
              </w:rPr>
            </w:pPr>
          </w:p>
        </w:tc>
        <w:tc>
          <w:tcPr>
            <w:tcW w:w="680" w:type="dxa"/>
            <w:vAlign w:val="bottom"/>
            <w:tcBorders>
              <w:right w:val="single" w:sz="8" w:color="1764AC"/>
            </w:tcBorders>
            <w:shd w:val="clear" w:color="auto" w:fill="1764AC"/>
          </w:tcPr>
          <w:p>
            <w:pPr>
              <w:spacing w:after="0"/>
              <w:rPr>
                <w:sz w:val="7"/>
                <w:szCs w:val="7"/>
                <w:color w:val="auto"/>
              </w:rPr>
            </w:pPr>
          </w:p>
        </w:tc>
        <w:tc>
          <w:tcPr>
            <w:tcW w:w="600" w:type="dxa"/>
            <w:vAlign w:val="bottom"/>
            <w:shd w:val="clear" w:color="auto" w:fill="1764AC"/>
          </w:tcPr>
          <w:p>
            <w:pPr>
              <w:spacing w:after="0"/>
              <w:rPr>
                <w:sz w:val="7"/>
                <w:szCs w:val="7"/>
                <w:color w:val="auto"/>
              </w:rPr>
            </w:pPr>
          </w:p>
        </w:tc>
        <w:tc>
          <w:tcPr>
            <w:tcW w:w="700" w:type="dxa"/>
            <w:vAlign w:val="bottom"/>
            <w:tcBorders>
              <w:right w:val="single" w:sz="8" w:color="1764AC"/>
            </w:tcBorders>
            <w:shd w:val="clear" w:color="auto" w:fill="1764AC"/>
          </w:tcPr>
          <w:p>
            <w:pPr>
              <w:spacing w:after="0"/>
              <w:rPr>
                <w:sz w:val="7"/>
                <w:szCs w:val="7"/>
                <w:color w:val="auto"/>
              </w:rPr>
            </w:pPr>
          </w:p>
        </w:tc>
        <w:tc>
          <w:tcPr>
            <w:tcW w:w="680" w:type="dxa"/>
            <w:vAlign w:val="bottom"/>
            <w:vMerge w:val="continue"/>
            <w:shd w:val="clear" w:color="auto" w:fill="1764AC"/>
          </w:tcPr>
          <w:p>
            <w:pPr>
              <w:spacing w:after="0"/>
              <w:rPr>
                <w:sz w:val="7"/>
                <w:szCs w:val="7"/>
                <w:color w:val="auto"/>
              </w:rPr>
            </w:pPr>
          </w:p>
        </w:tc>
        <w:tc>
          <w:tcPr>
            <w:tcW w:w="660" w:type="dxa"/>
            <w:vAlign w:val="bottom"/>
            <w:shd w:val="clear" w:color="auto" w:fill="1764AC"/>
          </w:tcPr>
          <w:p>
            <w:pPr>
              <w:spacing w:after="0"/>
              <w:rPr>
                <w:sz w:val="7"/>
                <w:szCs w:val="7"/>
                <w:color w:val="auto"/>
              </w:rPr>
            </w:pPr>
          </w:p>
        </w:tc>
        <w:tc>
          <w:tcPr>
            <w:tcW w:w="680" w:type="dxa"/>
            <w:vAlign w:val="bottom"/>
            <w:shd w:val="clear" w:color="auto" w:fill="1764AC"/>
          </w:tcPr>
          <w:p>
            <w:pPr>
              <w:spacing w:after="0"/>
              <w:rPr>
                <w:sz w:val="7"/>
                <w:szCs w:val="7"/>
                <w:color w:val="auto"/>
              </w:rPr>
            </w:pPr>
          </w:p>
        </w:tc>
        <w:tc>
          <w:tcPr>
            <w:tcW w:w="680" w:type="dxa"/>
            <w:vAlign w:val="bottom"/>
            <w:shd w:val="clear" w:color="auto" w:fill="1764AC"/>
          </w:tcPr>
          <w:p>
            <w:pPr>
              <w:spacing w:after="0"/>
              <w:rPr>
                <w:sz w:val="7"/>
                <w:szCs w:val="7"/>
                <w:color w:val="auto"/>
              </w:rPr>
            </w:pPr>
          </w:p>
        </w:tc>
        <w:tc>
          <w:tcPr>
            <w:tcW w:w="720" w:type="dxa"/>
            <w:vAlign w:val="bottom"/>
            <w:shd w:val="clear" w:color="auto" w:fill="1764AC"/>
          </w:tcPr>
          <w:p>
            <w:pPr>
              <w:spacing w:after="0"/>
              <w:rPr>
                <w:sz w:val="7"/>
                <w:szCs w:val="7"/>
                <w:color w:val="auto"/>
              </w:rPr>
            </w:pPr>
          </w:p>
        </w:tc>
        <w:tc>
          <w:tcPr>
            <w:tcW w:w="580" w:type="dxa"/>
            <w:vAlign w:val="bottom"/>
            <w:shd w:val="clear" w:color="auto" w:fill="1764AC"/>
          </w:tcPr>
          <w:p>
            <w:pPr>
              <w:spacing w:after="0"/>
              <w:rPr>
                <w:sz w:val="7"/>
                <w:szCs w:val="7"/>
                <w:color w:val="auto"/>
              </w:rPr>
            </w:pPr>
          </w:p>
        </w:tc>
        <w:tc>
          <w:tcPr>
            <w:tcW w:w="720" w:type="dxa"/>
            <w:vAlign w:val="bottom"/>
            <w:shd w:val="clear" w:color="auto" w:fill="1764AC"/>
          </w:tcPr>
          <w:p>
            <w:pPr>
              <w:spacing w:after="0"/>
              <w:rPr>
                <w:sz w:val="7"/>
                <w:szCs w:val="7"/>
                <w:color w:val="auto"/>
              </w:rPr>
            </w:pPr>
          </w:p>
        </w:tc>
        <w:tc>
          <w:tcPr>
            <w:tcW w:w="660" w:type="dxa"/>
            <w:vAlign w:val="bottom"/>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800" w:type="dxa"/>
            <w:vAlign w:val="bottom"/>
            <w:tcBorders>
              <w:bottom w:val="single" w:sz="8" w:color="1764AC"/>
              <w:right w:val="single" w:sz="8" w:color="1764AC"/>
            </w:tcBorders>
            <w:shd w:val="clear" w:color="auto" w:fill="1764AC"/>
          </w:tcPr>
          <w:p>
            <w:pPr>
              <w:spacing w:after="0"/>
              <w:rPr>
                <w:sz w:val="8"/>
                <w:szCs w:val="8"/>
                <w:color w:val="auto"/>
              </w:rPr>
            </w:pPr>
          </w:p>
        </w:tc>
        <w:tc>
          <w:tcPr>
            <w:tcW w:w="780" w:type="dxa"/>
            <w:vAlign w:val="bottom"/>
            <w:tcBorders>
              <w:bottom w:val="single" w:sz="8" w:color="1764AC"/>
            </w:tcBorders>
            <w:shd w:val="clear" w:color="auto" w:fill="1764AC"/>
          </w:tcPr>
          <w:p>
            <w:pPr>
              <w:spacing w:after="0"/>
              <w:rPr>
                <w:sz w:val="8"/>
                <w:szCs w:val="8"/>
                <w:color w:val="auto"/>
              </w:rPr>
            </w:pPr>
          </w:p>
        </w:tc>
        <w:tc>
          <w:tcPr>
            <w:tcW w:w="680" w:type="dxa"/>
            <w:vAlign w:val="bottom"/>
            <w:tcBorders>
              <w:bottom w:val="single" w:sz="8" w:color="1764AC"/>
            </w:tcBorders>
            <w:vMerge w:val="continue"/>
            <w:shd w:val="clear" w:color="auto" w:fill="1764AC"/>
          </w:tcPr>
          <w:p>
            <w:pPr>
              <w:spacing w:after="0"/>
              <w:rPr>
                <w:sz w:val="8"/>
                <w:szCs w:val="8"/>
                <w:color w:val="auto"/>
              </w:rPr>
            </w:pPr>
          </w:p>
        </w:tc>
        <w:tc>
          <w:tcPr>
            <w:tcW w:w="680" w:type="dxa"/>
            <w:vAlign w:val="bottom"/>
            <w:tcBorders>
              <w:bottom w:val="single" w:sz="8" w:color="1764AC"/>
              <w:right w:val="single" w:sz="8" w:color="1764AC"/>
            </w:tcBorders>
            <w:shd w:val="clear" w:color="auto" w:fill="1764AC"/>
          </w:tcPr>
          <w:p>
            <w:pPr>
              <w:spacing w:after="0"/>
              <w:rPr>
                <w:sz w:val="8"/>
                <w:szCs w:val="8"/>
                <w:color w:val="auto"/>
              </w:rPr>
            </w:pPr>
          </w:p>
        </w:tc>
        <w:tc>
          <w:tcPr>
            <w:tcW w:w="680" w:type="dxa"/>
            <w:vAlign w:val="bottom"/>
            <w:tcBorders>
              <w:bottom w:val="single" w:sz="8" w:color="1764AC"/>
              <w:right w:val="single" w:sz="8" w:color="1764AC"/>
            </w:tcBorders>
            <w:shd w:val="clear" w:color="auto" w:fill="1764AC"/>
          </w:tcPr>
          <w:p>
            <w:pPr>
              <w:spacing w:after="0"/>
              <w:rPr>
                <w:sz w:val="8"/>
                <w:szCs w:val="8"/>
                <w:color w:val="auto"/>
              </w:rPr>
            </w:pPr>
          </w:p>
        </w:tc>
        <w:tc>
          <w:tcPr>
            <w:tcW w:w="600" w:type="dxa"/>
            <w:vAlign w:val="bottom"/>
            <w:tcBorders>
              <w:bottom w:val="single" w:sz="8" w:color="1764AC"/>
            </w:tcBorders>
            <w:shd w:val="clear" w:color="auto" w:fill="1764AC"/>
          </w:tcPr>
          <w:p>
            <w:pPr>
              <w:spacing w:after="0"/>
              <w:rPr>
                <w:sz w:val="8"/>
                <w:szCs w:val="8"/>
                <w:color w:val="auto"/>
              </w:rPr>
            </w:pPr>
          </w:p>
        </w:tc>
        <w:tc>
          <w:tcPr>
            <w:tcW w:w="700" w:type="dxa"/>
            <w:vAlign w:val="bottom"/>
            <w:tcBorders>
              <w:bottom w:val="single" w:sz="8" w:color="1764AC"/>
              <w:right w:val="single" w:sz="8" w:color="1764AC"/>
            </w:tcBorders>
            <w:shd w:val="clear" w:color="auto" w:fill="1764AC"/>
          </w:tcPr>
          <w:p>
            <w:pPr>
              <w:spacing w:after="0"/>
              <w:rPr>
                <w:sz w:val="8"/>
                <w:szCs w:val="8"/>
                <w:color w:val="auto"/>
              </w:rPr>
            </w:pPr>
          </w:p>
        </w:tc>
        <w:tc>
          <w:tcPr>
            <w:tcW w:w="680" w:type="dxa"/>
            <w:vAlign w:val="bottom"/>
            <w:tcBorders>
              <w:bottom w:val="single" w:sz="8" w:color="1764AC"/>
            </w:tcBorders>
            <w:shd w:val="clear" w:color="auto" w:fill="1764AC"/>
          </w:tcPr>
          <w:p>
            <w:pPr>
              <w:spacing w:after="0"/>
              <w:rPr>
                <w:sz w:val="8"/>
                <w:szCs w:val="8"/>
                <w:color w:val="auto"/>
              </w:rPr>
            </w:pPr>
          </w:p>
        </w:tc>
        <w:tc>
          <w:tcPr>
            <w:tcW w:w="660" w:type="dxa"/>
            <w:vAlign w:val="bottom"/>
            <w:tcBorders>
              <w:bottom w:val="single" w:sz="8" w:color="1764AC"/>
            </w:tcBorders>
            <w:shd w:val="clear" w:color="auto" w:fill="1764AC"/>
          </w:tcPr>
          <w:p>
            <w:pPr>
              <w:spacing w:after="0"/>
              <w:rPr>
                <w:sz w:val="8"/>
                <w:szCs w:val="8"/>
                <w:color w:val="auto"/>
              </w:rPr>
            </w:pPr>
          </w:p>
        </w:tc>
        <w:tc>
          <w:tcPr>
            <w:tcW w:w="680" w:type="dxa"/>
            <w:vAlign w:val="bottom"/>
            <w:tcBorders>
              <w:bottom w:val="single" w:sz="8" w:color="1764AC"/>
            </w:tcBorders>
            <w:shd w:val="clear" w:color="auto" w:fill="1764AC"/>
          </w:tcPr>
          <w:p>
            <w:pPr>
              <w:spacing w:after="0"/>
              <w:rPr>
                <w:sz w:val="8"/>
                <w:szCs w:val="8"/>
                <w:color w:val="auto"/>
              </w:rPr>
            </w:pPr>
          </w:p>
        </w:tc>
        <w:tc>
          <w:tcPr>
            <w:tcW w:w="680" w:type="dxa"/>
            <w:vAlign w:val="bottom"/>
            <w:tcBorders>
              <w:bottom w:val="single" w:sz="8" w:color="1764AC"/>
            </w:tcBorders>
            <w:shd w:val="clear" w:color="auto" w:fill="1764AC"/>
          </w:tcPr>
          <w:p>
            <w:pPr>
              <w:spacing w:after="0"/>
              <w:rPr>
                <w:sz w:val="8"/>
                <w:szCs w:val="8"/>
                <w:color w:val="auto"/>
              </w:rPr>
            </w:pPr>
          </w:p>
        </w:tc>
        <w:tc>
          <w:tcPr>
            <w:tcW w:w="720" w:type="dxa"/>
            <w:vAlign w:val="bottom"/>
            <w:tcBorders>
              <w:bottom w:val="single" w:sz="8" w:color="1764AC"/>
            </w:tcBorders>
            <w:shd w:val="clear" w:color="auto" w:fill="1764AC"/>
          </w:tcPr>
          <w:p>
            <w:pPr>
              <w:spacing w:after="0"/>
              <w:rPr>
                <w:sz w:val="8"/>
                <w:szCs w:val="8"/>
                <w:color w:val="auto"/>
              </w:rPr>
            </w:pPr>
          </w:p>
        </w:tc>
        <w:tc>
          <w:tcPr>
            <w:tcW w:w="580" w:type="dxa"/>
            <w:vAlign w:val="bottom"/>
            <w:tcBorders>
              <w:bottom w:val="single" w:sz="8" w:color="1764AC"/>
            </w:tcBorders>
            <w:shd w:val="clear" w:color="auto" w:fill="1764AC"/>
          </w:tcPr>
          <w:p>
            <w:pPr>
              <w:spacing w:after="0"/>
              <w:rPr>
                <w:sz w:val="8"/>
                <w:szCs w:val="8"/>
                <w:color w:val="auto"/>
              </w:rPr>
            </w:pPr>
          </w:p>
        </w:tc>
        <w:tc>
          <w:tcPr>
            <w:tcW w:w="720" w:type="dxa"/>
            <w:vAlign w:val="bottom"/>
            <w:tcBorders>
              <w:bottom w:val="single" w:sz="8" w:color="1764AC"/>
            </w:tcBorders>
            <w:shd w:val="clear" w:color="auto" w:fill="1764AC"/>
          </w:tcPr>
          <w:p>
            <w:pPr>
              <w:spacing w:after="0"/>
              <w:rPr>
                <w:sz w:val="8"/>
                <w:szCs w:val="8"/>
                <w:color w:val="auto"/>
              </w:rPr>
            </w:pPr>
          </w:p>
        </w:tc>
        <w:tc>
          <w:tcPr>
            <w:tcW w:w="660" w:type="dxa"/>
            <w:vAlign w:val="bottom"/>
            <w:tcBorders>
              <w:bottom w:val="single" w:sz="8" w:color="1764AC"/>
            </w:tcBorders>
            <w:shd w:val="clear" w:color="auto" w:fill="1764A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CoBar ITC</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United States</w:t>
            </w: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258/824</w:t>
            </w:r>
          </w:p>
        </w:tc>
        <w:tc>
          <w:tcPr>
            <w:tcW w:w="68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612-644</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ITC</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EC (10%)</w:t>
            </w: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247-259</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365-385</w:t>
            </w:r>
          </w:p>
        </w:tc>
        <w:tc>
          <w:tcPr>
            <w:tcW w:w="6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40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13%-16%</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40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99"/>
              </w:rPr>
              <w:t>126-132</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99-104</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26"/>
        </w:trPr>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CoBar PTC</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9"/>
              </w:rPr>
              <w:t>United States</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953/0</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H2 2027</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1,115-</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99"/>
              </w:rPr>
              <w:t>PTC</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EC (10%)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551-579</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9"/>
              </w:rPr>
              <w:t>564-594</w:t>
            </w: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800" w:type="dxa"/>
            <w:vAlign w:val="bottom"/>
            <w:tcBorders>
              <w:right w:val="single" w:sz="8" w:color="auto"/>
            </w:tcBorders>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8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1,173</w:t>
            </w: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Picasso BESS</w:t>
            </w:r>
          </w:p>
        </w:tc>
        <w:tc>
          <w:tcPr>
            <w:tcW w:w="780" w:type="dxa"/>
            <w:vAlign w:val="bottom"/>
          </w:tcPr>
          <w:p>
            <w:pPr>
              <w:jc w:val="center"/>
              <w:spacing w:after="0"/>
              <w:rPr>
                <w:sz w:val="20"/>
                <w:szCs w:val="20"/>
                <w:color w:val="auto"/>
              </w:rPr>
            </w:pPr>
            <w:r>
              <w:rPr>
                <w:rFonts w:ascii="Arial" w:cs="Arial" w:eastAsia="Arial" w:hAnsi="Arial"/>
                <w:sz w:val="12"/>
                <w:szCs w:val="12"/>
                <w:color w:val="auto"/>
                <w:w w:val="96"/>
              </w:rPr>
              <w:t>Sweden</w:t>
            </w: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0/221</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H1 2027</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40-42</w:t>
            </w:r>
          </w:p>
        </w:tc>
        <w:tc>
          <w:tcPr>
            <w:tcW w:w="6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spacing w:after="0"/>
              <w:rPr>
                <w:sz w:val="20"/>
                <w:szCs w:val="20"/>
                <w:color w:val="auto"/>
              </w:rPr>
            </w:pPr>
            <w:r>
              <w:rPr>
                <w:rFonts w:ascii="Arial" w:cs="Arial" w:eastAsia="Arial" w:hAnsi="Arial"/>
                <w:sz w:val="12"/>
                <w:szCs w:val="12"/>
                <w:color w:val="auto"/>
              </w:rPr>
              <w:t>40-42</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100%</w:t>
            </w:r>
          </w:p>
        </w:tc>
        <w:tc>
          <w:tcPr>
            <w:tcW w:w="720" w:type="dxa"/>
            <w:vAlign w:val="bottom"/>
          </w:tcPr>
          <w:p>
            <w:pPr>
              <w:jc w:val="center"/>
              <w:spacing w:after="0"/>
              <w:rPr>
                <w:sz w:val="20"/>
                <w:szCs w:val="20"/>
                <w:color w:val="auto"/>
              </w:rPr>
            </w:pPr>
            <w:r>
              <w:rPr>
                <w:rFonts w:ascii="Arial" w:cs="Arial" w:eastAsia="Arial" w:hAnsi="Arial"/>
                <w:sz w:val="12"/>
                <w:szCs w:val="12"/>
                <w:color w:val="auto"/>
              </w:rPr>
              <w:t>0</w:t>
            </w:r>
          </w:p>
        </w:tc>
        <w:tc>
          <w:tcPr>
            <w:tcW w:w="580" w:type="dxa"/>
            <w:vAlign w:val="bottom"/>
          </w:tcPr>
          <w:p>
            <w:pPr>
              <w:jc w:val="center"/>
              <w:spacing w:after="0"/>
              <w:rPr>
                <w:sz w:val="20"/>
                <w:szCs w:val="20"/>
                <w:color w:val="auto"/>
              </w:rPr>
            </w:pPr>
            <w:r>
              <w:rPr>
                <w:rFonts w:ascii="Arial" w:cs="Arial" w:eastAsia="Arial" w:hAnsi="Arial"/>
                <w:sz w:val="12"/>
                <w:szCs w:val="12"/>
                <w:color w:val="auto"/>
              </w:rPr>
              <w:t>7-8</w:t>
            </w:r>
          </w:p>
        </w:tc>
        <w:tc>
          <w:tcPr>
            <w:tcW w:w="720" w:type="dxa"/>
            <w:vAlign w:val="bottom"/>
          </w:tcPr>
          <w:p>
            <w:pPr>
              <w:jc w:val="center"/>
              <w:spacing w:after="0"/>
              <w:rPr>
                <w:sz w:val="20"/>
                <w:szCs w:val="20"/>
                <w:color w:val="auto"/>
              </w:rPr>
            </w:pPr>
            <w:r>
              <w:rPr>
                <w:rFonts w:ascii="Arial" w:cs="Arial" w:eastAsia="Arial" w:hAnsi="Arial"/>
                <w:sz w:val="12"/>
                <w:szCs w:val="12"/>
                <w:color w:val="auto"/>
              </w:rPr>
              <w:t>5-6</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69%</w:t>
            </w:r>
          </w:p>
        </w:tc>
        <w:tc>
          <w:tcPr>
            <w:tcW w:w="0" w:type="dxa"/>
            <w:vAlign w:val="bottom"/>
          </w:tcPr>
          <w:p>
            <w:pPr>
              <w:spacing w:after="0"/>
              <w:rPr>
                <w:sz w:val="1"/>
                <w:szCs w:val="1"/>
                <w:color w:val="auto"/>
              </w:rPr>
            </w:pPr>
          </w:p>
        </w:tc>
      </w:tr>
      <w:tr>
        <w:trPr>
          <w:trHeight w:val="34"/>
        </w:trPr>
        <w:tc>
          <w:tcPr>
            <w:tcW w:w="1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Nardo</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Italy</w:t>
            </w:r>
          </w:p>
        </w:tc>
        <w:tc>
          <w:tcPr>
            <w:tcW w:w="680" w:type="dxa"/>
            <w:vAlign w:val="bottom"/>
          </w:tcPr>
          <w:p>
            <w:pPr>
              <w:jc w:val="center"/>
              <w:spacing w:after="0"/>
              <w:rPr>
                <w:sz w:val="20"/>
                <w:szCs w:val="20"/>
                <w:color w:val="auto"/>
              </w:rPr>
            </w:pPr>
            <w:r>
              <w:rPr>
                <w:rFonts w:ascii="Arial" w:cs="Arial" w:eastAsia="Arial" w:hAnsi="Arial"/>
                <w:sz w:val="12"/>
                <w:szCs w:val="12"/>
                <w:color w:val="auto"/>
              </w:rPr>
              <w:t>97/1,254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H1 2028</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235-247</w:t>
            </w:r>
          </w:p>
        </w:tc>
        <w:tc>
          <w:tcPr>
            <w:tcW w:w="6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235-247</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38%-42%</w:t>
            </w:r>
          </w:p>
        </w:tc>
        <w:tc>
          <w:tcPr>
            <w:tcW w:w="720" w:type="dxa"/>
            <w:vAlign w:val="bottom"/>
          </w:tcPr>
          <w:p>
            <w:pPr>
              <w:jc w:val="center"/>
              <w:spacing w:after="0"/>
              <w:rPr>
                <w:sz w:val="20"/>
                <w:szCs w:val="20"/>
                <w:color w:val="auto"/>
              </w:rPr>
            </w:pPr>
            <w:r>
              <w:rPr>
                <w:rFonts w:ascii="Arial" w:cs="Arial" w:eastAsia="Arial" w:hAnsi="Arial"/>
                <w:sz w:val="12"/>
                <w:szCs w:val="12"/>
                <w:color w:val="auto"/>
              </w:rPr>
              <w:t>3</w:t>
            </w:r>
          </w:p>
        </w:tc>
        <w:tc>
          <w:tcPr>
            <w:tcW w:w="580" w:type="dxa"/>
            <w:vAlign w:val="bottom"/>
          </w:tcPr>
          <w:p>
            <w:pPr>
              <w:jc w:val="center"/>
              <w:spacing w:after="0"/>
              <w:rPr>
                <w:sz w:val="20"/>
                <w:szCs w:val="20"/>
                <w:color w:val="auto"/>
              </w:rPr>
            </w:pPr>
            <w:r>
              <w:rPr>
                <w:rFonts w:ascii="Arial" w:cs="Arial" w:eastAsia="Arial" w:hAnsi="Arial"/>
                <w:sz w:val="12"/>
                <w:szCs w:val="12"/>
                <w:color w:val="auto"/>
                <w:w w:val="97"/>
              </w:rPr>
              <w:t>42-44</w:t>
            </w: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36-37</w:t>
            </w:r>
          </w:p>
        </w:tc>
        <w:tc>
          <w:tcPr>
            <w:tcW w:w="660" w:type="dxa"/>
            <w:vAlign w:val="bottom"/>
          </w:tcPr>
          <w:p>
            <w:pPr>
              <w:jc w:val="center"/>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34"/>
        </w:trPr>
        <w:tc>
          <w:tcPr>
            <w:tcW w:w="1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128" w:right="29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1545590</wp:posOffset>
            </wp:positionH>
            <wp:positionV relativeFrom="page">
              <wp:posOffset>88900</wp:posOffset>
            </wp:positionV>
            <wp:extent cx="2463165" cy="708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63165" cy="708660"/>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329"/>
        </w:trPr>
        <w:tc>
          <w:tcPr>
            <w:tcW w:w="216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 millions)</w:t>
            </w:r>
          </w:p>
        </w:tc>
        <w:tc>
          <w:tcPr>
            <w:tcW w:w="460" w:type="dxa"/>
            <w:vAlign w:val="bottom"/>
            <w:shd w:val="clear" w:color="auto" w:fill="1764AC"/>
          </w:tcPr>
          <w:p>
            <w:pPr>
              <w:spacing w:after="0"/>
              <w:rPr>
                <w:sz w:val="24"/>
                <w:szCs w:val="24"/>
                <w:color w:val="auto"/>
              </w:rPr>
            </w:pPr>
          </w:p>
        </w:tc>
        <w:tc>
          <w:tcPr>
            <w:tcW w:w="1420" w:type="dxa"/>
            <w:vAlign w:val="bottom"/>
            <w:tcBorders>
              <w:right w:val="single" w:sz="8" w:color="1764AC"/>
            </w:tcBorders>
            <w:gridSpan w:val="3"/>
            <w:shd w:val="clear" w:color="auto" w:fill="1764AC"/>
          </w:tcPr>
          <w:p>
            <w:pPr>
              <w:jc w:val="center"/>
              <w:ind w:right="420"/>
              <w:spacing w:after="0"/>
              <w:rPr>
                <w:sz w:val="20"/>
                <w:szCs w:val="20"/>
                <w:color w:val="auto"/>
              </w:rPr>
            </w:pPr>
            <w:r>
              <w:rPr>
                <w:rFonts w:ascii="Arial" w:cs="Arial" w:eastAsia="Arial" w:hAnsi="Arial"/>
                <w:sz w:val="12"/>
                <w:szCs w:val="12"/>
                <w:color w:val="FFFFFF"/>
              </w:rPr>
              <w:t>MW Deployment</w:t>
            </w:r>
          </w:p>
        </w:tc>
        <w:tc>
          <w:tcPr>
            <w:tcW w:w="640" w:type="dxa"/>
            <w:vAlign w:val="bottom"/>
            <w:tcBorders>
              <w:right w:val="single" w:sz="8" w:color="1764AC"/>
            </w:tcBorders>
            <w:shd w:val="clear" w:color="auto" w:fill="1764AC"/>
          </w:tcPr>
          <w:p>
            <w:pPr>
              <w:spacing w:after="0"/>
              <w:rPr>
                <w:sz w:val="24"/>
                <w:szCs w:val="24"/>
                <w:color w:val="auto"/>
              </w:rPr>
            </w:pPr>
          </w:p>
        </w:tc>
        <w:tc>
          <w:tcPr>
            <w:tcW w:w="600" w:type="dxa"/>
            <w:vAlign w:val="bottom"/>
            <w:shd w:val="clear" w:color="auto" w:fill="1764AC"/>
          </w:tcPr>
          <w:p>
            <w:pPr>
              <w:spacing w:after="0"/>
              <w:rPr>
                <w:sz w:val="24"/>
                <w:szCs w:val="24"/>
                <w:color w:val="auto"/>
              </w:rPr>
            </w:pPr>
          </w:p>
        </w:tc>
        <w:tc>
          <w:tcPr>
            <w:tcW w:w="740" w:type="dxa"/>
            <w:vAlign w:val="bottom"/>
            <w:tcBorders>
              <w:right w:val="single" w:sz="8" w:color="1764AC"/>
            </w:tcBorders>
            <w:shd w:val="clear" w:color="auto" w:fill="1764AC"/>
          </w:tcPr>
          <w:p>
            <w:pPr>
              <w:spacing w:after="0"/>
              <w:rPr>
                <w:sz w:val="24"/>
                <w:szCs w:val="24"/>
                <w:color w:val="auto"/>
              </w:rPr>
            </w:pPr>
          </w:p>
        </w:tc>
        <w:tc>
          <w:tcPr>
            <w:tcW w:w="660" w:type="dxa"/>
            <w:vAlign w:val="bottom"/>
            <w:shd w:val="clear" w:color="auto" w:fill="1764AC"/>
          </w:tcPr>
          <w:p>
            <w:pPr>
              <w:spacing w:after="0"/>
              <w:rPr>
                <w:sz w:val="24"/>
                <w:szCs w:val="24"/>
                <w:color w:val="auto"/>
              </w:rPr>
            </w:pP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Est. Total</w:t>
            </w:r>
          </w:p>
        </w:tc>
        <w:tc>
          <w:tcPr>
            <w:tcW w:w="64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Capital</w:t>
            </w:r>
          </w:p>
        </w:tc>
        <w:tc>
          <w:tcPr>
            <w:tcW w:w="680" w:type="dxa"/>
            <w:vAlign w:val="bottom"/>
            <w:shd w:val="clear" w:color="auto" w:fill="1764AC"/>
          </w:tcPr>
          <w:p>
            <w:pPr>
              <w:spacing w:after="0"/>
              <w:rPr>
                <w:sz w:val="24"/>
                <w:szCs w:val="24"/>
                <w:color w:val="auto"/>
              </w:rPr>
            </w:pPr>
          </w:p>
        </w:tc>
        <w:tc>
          <w:tcPr>
            <w:tcW w:w="64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Equity</w:t>
            </w:r>
          </w:p>
        </w:tc>
        <w:tc>
          <w:tcPr>
            <w:tcW w:w="660" w:type="dxa"/>
            <w:vAlign w:val="bottom"/>
            <w:shd w:val="clear" w:color="auto" w:fill="1764AC"/>
          </w:tcPr>
          <w:p>
            <w:pPr>
              <w:spacing w:after="0"/>
              <w:rPr>
                <w:sz w:val="24"/>
                <w:szCs w:val="24"/>
                <w:color w:val="auto"/>
              </w:rPr>
            </w:pPr>
          </w:p>
        </w:tc>
        <w:tc>
          <w:tcPr>
            <w:tcW w:w="680" w:type="dxa"/>
            <w:vAlign w:val="bottom"/>
            <w:shd w:val="clear" w:color="auto" w:fill="1764AC"/>
          </w:tcPr>
          <w:p>
            <w:pPr>
              <w:spacing w:after="0"/>
              <w:rPr>
                <w:sz w:val="24"/>
                <w:szCs w:val="24"/>
                <w:color w:val="auto"/>
              </w:rPr>
            </w:pPr>
          </w:p>
        </w:tc>
        <w:tc>
          <w:tcPr>
            <w:tcW w:w="660" w:type="dxa"/>
            <w:vAlign w:val="bottom"/>
            <w:shd w:val="clear" w:color="auto" w:fill="1764A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60" w:type="dxa"/>
            <w:vAlign w:val="bottom"/>
            <w:tcBorders>
              <w:right w:val="single" w:sz="8" w:color="1764AC"/>
            </w:tcBorders>
            <w:vMerge w:val="continue"/>
            <w:shd w:val="clear" w:color="auto" w:fill="1764AC"/>
          </w:tcPr>
          <w:p>
            <w:pPr>
              <w:spacing w:after="0"/>
              <w:rPr>
                <w:sz w:val="11"/>
                <w:szCs w:val="11"/>
                <w:color w:val="auto"/>
              </w:rPr>
            </w:pPr>
          </w:p>
        </w:tc>
        <w:tc>
          <w:tcPr>
            <w:tcW w:w="460" w:type="dxa"/>
            <w:vAlign w:val="bottom"/>
            <w:shd w:val="clear" w:color="auto" w:fill="1764AC"/>
          </w:tcPr>
          <w:p>
            <w:pPr>
              <w:spacing w:after="0"/>
              <w:rPr>
                <w:sz w:val="11"/>
                <w:szCs w:val="11"/>
                <w:color w:val="auto"/>
              </w:rPr>
            </w:pPr>
          </w:p>
        </w:tc>
        <w:tc>
          <w:tcPr>
            <w:tcW w:w="140" w:type="dxa"/>
            <w:vAlign w:val="bottom"/>
            <w:shd w:val="clear" w:color="auto" w:fill="1764AC"/>
          </w:tcPr>
          <w:p>
            <w:pPr>
              <w:spacing w:after="0"/>
              <w:rPr>
                <w:sz w:val="11"/>
                <w:szCs w:val="11"/>
                <w:color w:val="auto"/>
              </w:rPr>
            </w:pP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b w:val="1"/>
                <w:bCs w:val="1"/>
                <w:color w:val="FFFFFF"/>
              </w:rPr>
              <w:t>MW/MWh</w:t>
            </w:r>
          </w:p>
        </w:tc>
        <w:tc>
          <w:tcPr>
            <w:tcW w:w="620" w:type="dxa"/>
            <w:vAlign w:val="bottom"/>
            <w:tcBorders>
              <w:right w:val="single" w:sz="8" w:color="1764AC"/>
            </w:tcBorders>
            <w:shd w:val="clear" w:color="auto" w:fill="1764AC"/>
          </w:tcPr>
          <w:p>
            <w:pPr>
              <w:spacing w:after="0"/>
              <w:rPr>
                <w:sz w:val="11"/>
                <w:szCs w:val="11"/>
                <w:color w:val="auto"/>
              </w:rPr>
            </w:pPr>
          </w:p>
        </w:tc>
        <w:tc>
          <w:tcPr>
            <w:tcW w:w="640" w:type="dxa"/>
            <w:vAlign w:val="bottom"/>
            <w:tcBorders>
              <w:right w:val="single" w:sz="8" w:color="1764AC"/>
            </w:tcBorders>
            <w:shd w:val="clear" w:color="auto" w:fill="1764AC"/>
          </w:tcPr>
          <w:p>
            <w:pPr>
              <w:spacing w:after="0"/>
              <w:rPr>
                <w:sz w:val="11"/>
                <w:szCs w:val="11"/>
                <w:color w:val="auto"/>
              </w:rPr>
            </w:pPr>
          </w:p>
        </w:tc>
        <w:tc>
          <w:tcPr>
            <w:tcW w:w="1340" w:type="dxa"/>
            <w:vAlign w:val="bottom"/>
            <w:tcBorders>
              <w:right w:val="single" w:sz="8" w:color="1764AC"/>
            </w:tcBorders>
            <w:gridSpan w:val="2"/>
            <w:vMerge w:val="restart"/>
            <w:shd w:val="clear" w:color="auto" w:fill="1764AC"/>
          </w:tcPr>
          <w:p>
            <w:pPr>
              <w:ind w:left="180"/>
              <w:spacing w:after="0"/>
              <w:rPr>
                <w:sz w:val="20"/>
                <w:szCs w:val="20"/>
                <w:color w:val="auto"/>
              </w:rPr>
            </w:pPr>
            <w:r>
              <w:rPr>
                <w:rFonts w:ascii="Arial" w:cs="Arial" w:eastAsia="Arial" w:hAnsi="Arial"/>
                <w:sz w:val="12"/>
                <w:szCs w:val="12"/>
                <w:color w:val="FFFFFF"/>
              </w:rPr>
              <w:t>Tax Credit Benefit</w:t>
            </w: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Discounted</w:t>
            </w:r>
          </w:p>
        </w:tc>
        <w:tc>
          <w:tcPr>
            <w:tcW w:w="660" w:type="dxa"/>
            <w:vAlign w:val="bottom"/>
            <w:vMerge w:val="continue"/>
            <w:shd w:val="clear" w:color="auto" w:fill="1764AC"/>
          </w:tcPr>
          <w:p>
            <w:pPr>
              <w:spacing w:after="0"/>
              <w:rPr>
                <w:sz w:val="11"/>
                <w:szCs w:val="11"/>
                <w:color w:val="auto"/>
              </w:rPr>
            </w:pPr>
          </w:p>
        </w:tc>
        <w:tc>
          <w:tcPr>
            <w:tcW w:w="640" w:type="dxa"/>
            <w:vAlign w:val="bottom"/>
            <w:vMerge w:val="continue"/>
            <w:shd w:val="clear" w:color="auto" w:fill="1764AC"/>
          </w:tcPr>
          <w:p>
            <w:pPr>
              <w:spacing w:after="0"/>
              <w:rPr>
                <w:sz w:val="11"/>
                <w:szCs w:val="11"/>
                <w:color w:val="auto"/>
              </w:rPr>
            </w:pPr>
          </w:p>
        </w:tc>
        <w:tc>
          <w:tcPr>
            <w:tcW w:w="680" w:type="dxa"/>
            <w:vAlign w:val="bottom"/>
            <w:shd w:val="clear" w:color="auto" w:fill="1764AC"/>
          </w:tcPr>
          <w:p>
            <w:pPr>
              <w:spacing w:after="0"/>
              <w:rPr>
                <w:sz w:val="11"/>
                <w:szCs w:val="11"/>
                <w:color w:val="auto"/>
              </w:rPr>
            </w:pPr>
          </w:p>
        </w:tc>
        <w:tc>
          <w:tcPr>
            <w:tcW w:w="640" w:type="dxa"/>
            <w:vAlign w:val="bottom"/>
            <w:vMerge w:val="continue"/>
            <w:shd w:val="clear" w:color="auto" w:fill="1764AC"/>
          </w:tcPr>
          <w:p>
            <w:pPr>
              <w:spacing w:after="0"/>
              <w:rPr>
                <w:sz w:val="11"/>
                <w:szCs w:val="11"/>
                <w:color w:val="auto"/>
              </w:rPr>
            </w:pPr>
          </w:p>
        </w:tc>
        <w:tc>
          <w:tcPr>
            <w:tcW w:w="660" w:type="dxa"/>
            <w:vAlign w:val="bottom"/>
            <w:shd w:val="clear" w:color="auto" w:fill="1764AC"/>
          </w:tcPr>
          <w:p>
            <w:pPr>
              <w:spacing w:after="0"/>
              <w:rPr>
                <w:sz w:val="11"/>
                <w:szCs w:val="11"/>
                <w:color w:val="auto"/>
              </w:rPr>
            </w:pPr>
          </w:p>
        </w:tc>
        <w:tc>
          <w:tcPr>
            <w:tcW w:w="680" w:type="dxa"/>
            <w:vAlign w:val="bottom"/>
            <w:shd w:val="clear" w:color="auto" w:fill="1764AC"/>
          </w:tcPr>
          <w:p>
            <w:pPr>
              <w:spacing w:after="0"/>
              <w:rPr>
                <w:sz w:val="11"/>
                <w:szCs w:val="11"/>
                <w:color w:val="auto"/>
              </w:rPr>
            </w:pPr>
          </w:p>
        </w:tc>
        <w:tc>
          <w:tcPr>
            <w:tcW w:w="660" w:type="dxa"/>
            <w:vAlign w:val="bottom"/>
            <w:shd w:val="clear" w:color="auto" w:fill="1764AC"/>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16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b w:val="1"/>
                <w:bCs w:val="1"/>
                <w:color w:val="FFFFFF"/>
                <w:w w:val="99"/>
              </w:rPr>
              <w:t>Additional Pre-Construction</w:t>
            </w:r>
          </w:p>
        </w:tc>
        <w:tc>
          <w:tcPr>
            <w:tcW w:w="460" w:type="dxa"/>
            <w:vAlign w:val="bottom"/>
            <w:shd w:val="clear" w:color="auto" w:fill="1764AC"/>
          </w:tcPr>
          <w:p>
            <w:pPr>
              <w:spacing w:after="0"/>
              <w:rPr>
                <w:sz w:val="5"/>
                <w:szCs w:val="5"/>
                <w:color w:val="auto"/>
              </w:rPr>
            </w:pPr>
          </w:p>
        </w:tc>
        <w:tc>
          <w:tcPr>
            <w:tcW w:w="140" w:type="dxa"/>
            <w:vAlign w:val="bottom"/>
            <w:shd w:val="clear" w:color="auto" w:fill="1764AC"/>
          </w:tcPr>
          <w:p>
            <w:pPr>
              <w:spacing w:after="0"/>
              <w:rPr>
                <w:sz w:val="5"/>
                <w:szCs w:val="5"/>
                <w:color w:val="auto"/>
              </w:rPr>
            </w:pPr>
          </w:p>
        </w:tc>
        <w:tc>
          <w:tcPr>
            <w:tcW w:w="660" w:type="dxa"/>
            <w:vAlign w:val="bottom"/>
            <w:vMerge w:val="continue"/>
            <w:shd w:val="clear" w:color="auto" w:fill="1764AC"/>
          </w:tcPr>
          <w:p>
            <w:pPr>
              <w:spacing w:after="0"/>
              <w:rPr>
                <w:sz w:val="5"/>
                <w:szCs w:val="5"/>
                <w:color w:val="auto"/>
              </w:rPr>
            </w:pPr>
          </w:p>
        </w:tc>
        <w:tc>
          <w:tcPr>
            <w:tcW w:w="620" w:type="dxa"/>
            <w:vAlign w:val="bottom"/>
            <w:tcBorders>
              <w:right w:val="single" w:sz="8" w:color="1764AC"/>
            </w:tcBorders>
            <w:shd w:val="clear" w:color="auto" w:fill="1764AC"/>
          </w:tcPr>
          <w:p>
            <w:pPr>
              <w:spacing w:after="0"/>
              <w:rPr>
                <w:sz w:val="5"/>
                <w:szCs w:val="5"/>
                <w:color w:val="auto"/>
              </w:rPr>
            </w:pPr>
          </w:p>
        </w:tc>
        <w:tc>
          <w:tcPr>
            <w:tcW w:w="64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Est. Total</w:t>
            </w:r>
          </w:p>
        </w:tc>
        <w:tc>
          <w:tcPr>
            <w:tcW w:w="1340" w:type="dxa"/>
            <w:vAlign w:val="bottom"/>
            <w:tcBorders>
              <w:right w:val="single" w:sz="8" w:color="1764AC"/>
            </w:tcBorders>
            <w:gridSpan w:val="2"/>
            <w:vMerge w:val="continue"/>
            <w:shd w:val="clear" w:color="auto" w:fill="1764AC"/>
          </w:tcPr>
          <w:p>
            <w:pPr>
              <w:spacing w:after="0"/>
              <w:rPr>
                <w:sz w:val="5"/>
                <w:szCs w:val="5"/>
                <w:color w:val="auto"/>
              </w:rPr>
            </w:pPr>
          </w:p>
        </w:tc>
        <w:tc>
          <w:tcPr>
            <w:tcW w:w="660" w:type="dxa"/>
            <w:vAlign w:val="bottom"/>
            <w:vMerge w:val="continue"/>
            <w:shd w:val="clear" w:color="auto" w:fill="1764AC"/>
          </w:tcPr>
          <w:p>
            <w:pPr>
              <w:spacing w:after="0"/>
              <w:rPr>
                <w:sz w:val="5"/>
                <w:szCs w:val="5"/>
                <w:color w:val="auto"/>
              </w:rPr>
            </w:pPr>
          </w:p>
        </w:tc>
        <w:tc>
          <w:tcPr>
            <w:tcW w:w="660" w:type="dxa"/>
            <w:vAlign w:val="bottom"/>
            <w:vMerge w:val="continue"/>
            <w:shd w:val="clear" w:color="auto" w:fill="1764AC"/>
          </w:tcPr>
          <w:p>
            <w:pPr>
              <w:spacing w:after="0"/>
              <w:rPr>
                <w:sz w:val="5"/>
                <w:szCs w:val="5"/>
                <w:color w:val="auto"/>
              </w:rPr>
            </w:pPr>
          </w:p>
        </w:tc>
        <w:tc>
          <w:tcPr>
            <w:tcW w:w="640" w:type="dxa"/>
            <w:vAlign w:val="bottom"/>
            <w:vMerge w:val="continue"/>
            <w:shd w:val="clear" w:color="auto" w:fill="1764AC"/>
          </w:tcPr>
          <w:p>
            <w:pPr>
              <w:spacing w:after="0"/>
              <w:rPr>
                <w:sz w:val="5"/>
                <w:szCs w:val="5"/>
                <w:color w:val="auto"/>
              </w:rPr>
            </w:pP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7"/>
              </w:rPr>
              <w:t>Est. Equity</w:t>
            </w:r>
          </w:p>
        </w:tc>
        <w:tc>
          <w:tcPr>
            <w:tcW w:w="640" w:type="dxa"/>
            <w:vAlign w:val="bottom"/>
            <w:vMerge w:val="continue"/>
            <w:shd w:val="clear" w:color="auto" w:fill="1764AC"/>
          </w:tcPr>
          <w:p>
            <w:pPr>
              <w:spacing w:after="0"/>
              <w:rPr>
                <w:sz w:val="5"/>
                <w:szCs w:val="5"/>
                <w:color w:val="auto"/>
              </w:rPr>
            </w:pPr>
          </w:p>
        </w:tc>
        <w:tc>
          <w:tcPr>
            <w:tcW w:w="660" w:type="dxa"/>
            <w:vAlign w:val="bottom"/>
            <w:vMerge w:val="restart"/>
            <w:shd w:val="clear" w:color="auto" w:fill="1764AC"/>
          </w:tcPr>
          <w:p>
            <w:pPr>
              <w:jc w:val="right"/>
              <w:ind w:right="20"/>
              <w:spacing w:after="0"/>
              <w:rPr>
                <w:sz w:val="20"/>
                <w:szCs w:val="20"/>
                <w:color w:val="auto"/>
              </w:rPr>
            </w:pPr>
            <w:r>
              <w:rPr>
                <w:rFonts w:ascii="Arial" w:cs="Arial" w:eastAsia="Arial" w:hAnsi="Arial"/>
                <w:sz w:val="12"/>
                <w:szCs w:val="12"/>
                <w:color w:val="FFFFFF"/>
              </w:rPr>
              <w:t>Est. First</w:t>
            </w: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Est. First</w:t>
            </w:r>
          </w:p>
        </w:tc>
        <w:tc>
          <w:tcPr>
            <w:tcW w:w="660" w:type="dxa"/>
            <w:vAlign w:val="bottom"/>
            <w:vMerge w:val="restart"/>
            <w:shd w:val="clear" w:color="auto" w:fill="1764AC"/>
          </w:tcPr>
          <w:p>
            <w:pPr>
              <w:ind w:left="40"/>
              <w:spacing w:after="0"/>
              <w:rPr>
                <w:sz w:val="20"/>
                <w:szCs w:val="20"/>
                <w:color w:val="auto"/>
              </w:rPr>
            </w:pPr>
            <w:r>
              <w:rPr>
                <w:rFonts w:ascii="Arial" w:cs="Arial" w:eastAsia="Arial" w:hAnsi="Arial"/>
                <w:sz w:val="12"/>
                <w:szCs w:val="12"/>
                <w:color w:val="FFFFFF"/>
              </w:rPr>
              <w:t>Ownership</w:t>
            </w:r>
          </w:p>
        </w:tc>
        <w:tc>
          <w:tcPr>
            <w:tcW w:w="0" w:type="dxa"/>
            <w:vAlign w:val="bottom"/>
          </w:tcPr>
          <w:p>
            <w:pPr>
              <w:spacing w:after="0"/>
              <w:rPr>
                <w:sz w:val="1"/>
                <w:szCs w:val="1"/>
                <w:color w:val="auto"/>
              </w:rPr>
            </w:pPr>
          </w:p>
        </w:tc>
      </w:tr>
      <w:tr>
        <w:trPr>
          <w:trHeight w:val="86"/>
        </w:trPr>
        <w:tc>
          <w:tcPr>
            <w:tcW w:w="2160" w:type="dxa"/>
            <w:vAlign w:val="bottom"/>
            <w:tcBorders>
              <w:right w:val="single" w:sz="8" w:color="1764AC"/>
            </w:tcBorders>
            <w:vMerge w:val="continue"/>
            <w:shd w:val="clear" w:color="auto" w:fill="1764AC"/>
          </w:tcPr>
          <w:p>
            <w:pPr>
              <w:spacing w:after="0"/>
              <w:rPr>
                <w:sz w:val="7"/>
                <w:szCs w:val="7"/>
                <w:color w:val="auto"/>
              </w:rPr>
            </w:pPr>
          </w:p>
        </w:tc>
        <w:tc>
          <w:tcPr>
            <w:tcW w:w="460" w:type="dxa"/>
            <w:vAlign w:val="bottom"/>
            <w:shd w:val="clear" w:color="auto" w:fill="1764AC"/>
          </w:tcPr>
          <w:p>
            <w:pPr>
              <w:spacing w:after="0"/>
              <w:rPr>
                <w:sz w:val="7"/>
                <w:szCs w:val="7"/>
                <w:color w:val="auto"/>
              </w:rPr>
            </w:pPr>
          </w:p>
        </w:tc>
        <w:tc>
          <w:tcPr>
            <w:tcW w:w="140" w:type="dxa"/>
            <w:vAlign w:val="bottom"/>
            <w:shd w:val="clear" w:color="auto" w:fill="1764AC"/>
          </w:tcPr>
          <w:p>
            <w:pPr>
              <w:spacing w:after="0"/>
              <w:rPr>
                <w:sz w:val="7"/>
                <w:szCs w:val="7"/>
                <w:color w:val="auto"/>
              </w:rPr>
            </w:pPr>
          </w:p>
        </w:tc>
        <w:tc>
          <w:tcPr>
            <w:tcW w:w="660" w:type="dxa"/>
            <w:vAlign w:val="bottom"/>
            <w:shd w:val="clear" w:color="auto" w:fill="1764AC"/>
          </w:tcPr>
          <w:p>
            <w:pPr>
              <w:spacing w:after="0"/>
              <w:rPr>
                <w:sz w:val="7"/>
                <w:szCs w:val="7"/>
                <w:color w:val="auto"/>
              </w:rPr>
            </w:pPr>
          </w:p>
        </w:tc>
        <w:tc>
          <w:tcPr>
            <w:tcW w:w="620" w:type="dxa"/>
            <w:vAlign w:val="bottom"/>
            <w:tcBorders>
              <w:right w:val="single" w:sz="8" w:color="1764AC"/>
            </w:tcBorders>
            <w:shd w:val="clear" w:color="auto" w:fill="1764AC"/>
          </w:tcPr>
          <w:p>
            <w:pPr>
              <w:spacing w:after="0"/>
              <w:rPr>
                <w:sz w:val="7"/>
                <w:szCs w:val="7"/>
                <w:color w:val="auto"/>
              </w:rPr>
            </w:pPr>
          </w:p>
        </w:tc>
        <w:tc>
          <w:tcPr>
            <w:tcW w:w="640" w:type="dxa"/>
            <w:vAlign w:val="bottom"/>
            <w:tcBorders>
              <w:right w:val="single" w:sz="8" w:color="1764AC"/>
            </w:tcBorders>
            <w:vMerge w:val="continue"/>
            <w:shd w:val="clear" w:color="auto" w:fill="1764AC"/>
          </w:tcPr>
          <w:p>
            <w:pPr>
              <w:spacing w:after="0"/>
              <w:rPr>
                <w:sz w:val="7"/>
                <w:szCs w:val="7"/>
                <w:color w:val="auto"/>
              </w:rPr>
            </w:pPr>
          </w:p>
        </w:tc>
        <w:tc>
          <w:tcPr>
            <w:tcW w:w="600" w:type="dxa"/>
            <w:vAlign w:val="bottom"/>
            <w:shd w:val="clear" w:color="auto" w:fill="1764AC"/>
          </w:tcPr>
          <w:p>
            <w:pPr>
              <w:spacing w:after="0"/>
              <w:rPr>
                <w:sz w:val="7"/>
                <w:szCs w:val="7"/>
                <w:color w:val="auto"/>
              </w:rPr>
            </w:pPr>
          </w:p>
        </w:tc>
        <w:tc>
          <w:tcPr>
            <w:tcW w:w="740" w:type="dxa"/>
            <w:vAlign w:val="bottom"/>
            <w:tcBorders>
              <w:right w:val="single" w:sz="8" w:color="1764AC"/>
            </w:tcBorders>
            <w:shd w:val="clear" w:color="auto" w:fill="1764AC"/>
          </w:tcPr>
          <w:p>
            <w:pPr>
              <w:spacing w:after="0"/>
              <w:rPr>
                <w:sz w:val="7"/>
                <w:szCs w:val="7"/>
                <w:color w:val="auto"/>
              </w:rPr>
            </w:pP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5"/>
              </w:rPr>
              <w:t>Value of</w:t>
            </w:r>
          </w:p>
        </w:tc>
        <w:tc>
          <w:tcPr>
            <w:tcW w:w="660" w:type="dxa"/>
            <w:vAlign w:val="bottom"/>
            <w:shd w:val="clear" w:color="auto" w:fill="1764AC"/>
          </w:tcPr>
          <w:p>
            <w:pPr>
              <w:jc w:val="center"/>
              <w:spacing w:after="0" w:line="87" w:lineRule="exact"/>
              <w:rPr>
                <w:sz w:val="20"/>
                <w:szCs w:val="20"/>
                <w:color w:val="auto"/>
              </w:rPr>
            </w:pPr>
            <w:r>
              <w:rPr>
                <w:rFonts w:ascii="Arial" w:cs="Arial" w:eastAsia="Arial" w:hAnsi="Arial"/>
                <w:sz w:val="10"/>
                <w:szCs w:val="10"/>
                <w:color w:val="FFFFFF"/>
              </w:rPr>
              <w:t>Project</w:t>
            </w:r>
          </w:p>
        </w:tc>
        <w:tc>
          <w:tcPr>
            <w:tcW w:w="640" w:type="dxa"/>
            <w:vAlign w:val="bottom"/>
            <w:shd w:val="clear" w:color="auto" w:fill="1764AC"/>
          </w:tcPr>
          <w:p>
            <w:pPr>
              <w:jc w:val="center"/>
              <w:spacing w:after="0" w:line="87" w:lineRule="exact"/>
              <w:rPr>
                <w:sz w:val="20"/>
                <w:szCs w:val="20"/>
                <w:color w:val="auto"/>
              </w:rPr>
            </w:pPr>
            <w:r>
              <w:rPr>
                <w:rFonts w:ascii="Arial" w:cs="Arial" w:eastAsia="Arial" w:hAnsi="Arial"/>
                <w:sz w:val="10"/>
                <w:szCs w:val="10"/>
                <w:color w:val="FFFFFF"/>
              </w:rPr>
              <w:t>Invested</w:t>
            </w:r>
          </w:p>
        </w:tc>
        <w:tc>
          <w:tcPr>
            <w:tcW w:w="680" w:type="dxa"/>
            <w:vAlign w:val="bottom"/>
            <w:vMerge w:val="continue"/>
            <w:shd w:val="clear" w:color="auto" w:fill="1764AC"/>
          </w:tcPr>
          <w:p>
            <w:pPr>
              <w:spacing w:after="0"/>
              <w:rPr>
                <w:sz w:val="7"/>
                <w:szCs w:val="7"/>
                <w:color w:val="auto"/>
              </w:rPr>
            </w:pPr>
          </w:p>
        </w:tc>
        <w:tc>
          <w:tcPr>
            <w:tcW w:w="640" w:type="dxa"/>
            <w:vAlign w:val="bottom"/>
            <w:shd w:val="clear" w:color="auto" w:fill="1764AC"/>
          </w:tcPr>
          <w:p>
            <w:pPr>
              <w:jc w:val="center"/>
              <w:spacing w:after="0" w:line="87" w:lineRule="exact"/>
              <w:rPr>
                <w:sz w:val="20"/>
                <w:szCs w:val="20"/>
                <w:color w:val="auto"/>
              </w:rPr>
            </w:pPr>
            <w:r>
              <w:rPr>
                <w:rFonts w:ascii="Arial" w:cs="Arial" w:eastAsia="Arial" w:hAnsi="Arial"/>
                <w:sz w:val="10"/>
                <w:szCs w:val="10"/>
                <w:color w:val="FFFFFF"/>
              </w:rPr>
              <w:t>Invested</w:t>
            </w:r>
          </w:p>
        </w:tc>
        <w:tc>
          <w:tcPr>
            <w:tcW w:w="660" w:type="dxa"/>
            <w:vAlign w:val="bottom"/>
            <w:vMerge w:val="continue"/>
            <w:shd w:val="clear" w:color="auto" w:fill="1764AC"/>
          </w:tcPr>
          <w:p>
            <w:pPr>
              <w:spacing w:after="0"/>
              <w:rPr>
                <w:sz w:val="7"/>
                <w:szCs w:val="7"/>
                <w:color w:val="auto"/>
              </w:rPr>
            </w:pPr>
          </w:p>
        </w:tc>
        <w:tc>
          <w:tcPr>
            <w:tcW w:w="680" w:type="dxa"/>
            <w:vAlign w:val="bottom"/>
            <w:vMerge w:val="continue"/>
            <w:shd w:val="clear" w:color="auto" w:fill="1764AC"/>
          </w:tcPr>
          <w:p>
            <w:pPr>
              <w:spacing w:after="0"/>
              <w:rPr>
                <w:sz w:val="7"/>
                <w:szCs w:val="7"/>
                <w:color w:val="auto"/>
              </w:rPr>
            </w:pPr>
          </w:p>
        </w:tc>
        <w:tc>
          <w:tcPr>
            <w:tcW w:w="660" w:type="dxa"/>
            <w:vAlign w:val="bottom"/>
            <w:vMerge w:val="continue"/>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16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b w:val="1"/>
                <w:bCs w:val="1"/>
                <w:color w:val="FFFFFF"/>
              </w:rPr>
              <w:t>Projects</w:t>
            </w:r>
          </w:p>
        </w:tc>
        <w:tc>
          <w:tcPr>
            <w:tcW w:w="460" w:type="dxa"/>
            <w:vAlign w:val="bottom"/>
            <w:shd w:val="clear" w:color="auto" w:fill="1764AC"/>
          </w:tcPr>
          <w:p>
            <w:pPr>
              <w:spacing w:after="0"/>
              <w:rPr>
                <w:sz w:val="6"/>
                <w:szCs w:val="6"/>
                <w:color w:val="auto"/>
              </w:rPr>
            </w:pPr>
          </w:p>
        </w:tc>
        <w:tc>
          <w:tcPr>
            <w:tcW w:w="140" w:type="dxa"/>
            <w:vAlign w:val="bottom"/>
            <w:shd w:val="clear" w:color="auto" w:fill="1764AC"/>
          </w:tcPr>
          <w:p>
            <w:pPr>
              <w:spacing w:after="0"/>
              <w:rPr>
                <w:sz w:val="6"/>
                <w:szCs w:val="6"/>
                <w:color w:val="auto"/>
              </w:rPr>
            </w:pPr>
          </w:p>
        </w:tc>
        <w:tc>
          <w:tcPr>
            <w:tcW w:w="660" w:type="dxa"/>
            <w:vAlign w:val="bottom"/>
            <w:shd w:val="clear" w:color="auto" w:fill="1764AC"/>
          </w:tcPr>
          <w:p>
            <w:pPr>
              <w:spacing w:after="0"/>
              <w:rPr>
                <w:sz w:val="6"/>
                <w:szCs w:val="6"/>
                <w:color w:val="auto"/>
              </w:rPr>
            </w:pPr>
          </w:p>
        </w:tc>
        <w:tc>
          <w:tcPr>
            <w:tcW w:w="620" w:type="dxa"/>
            <w:vAlign w:val="bottom"/>
            <w:tcBorders>
              <w:right w:val="single" w:sz="8" w:color="1764AC"/>
            </w:tcBorders>
            <w:shd w:val="clear" w:color="auto" w:fill="1764AC"/>
          </w:tcPr>
          <w:p>
            <w:pPr>
              <w:spacing w:after="0"/>
              <w:rPr>
                <w:sz w:val="6"/>
                <w:szCs w:val="6"/>
                <w:color w:val="auto"/>
              </w:rPr>
            </w:pPr>
          </w:p>
        </w:tc>
        <w:tc>
          <w:tcPr>
            <w:tcW w:w="64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rPr>
              <w:t>Project</w:t>
            </w:r>
          </w:p>
        </w:tc>
        <w:tc>
          <w:tcPr>
            <w:tcW w:w="600" w:type="dxa"/>
            <w:vAlign w:val="bottom"/>
            <w:shd w:val="clear" w:color="auto" w:fill="1764AC"/>
          </w:tcPr>
          <w:p>
            <w:pPr>
              <w:spacing w:after="0"/>
              <w:rPr>
                <w:sz w:val="6"/>
                <w:szCs w:val="6"/>
                <w:color w:val="auto"/>
              </w:rPr>
            </w:pPr>
          </w:p>
        </w:tc>
        <w:tc>
          <w:tcPr>
            <w:tcW w:w="740" w:type="dxa"/>
            <w:vAlign w:val="bottom"/>
            <w:tcBorders>
              <w:right w:val="single" w:sz="8" w:color="1764AC"/>
            </w:tcBorders>
            <w:shd w:val="clear" w:color="auto" w:fill="1764AC"/>
          </w:tcPr>
          <w:p>
            <w:pPr>
              <w:spacing w:after="0"/>
              <w:rPr>
                <w:sz w:val="6"/>
                <w:szCs w:val="6"/>
                <w:color w:val="auto"/>
              </w:rPr>
            </w:pPr>
          </w:p>
        </w:tc>
        <w:tc>
          <w:tcPr>
            <w:tcW w:w="660" w:type="dxa"/>
            <w:vAlign w:val="bottom"/>
            <w:vMerge w:val="continue"/>
            <w:shd w:val="clear" w:color="auto" w:fill="1764AC"/>
          </w:tcPr>
          <w:p>
            <w:pPr>
              <w:spacing w:after="0"/>
              <w:rPr>
                <w:sz w:val="6"/>
                <w:szCs w:val="6"/>
                <w:color w:val="auto"/>
              </w:rPr>
            </w:pP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Cost net of</w:t>
            </w:r>
          </w:p>
        </w:tc>
        <w:tc>
          <w:tcPr>
            <w:tcW w:w="64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7"/>
              </w:rPr>
              <w:t>as of June</w:t>
            </w: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Required</w:t>
            </w:r>
          </w:p>
        </w:tc>
        <w:tc>
          <w:tcPr>
            <w:tcW w:w="64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7"/>
              </w:rPr>
              <w:t>as of June</w:t>
            </w:r>
          </w:p>
        </w:tc>
        <w:tc>
          <w:tcPr>
            <w:tcW w:w="660" w:type="dxa"/>
            <w:vAlign w:val="bottom"/>
            <w:vMerge w:val="restart"/>
            <w:shd w:val="clear" w:color="auto" w:fill="1764AC"/>
          </w:tcPr>
          <w:p>
            <w:pPr>
              <w:jc w:val="right"/>
              <w:ind w:right="20"/>
              <w:spacing w:after="0"/>
              <w:rPr>
                <w:sz w:val="20"/>
                <w:szCs w:val="20"/>
                <w:color w:val="auto"/>
              </w:rPr>
            </w:pPr>
            <w:r>
              <w:rPr>
                <w:rFonts w:ascii="Arial" w:cs="Arial" w:eastAsia="Arial" w:hAnsi="Arial"/>
                <w:sz w:val="12"/>
                <w:szCs w:val="12"/>
                <w:color w:val="FFFFFF"/>
              </w:rPr>
              <w:t>Full Year</w:t>
            </w: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Full Year</w:t>
            </w: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0"/>
              </w:rPr>
              <w:t>%*</w:t>
            </w:r>
          </w:p>
        </w:tc>
        <w:tc>
          <w:tcPr>
            <w:tcW w:w="0" w:type="dxa"/>
            <w:vAlign w:val="bottom"/>
          </w:tcPr>
          <w:p>
            <w:pPr>
              <w:spacing w:after="0"/>
              <w:rPr>
                <w:sz w:val="1"/>
                <w:szCs w:val="1"/>
                <w:color w:val="auto"/>
              </w:rPr>
            </w:pPr>
          </w:p>
        </w:tc>
      </w:tr>
      <w:tr>
        <w:trPr>
          <w:trHeight w:val="81"/>
        </w:trPr>
        <w:tc>
          <w:tcPr>
            <w:tcW w:w="2160" w:type="dxa"/>
            <w:vAlign w:val="bottom"/>
            <w:tcBorders>
              <w:right w:val="single" w:sz="8" w:color="1764AC"/>
            </w:tcBorders>
            <w:vMerge w:val="continue"/>
            <w:shd w:val="clear" w:color="auto" w:fill="1764AC"/>
          </w:tcPr>
          <w:p>
            <w:pPr>
              <w:spacing w:after="0"/>
              <w:rPr>
                <w:sz w:val="7"/>
                <w:szCs w:val="7"/>
                <w:color w:val="auto"/>
              </w:rPr>
            </w:pPr>
          </w:p>
        </w:tc>
        <w:tc>
          <w:tcPr>
            <w:tcW w:w="460" w:type="dxa"/>
            <w:vAlign w:val="bottom"/>
            <w:shd w:val="clear" w:color="auto" w:fill="1764AC"/>
          </w:tcPr>
          <w:p>
            <w:pPr>
              <w:spacing w:after="0"/>
              <w:rPr>
                <w:sz w:val="7"/>
                <w:szCs w:val="7"/>
                <w:color w:val="auto"/>
              </w:rPr>
            </w:pPr>
          </w:p>
        </w:tc>
        <w:tc>
          <w:tcPr>
            <w:tcW w:w="140" w:type="dxa"/>
            <w:vAlign w:val="bottom"/>
            <w:shd w:val="clear" w:color="auto" w:fill="1764AC"/>
          </w:tcPr>
          <w:p>
            <w:pPr>
              <w:spacing w:after="0"/>
              <w:rPr>
                <w:sz w:val="7"/>
                <w:szCs w:val="7"/>
                <w:color w:val="auto"/>
              </w:rPr>
            </w:pPr>
          </w:p>
        </w:tc>
        <w:tc>
          <w:tcPr>
            <w:tcW w:w="660" w:type="dxa"/>
            <w:vAlign w:val="bottom"/>
            <w:shd w:val="clear" w:color="auto" w:fill="1764AC"/>
          </w:tcPr>
          <w:p>
            <w:pPr>
              <w:spacing w:after="0"/>
              <w:rPr>
                <w:sz w:val="7"/>
                <w:szCs w:val="7"/>
                <w:color w:val="auto"/>
              </w:rPr>
            </w:pPr>
          </w:p>
        </w:tc>
        <w:tc>
          <w:tcPr>
            <w:tcW w:w="620" w:type="dxa"/>
            <w:vAlign w:val="bottom"/>
            <w:tcBorders>
              <w:right w:val="single" w:sz="8" w:color="1764AC"/>
            </w:tcBorders>
            <w:shd w:val="clear" w:color="auto" w:fill="1764AC"/>
          </w:tcPr>
          <w:p>
            <w:pPr>
              <w:spacing w:after="0"/>
              <w:rPr>
                <w:sz w:val="7"/>
                <w:szCs w:val="7"/>
                <w:color w:val="auto"/>
              </w:rPr>
            </w:pPr>
          </w:p>
        </w:tc>
        <w:tc>
          <w:tcPr>
            <w:tcW w:w="640" w:type="dxa"/>
            <w:vAlign w:val="bottom"/>
            <w:tcBorders>
              <w:right w:val="single" w:sz="8" w:color="1764AC"/>
            </w:tcBorders>
            <w:vMerge w:val="continue"/>
            <w:shd w:val="clear" w:color="auto" w:fill="1764AC"/>
          </w:tcPr>
          <w:p>
            <w:pPr>
              <w:spacing w:after="0"/>
              <w:rPr>
                <w:sz w:val="7"/>
                <w:szCs w:val="7"/>
                <w:color w:val="auto"/>
              </w:rPr>
            </w:pPr>
          </w:p>
        </w:tc>
        <w:tc>
          <w:tcPr>
            <w:tcW w:w="60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Qualifying</w:t>
            </w:r>
          </w:p>
        </w:tc>
        <w:tc>
          <w:tcPr>
            <w:tcW w:w="740" w:type="dxa"/>
            <w:vAlign w:val="bottom"/>
            <w:tcBorders>
              <w:right w:val="single" w:sz="8" w:color="1764AC"/>
            </w:tcBorders>
            <w:shd w:val="clear" w:color="auto" w:fill="1764AC"/>
          </w:tcPr>
          <w:p>
            <w:pPr>
              <w:spacing w:after="0"/>
              <w:rPr>
                <w:sz w:val="7"/>
                <w:szCs w:val="7"/>
                <w:color w:val="auto"/>
              </w:rPr>
            </w:pP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89"/>
              </w:rPr>
              <w:t>Tax</w:t>
            </w:r>
          </w:p>
        </w:tc>
        <w:tc>
          <w:tcPr>
            <w:tcW w:w="660" w:type="dxa"/>
            <w:vAlign w:val="bottom"/>
            <w:vMerge w:val="continue"/>
            <w:shd w:val="clear" w:color="auto" w:fill="1764AC"/>
          </w:tcPr>
          <w:p>
            <w:pPr>
              <w:spacing w:after="0"/>
              <w:rPr>
                <w:sz w:val="7"/>
                <w:szCs w:val="7"/>
                <w:color w:val="auto"/>
              </w:rPr>
            </w:pPr>
          </w:p>
        </w:tc>
        <w:tc>
          <w:tcPr>
            <w:tcW w:w="640" w:type="dxa"/>
            <w:vAlign w:val="bottom"/>
            <w:vMerge w:val="continue"/>
            <w:shd w:val="clear" w:color="auto" w:fill="1764AC"/>
          </w:tcPr>
          <w:p>
            <w:pPr>
              <w:spacing w:after="0"/>
              <w:rPr>
                <w:sz w:val="7"/>
                <w:szCs w:val="7"/>
                <w:color w:val="auto"/>
              </w:rPr>
            </w:pPr>
          </w:p>
        </w:tc>
        <w:tc>
          <w:tcPr>
            <w:tcW w:w="680" w:type="dxa"/>
            <w:vAlign w:val="bottom"/>
            <w:vMerge w:val="continue"/>
            <w:shd w:val="clear" w:color="auto" w:fill="1764AC"/>
          </w:tcPr>
          <w:p>
            <w:pPr>
              <w:spacing w:after="0"/>
              <w:rPr>
                <w:sz w:val="7"/>
                <w:szCs w:val="7"/>
                <w:color w:val="auto"/>
              </w:rPr>
            </w:pPr>
          </w:p>
        </w:tc>
        <w:tc>
          <w:tcPr>
            <w:tcW w:w="640" w:type="dxa"/>
            <w:vAlign w:val="bottom"/>
            <w:vMerge w:val="continue"/>
            <w:shd w:val="clear" w:color="auto" w:fill="1764AC"/>
          </w:tcPr>
          <w:p>
            <w:pPr>
              <w:spacing w:after="0"/>
              <w:rPr>
                <w:sz w:val="7"/>
                <w:szCs w:val="7"/>
                <w:color w:val="auto"/>
              </w:rPr>
            </w:pPr>
          </w:p>
        </w:tc>
        <w:tc>
          <w:tcPr>
            <w:tcW w:w="660" w:type="dxa"/>
            <w:vAlign w:val="bottom"/>
            <w:vMerge w:val="continue"/>
            <w:shd w:val="clear" w:color="auto" w:fill="1764AC"/>
          </w:tcPr>
          <w:p>
            <w:pPr>
              <w:spacing w:after="0"/>
              <w:rPr>
                <w:sz w:val="7"/>
                <w:szCs w:val="7"/>
                <w:color w:val="auto"/>
              </w:rPr>
            </w:pPr>
          </w:p>
        </w:tc>
        <w:tc>
          <w:tcPr>
            <w:tcW w:w="680" w:type="dxa"/>
            <w:vAlign w:val="bottom"/>
            <w:vMerge w:val="continue"/>
            <w:shd w:val="clear" w:color="auto" w:fill="1764AC"/>
          </w:tcPr>
          <w:p>
            <w:pPr>
              <w:spacing w:after="0"/>
              <w:rPr>
                <w:sz w:val="7"/>
                <w:szCs w:val="7"/>
                <w:color w:val="auto"/>
              </w:rPr>
            </w:pPr>
          </w:p>
        </w:tc>
        <w:tc>
          <w:tcPr>
            <w:tcW w:w="660" w:type="dxa"/>
            <w:vAlign w:val="bottom"/>
            <w:vMerge w:val="continue"/>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160" w:type="dxa"/>
            <w:vAlign w:val="bottom"/>
            <w:tcBorders>
              <w:right w:val="single" w:sz="8" w:color="1764AC"/>
            </w:tcBorders>
            <w:shd w:val="clear" w:color="auto" w:fill="1764AC"/>
          </w:tcPr>
          <w:p>
            <w:pPr>
              <w:spacing w:after="0"/>
              <w:rPr>
                <w:sz w:val="5"/>
                <w:szCs w:val="5"/>
                <w:color w:val="auto"/>
              </w:rPr>
            </w:pPr>
          </w:p>
        </w:tc>
        <w:tc>
          <w:tcPr>
            <w:tcW w:w="460" w:type="dxa"/>
            <w:vAlign w:val="bottom"/>
            <w:vMerge w:val="restart"/>
            <w:shd w:val="clear" w:color="auto" w:fill="1764AC"/>
          </w:tcPr>
          <w:p>
            <w:pPr>
              <w:jc w:val="center"/>
              <w:ind w:left="60"/>
              <w:spacing w:after="0"/>
              <w:rPr>
                <w:sz w:val="20"/>
                <w:szCs w:val="20"/>
                <w:color w:val="auto"/>
              </w:rPr>
            </w:pPr>
            <w:r>
              <w:rPr>
                <w:rFonts w:ascii="Arial" w:cs="Arial" w:eastAsia="Arial" w:hAnsi="Arial"/>
                <w:sz w:val="12"/>
                <w:szCs w:val="12"/>
                <w:b w:val="1"/>
                <w:bCs w:val="1"/>
                <w:color w:val="FFFFFF"/>
                <w:w w:val="97"/>
              </w:rPr>
              <w:t>2026</w:t>
            </w:r>
          </w:p>
        </w:tc>
        <w:tc>
          <w:tcPr>
            <w:tcW w:w="800" w:type="dxa"/>
            <w:vAlign w:val="bottom"/>
            <w:gridSpan w:val="2"/>
            <w:vMerge w:val="restart"/>
            <w:shd w:val="clear" w:color="auto" w:fill="1764AC"/>
          </w:tcPr>
          <w:p>
            <w:pPr>
              <w:jc w:val="center"/>
              <w:ind w:left="40"/>
              <w:spacing w:after="0"/>
              <w:rPr>
                <w:sz w:val="20"/>
                <w:szCs w:val="20"/>
                <w:color w:val="auto"/>
              </w:rPr>
            </w:pPr>
            <w:r>
              <w:rPr>
                <w:rFonts w:ascii="Arial" w:cs="Arial" w:eastAsia="Arial" w:hAnsi="Arial"/>
                <w:sz w:val="12"/>
                <w:szCs w:val="12"/>
                <w:b w:val="1"/>
                <w:bCs w:val="1"/>
                <w:color w:val="FFFFFF"/>
                <w:w w:val="97"/>
              </w:rPr>
              <w:t>2027</w:t>
            </w:r>
          </w:p>
        </w:tc>
        <w:tc>
          <w:tcPr>
            <w:tcW w:w="62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b w:val="1"/>
                <w:bCs w:val="1"/>
                <w:color w:val="FFFFFF"/>
                <w:w w:val="97"/>
              </w:rPr>
              <w:t>2028</w:t>
            </w:r>
          </w:p>
        </w:tc>
        <w:tc>
          <w:tcPr>
            <w:tcW w:w="64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rPr>
              <w:t>Cost</w:t>
            </w:r>
          </w:p>
        </w:tc>
        <w:tc>
          <w:tcPr>
            <w:tcW w:w="600" w:type="dxa"/>
            <w:vAlign w:val="bottom"/>
            <w:vMerge w:val="continue"/>
            <w:shd w:val="clear" w:color="auto" w:fill="1764AC"/>
          </w:tcPr>
          <w:p>
            <w:pPr>
              <w:spacing w:after="0"/>
              <w:rPr>
                <w:sz w:val="5"/>
                <w:szCs w:val="5"/>
                <w:color w:val="auto"/>
              </w:rPr>
            </w:pPr>
          </w:p>
        </w:tc>
        <w:tc>
          <w:tcPr>
            <w:tcW w:w="740" w:type="dxa"/>
            <w:vAlign w:val="bottom"/>
            <w:tcBorders>
              <w:right w:val="single" w:sz="8" w:color="1764AC"/>
            </w:tcBorders>
            <w:vMerge w:val="restart"/>
            <w:shd w:val="clear" w:color="auto" w:fill="1764AC"/>
          </w:tcPr>
          <w:p>
            <w:pPr>
              <w:jc w:val="center"/>
              <w:spacing w:after="0"/>
              <w:rPr>
                <w:sz w:val="20"/>
                <w:szCs w:val="20"/>
                <w:color w:val="auto"/>
              </w:rPr>
            </w:pPr>
            <w:r>
              <w:rPr>
                <w:rFonts w:ascii="Arial" w:cs="Arial" w:eastAsia="Arial" w:hAnsi="Arial"/>
                <w:sz w:val="12"/>
                <w:szCs w:val="12"/>
                <w:color w:val="FFFFFF"/>
              </w:rPr>
              <w:t>Adders*****</w:t>
            </w:r>
          </w:p>
        </w:tc>
        <w:tc>
          <w:tcPr>
            <w:tcW w:w="660" w:type="dxa"/>
            <w:vAlign w:val="bottom"/>
            <w:vMerge w:val="continue"/>
            <w:shd w:val="clear" w:color="auto" w:fill="1764AC"/>
          </w:tcPr>
          <w:p>
            <w:pPr>
              <w:spacing w:after="0"/>
              <w:rPr>
                <w:sz w:val="5"/>
                <w:szCs w:val="5"/>
                <w:color w:val="auto"/>
              </w:rPr>
            </w:pPr>
          </w:p>
        </w:tc>
        <w:tc>
          <w:tcPr>
            <w:tcW w:w="66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7"/>
              </w:rPr>
              <w:t>tax benefit</w:t>
            </w:r>
          </w:p>
        </w:tc>
        <w:tc>
          <w:tcPr>
            <w:tcW w:w="64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30, 2025</w:t>
            </w: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rPr>
              <w:t>(%)</w:t>
            </w:r>
          </w:p>
        </w:tc>
        <w:tc>
          <w:tcPr>
            <w:tcW w:w="64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30, 2025</w:t>
            </w:r>
          </w:p>
        </w:tc>
        <w:tc>
          <w:tcPr>
            <w:tcW w:w="660" w:type="dxa"/>
            <w:vAlign w:val="bottom"/>
            <w:vMerge w:val="restart"/>
            <w:shd w:val="clear" w:color="auto" w:fill="1764AC"/>
          </w:tcPr>
          <w:p>
            <w:pPr>
              <w:jc w:val="right"/>
              <w:ind w:right="20"/>
              <w:spacing w:after="0"/>
              <w:rPr>
                <w:sz w:val="20"/>
                <w:szCs w:val="20"/>
                <w:color w:val="auto"/>
              </w:rPr>
            </w:pPr>
            <w:r>
              <w:rPr>
                <w:rFonts w:ascii="Arial" w:cs="Arial" w:eastAsia="Arial" w:hAnsi="Arial"/>
                <w:sz w:val="12"/>
                <w:szCs w:val="12"/>
                <w:color w:val="FFFFFF"/>
              </w:rPr>
              <w:t>Revenue</w:t>
            </w:r>
          </w:p>
        </w:tc>
        <w:tc>
          <w:tcPr>
            <w:tcW w:w="680" w:type="dxa"/>
            <w:vAlign w:val="bottom"/>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EBITDA****</w:t>
            </w:r>
          </w:p>
        </w:tc>
        <w:tc>
          <w:tcPr>
            <w:tcW w:w="660" w:type="dxa"/>
            <w:vAlign w:val="bottom"/>
            <w:shd w:val="clear" w:color="auto" w:fill="1764AC"/>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160" w:type="dxa"/>
            <w:vAlign w:val="bottom"/>
            <w:tcBorders>
              <w:right w:val="single" w:sz="8" w:color="1764AC"/>
            </w:tcBorders>
            <w:shd w:val="clear" w:color="auto" w:fill="1764AC"/>
          </w:tcPr>
          <w:p>
            <w:pPr>
              <w:spacing w:after="0"/>
              <w:rPr>
                <w:sz w:val="10"/>
                <w:szCs w:val="10"/>
                <w:color w:val="auto"/>
              </w:rPr>
            </w:pPr>
          </w:p>
        </w:tc>
        <w:tc>
          <w:tcPr>
            <w:tcW w:w="460" w:type="dxa"/>
            <w:vAlign w:val="bottom"/>
            <w:vMerge w:val="continue"/>
            <w:shd w:val="clear" w:color="auto" w:fill="1764AC"/>
          </w:tcPr>
          <w:p>
            <w:pPr>
              <w:spacing w:after="0"/>
              <w:rPr>
                <w:sz w:val="10"/>
                <w:szCs w:val="10"/>
                <w:color w:val="auto"/>
              </w:rPr>
            </w:pPr>
          </w:p>
        </w:tc>
        <w:tc>
          <w:tcPr>
            <w:tcW w:w="800" w:type="dxa"/>
            <w:vAlign w:val="bottom"/>
            <w:gridSpan w:val="2"/>
            <w:vMerge w:val="continue"/>
            <w:shd w:val="clear" w:color="auto" w:fill="1764AC"/>
          </w:tcPr>
          <w:p>
            <w:pPr>
              <w:spacing w:after="0"/>
              <w:rPr>
                <w:sz w:val="10"/>
                <w:szCs w:val="10"/>
                <w:color w:val="auto"/>
              </w:rPr>
            </w:pPr>
          </w:p>
        </w:tc>
        <w:tc>
          <w:tcPr>
            <w:tcW w:w="620" w:type="dxa"/>
            <w:vAlign w:val="bottom"/>
            <w:tcBorders>
              <w:right w:val="single" w:sz="8" w:color="1764AC"/>
            </w:tcBorders>
            <w:vMerge w:val="continue"/>
            <w:shd w:val="clear" w:color="auto" w:fill="1764AC"/>
          </w:tcPr>
          <w:p>
            <w:pPr>
              <w:spacing w:after="0"/>
              <w:rPr>
                <w:sz w:val="10"/>
                <w:szCs w:val="10"/>
                <w:color w:val="auto"/>
              </w:rPr>
            </w:pPr>
          </w:p>
        </w:tc>
        <w:tc>
          <w:tcPr>
            <w:tcW w:w="640" w:type="dxa"/>
            <w:vAlign w:val="bottom"/>
            <w:tcBorders>
              <w:right w:val="single" w:sz="8" w:color="1764AC"/>
            </w:tcBorders>
            <w:vMerge w:val="continue"/>
            <w:shd w:val="clear" w:color="auto" w:fill="1764AC"/>
          </w:tcPr>
          <w:p>
            <w:pPr>
              <w:spacing w:after="0"/>
              <w:rPr>
                <w:sz w:val="10"/>
                <w:szCs w:val="10"/>
                <w:color w:val="auto"/>
              </w:rPr>
            </w:pPr>
          </w:p>
        </w:tc>
        <w:tc>
          <w:tcPr>
            <w:tcW w:w="600" w:type="dxa"/>
            <w:vAlign w:val="bottom"/>
            <w:vMerge w:val="continue"/>
            <w:shd w:val="clear" w:color="auto" w:fill="1764AC"/>
          </w:tcPr>
          <w:p>
            <w:pPr>
              <w:spacing w:after="0"/>
              <w:rPr>
                <w:sz w:val="10"/>
                <w:szCs w:val="10"/>
                <w:color w:val="auto"/>
              </w:rPr>
            </w:pPr>
          </w:p>
        </w:tc>
        <w:tc>
          <w:tcPr>
            <w:tcW w:w="740" w:type="dxa"/>
            <w:vAlign w:val="bottom"/>
            <w:tcBorders>
              <w:right w:val="single" w:sz="8" w:color="1764AC"/>
            </w:tcBorders>
            <w:vMerge w:val="continue"/>
            <w:shd w:val="clear" w:color="auto" w:fill="1764AC"/>
          </w:tcPr>
          <w:p>
            <w:pPr>
              <w:spacing w:after="0"/>
              <w:rPr>
                <w:sz w:val="10"/>
                <w:szCs w:val="10"/>
                <w:color w:val="auto"/>
              </w:rPr>
            </w:pPr>
          </w:p>
        </w:tc>
        <w:tc>
          <w:tcPr>
            <w:tcW w:w="660" w:type="dxa"/>
            <w:vAlign w:val="bottom"/>
            <w:shd w:val="clear" w:color="auto" w:fill="1764AC"/>
          </w:tcPr>
          <w:p>
            <w:pPr>
              <w:jc w:val="center"/>
              <w:spacing w:after="0" w:line="121" w:lineRule="exact"/>
              <w:rPr>
                <w:sz w:val="20"/>
                <w:szCs w:val="20"/>
                <w:color w:val="auto"/>
              </w:rPr>
            </w:pPr>
            <w:r>
              <w:rPr>
                <w:rFonts w:ascii="Arial" w:cs="Arial" w:eastAsia="Arial" w:hAnsi="Arial"/>
                <w:sz w:val="12"/>
                <w:szCs w:val="12"/>
                <w:color w:val="FFFFFF"/>
                <w:w w:val="97"/>
              </w:rPr>
              <w:t>Benefit***</w:t>
            </w:r>
          </w:p>
        </w:tc>
        <w:tc>
          <w:tcPr>
            <w:tcW w:w="660" w:type="dxa"/>
            <w:vAlign w:val="bottom"/>
            <w:vMerge w:val="continue"/>
            <w:shd w:val="clear" w:color="auto" w:fill="1764AC"/>
          </w:tcPr>
          <w:p>
            <w:pPr>
              <w:spacing w:after="0"/>
              <w:rPr>
                <w:sz w:val="10"/>
                <w:szCs w:val="10"/>
                <w:color w:val="auto"/>
              </w:rPr>
            </w:pPr>
          </w:p>
        </w:tc>
        <w:tc>
          <w:tcPr>
            <w:tcW w:w="640" w:type="dxa"/>
            <w:vAlign w:val="bottom"/>
            <w:vMerge w:val="continue"/>
            <w:shd w:val="clear" w:color="auto" w:fill="1764AC"/>
          </w:tcPr>
          <w:p>
            <w:pPr>
              <w:spacing w:after="0"/>
              <w:rPr>
                <w:sz w:val="10"/>
                <w:szCs w:val="10"/>
                <w:color w:val="auto"/>
              </w:rPr>
            </w:pPr>
          </w:p>
        </w:tc>
        <w:tc>
          <w:tcPr>
            <w:tcW w:w="680" w:type="dxa"/>
            <w:vAlign w:val="bottom"/>
            <w:vMerge w:val="continue"/>
            <w:shd w:val="clear" w:color="auto" w:fill="1764AC"/>
          </w:tcPr>
          <w:p>
            <w:pPr>
              <w:spacing w:after="0"/>
              <w:rPr>
                <w:sz w:val="10"/>
                <w:szCs w:val="10"/>
                <w:color w:val="auto"/>
              </w:rPr>
            </w:pPr>
          </w:p>
        </w:tc>
        <w:tc>
          <w:tcPr>
            <w:tcW w:w="640" w:type="dxa"/>
            <w:vAlign w:val="bottom"/>
            <w:vMerge w:val="continue"/>
            <w:shd w:val="clear" w:color="auto" w:fill="1764AC"/>
          </w:tcPr>
          <w:p>
            <w:pPr>
              <w:spacing w:after="0"/>
              <w:rPr>
                <w:sz w:val="10"/>
                <w:szCs w:val="10"/>
                <w:color w:val="auto"/>
              </w:rPr>
            </w:pPr>
          </w:p>
        </w:tc>
        <w:tc>
          <w:tcPr>
            <w:tcW w:w="660" w:type="dxa"/>
            <w:vAlign w:val="bottom"/>
            <w:vMerge w:val="continue"/>
            <w:shd w:val="clear" w:color="auto" w:fill="1764AC"/>
          </w:tcPr>
          <w:p>
            <w:pPr>
              <w:spacing w:after="0"/>
              <w:rPr>
                <w:sz w:val="10"/>
                <w:szCs w:val="10"/>
                <w:color w:val="auto"/>
              </w:rPr>
            </w:pPr>
          </w:p>
        </w:tc>
        <w:tc>
          <w:tcPr>
            <w:tcW w:w="680" w:type="dxa"/>
            <w:vAlign w:val="bottom"/>
            <w:vMerge w:val="continue"/>
            <w:shd w:val="clear" w:color="auto" w:fill="1764AC"/>
          </w:tcPr>
          <w:p>
            <w:pPr>
              <w:spacing w:after="0"/>
              <w:rPr>
                <w:sz w:val="10"/>
                <w:szCs w:val="10"/>
                <w:color w:val="auto"/>
              </w:rPr>
            </w:pPr>
          </w:p>
        </w:tc>
        <w:tc>
          <w:tcPr>
            <w:tcW w:w="660" w:type="dxa"/>
            <w:vAlign w:val="bottom"/>
            <w:shd w:val="clear" w:color="auto" w:fill="1764AC"/>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160" w:type="dxa"/>
            <w:vAlign w:val="bottom"/>
            <w:tcBorders>
              <w:bottom w:val="single" w:sz="8" w:color="1764AC"/>
              <w:right w:val="single" w:sz="8" w:color="1764AC"/>
            </w:tcBorders>
            <w:shd w:val="clear" w:color="auto" w:fill="1764AC"/>
          </w:tcPr>
          <w:p>
            <w:pPr>
              <w:spacing w:after="0"/>
              <w:rPr>
                <w:sz w:val="14"/>
                <w:szCs w:val="14"/>
                <w:color w:val="auto"/>
              </w:rPr>
            </w:pPr>
          </w:p>
        </w:tc>
        <w:tc>
          <w:tcPr>
            <w:tcW w:w="460" w:type="dxa"/>
            <w:vAlign w:val="bottom"/>
            <w:tcBorders>
              <w:bottom w:val="single" w:sz="8" w:color="auto"/>
            </w:tcBorders>
            <w:shd w:val="clear" w:color="auto" w:fill="1764AC"/>
          </w:tcPr>
          <w:p>
            <w:pPr>
              <w:spacing w:after="0"/>
              <w:rPr>
                <w:sz w:val="14"/>
                <w:szCs w:val="14"/>
                <w:color w:val="auto"/>
              </w:rPr>
            </w:pPr>
          </w:p>
        </w:tc>
        <w:tc>
          <w:tcPr>
            <w:tcW w:w="140" w:type="dxa"/>
            <w:vAlign w:val="bottom"/>
            <w:tcBorders>
              <w:bottom w:val="single" w:sz="8" w:color="auto"/>
            </w:tcBorders>
            <w:shd w:val="clear" w:color="auto" w:fill="1764AC"/>
          </w:tcPr>
          <w:p>
            <w:pPr>
              <w:spacing w:after="0"/>
              <w:rPr>
                <w:sz w:val="14"/>
                <w:szCs w:val="14"/>
                <w:color w:val="auto"/>
              </w:rPr>
            </w:pPr>
          </w:p>
        </w:tc>
        <w:tc>
          <w:tcPr>
            <w:tcW w:w="660" w:type="dxa"/>
            <w:vAlign w:val="bottom"/>
            <w:tcBorders>
              <w:bottom w:val="single" w:sz="8" w:color="1764AC"/>
            </w:tcBorders>
            <w:shd w:val="clear" w:color="auto" w:fill="1764AC"/>
          </w:tcPr>
          <w:p>
            <w:pPr>
              <w:spacing w:after="0"/>
              <w:rPr>
                <w:sz w:val="14"/>
                <w:szCs w:val="14"/>
                <w:color w:val="auto"/>
              </w:rPr>
            </w:pPr>
          </w:p>
        </w:tc>
        <w:tc>
          <w:tcPr>
            <w:tcW w:w="620" w:type="dxa"/>
            <w:vAlign w:val="bottom"/>
            <w:tcBorders>
              <w:bottom w:val="single" w:sz="8" w:color="1764AC"/>
              <w:right w:val="single" w:sz="8" w:color="1764AC"/>
            </w:tcBorders>
            <w:shd w:val="clear" w:color="auto" w:fill="1764AC"/>
          </w:tcPr>
          <w:p>
            <w:pPr>
              <w:spacing w:after="0"/>
              <w:rPr>
                <w:sz w:val="14"/>
                <w:szCs w:val="14"/>
                <w:color w:val="auto"/>
              </w:rPr>
            </w:pPr>
          </w:p>
        </w:tc>
        <w:tc>
          <w:tcPr>
            <w:tcW w:w="640" w:type="dxa"/>
            <w:vAlign w:val="bottom"/>
            <w:tcBorders>
              <w:bottom w:val="single" w:sz="8" w:color="1764AC"/>
              <w:right w:val="single" w:sz="8" w:color="1764AC"/>
            </w:tcBorders>
            <w:shd w:val="clear" w:color="auto" w:fill="1764AC"/>
          </w:tcPr>
          <w:p>
            <w:pPr>
              <w:spacing w:after="0"/>
              <w:rPr>
                <w:sz w:val="14"/>
                <w:szCs w:val="14"/>
                <w:color w:val="auto"/>
              </w:rPr>
            </w:pPr>
          </w:p>
        </w:tc>
        <w:tc>
          <w:tcPr>
            <w:tcW w:w="600" w:type="dxa"/>
            <w:vAlign w:val="bottom"/>
            <w:tcBorders>
              <w:bottom w:val="single" w:sz="8" w:color="1764AC"/>
            </w:tcBorders>
            <w:shd w:val="clear" w:color="auto" w:fill="1764AC"/>
          </w:tcPr>
          <w:p>
            <w:pPr>
              <w:jc w:val="center"/>
              <w:spacing w:after="0"/>
              <w:rPr>
                <w:sz w:val="20"/>
                <w:szCs w:val="20"/>
                <w:color w:val="auto"/>
              </w:rPr>
            </w:pPr>
            <w:r>
              <w:rPr>
                <w:rFonts w:ascii="Arial" w:cs="Arial" w:eastAsia="Arial" w:hAnsi="Arial"/>
                <w:sz w:val="12"/>
                <w:szCs w:val="12"/>
                <w:color w:val="FFFFFF"/>
              </w:rPr>
              <w:t>Category</w:t>
            </w:r>
          </w:p>
        </w:tc>
        <w:tc>
          <w:tcPr>
            <w:tcW w:w="740" w:type="dxa"/>
            <w:vAlign w:val="bottom"/>
            <w:tcBorders>
              <w:bottom w:val="single" w:sz="8" w:color="1764AC"/>
              <w:right w:val="single" w:sz="8" w:color="1764AC"/>
            </w:tcBorders>
            <w:shd w:val="clear" w:color="auto" w:fill="1764AC"/>
          </w:tcPr>
          <w:p>
            <w:pPr>
              <w:spacing w:after="0"/>
              <w:rPr>
                <w:sz w:val="14"/>
                <w:szCs w:val="14"/>
                <w:color w:val="auto"/>
              </w:rPr>
            </w:pPr>
          </w:p>
        </w:tc>
        <w:tc>
          <w:tcPr>
            <w:tcW w:w="660" w:type="dxa"/>
            <w:vAlign w:val="bottom"/>
            <w:tcBorders>
              <w:bottom w:val="single" w:sz="8" w:color="1764AC"/>
            </w:tcBorders>
            <w:shd w:val="clear" w:color="auto" w:fill="1764AC"/>
          </w:tcPr>
          <w:p>
            <w:pPr>
              <w:spacing w:after="0"/>
              <w:rPr>
                <w:sz w:val="14"/>
                <w:szCs w:val="14"/>
                <w:color w:val="auto"/>
              </w:rPr>
            </w:pPr>
          </w:p>
        </w:tc>
        <w:tc>
          <w:tcPr>
            <w:tcW w:w="660" w:type="dxa"/>
            <w:vAlign w:val="bottom"/>
            <w:tcBorders>
              <w:bottom w:val="single" w:sz="8" w:color="1764AC"/>
            </w:tcBorders>
            <w:shd w:val="clear" w:color="auto" w:fill="1764AC"/>
          </w:tcPr>
          <w:p>
            <w:pPr>
              <w:spacing w:after="0"/>
              <w:rPr>
                <w:sz w:val="14"/>
                <w:szCs w:val="14"/>
                <w:color w:val="auto"/>
              </w:rPr>
            </w:pPr>
          </w:p>
        </w:tc>
        <w:tc>
          <w:tcPr>
            <w:tcW w:w="640" w:type="dxa"/>
            <w:vAlign w:val="bottom"/>
            <w:tcBorders>
              <w:bottom w:val="single" w:sz="8" w:color="1764AC"/>
            </w:tcBorders>
            <w:shd w:val="clear" w:color="auto" w:fill="1764AC"/>
          </w:tcPr>
          <w:p>
            <w:pPr>
              <w:spacing w:after="0"/>
              <w:rPr>
                <w:sz w:val="14"/>
                <w:szCs w:val="14"/>
                <w:color w:val="auto"/>
              </w:rPr>
            </w:pPr>
          </w:p>
        </w:tc>
        <w:tc>
          <w:tcPr>
            <w:tcW w:w="680" w:type="dxa"/>
            <w:vAlign w:val="bottom"/>
            <w:tcBorders>
              <w:bottom w:val="single" w:sz="8" w:color="1764AC"/>
            </w:tcBorders>
            <w:shd w:val="clear" w:color="auto" w:fill="1764AC"/>
          </w:tcPr>
          <w:p>
            <w:pPr>
              <w:spacing w:after="0"/>
              <w:rPr>
                <w:sz w:val="14"/>
                <w:szCs w:val="14"/>
                <w:color w:val="auto"/>
              </w:rPr>
            </w:pPr>
          </w:p>
        </w:tc>
        <w:tc>
          <w:tcPr>
            <w:tcW w:w="640" w:type="dxa"/>
            <w:vAlign w:val="bottom"/>
            <w:tcBorders>
              <w:bottom w:val="single" w:sz="8" w:color="1764AC"/>
            </w:tcBorders>
            <w:shd w:val="clear" w:color="auto" w:fill="1764AC"/>
          </w:tcPr>
          <w:p>
            <w:pPr>
              <w:spacing w:after="0"/>
              <w:rPr>
                <w:sz w:val="14"/>
                <w:szCs w:val="14"/>
                <w:color w:val="auto"/>
              </w:rPr>
            </w:pPr>
          </w:p>
        </w:tc>
        <w:tc>
          <w:tcPr>
            <w:tcW w:w="660" w:type="dxa"/>
            <w:vAlign w:val="bottom"/>
            <w:tcBorders>
              <w:bottom w:val="single" w:sz="8" w:color="1764AC"/>
            </w:tcBorders>
            <w:shd w:val="clear" w:color="auto" w:fill="1764AC"/>
          </w:tcPr>
          <w:p>
            <w:pPr>
              <w:spacing w:after="0"/>
              <w:rPr>
                <w:sz w:val="14"/>
                <w:szCs w:val="14"/>
                <w:color w:val="auto"/>
              </w:rPr>
            </w:pPr>
          </w:p>
        </w:tc>
        <w:tc>
          <w:tcPr>
            <w:tcW w:w="680" w:type="dxa"/>
            <w:vAlign w:val="bottom"/>
            <w:tcBorders>
              <w:bottom w:val="single" w:sz="8" w:color="1764AC"/>
            </w:tcBorders>
            <w:shd w:val="clear" w:color="auto" w:fill="1764AC"/>
          </w:tcPr>
          <w:p>
            <w:pPr>
              <w:spacing w:after="0"/>
              <w:rPr>
                <w:sz w:val="14"/>
                <w:szCs w:val="14"/>
                <w:color w:val="auto"/>
              </w:rPr>
            </w:pPr>
          </w:p>
        </w:tc>
        <w:tc>
          <w:tcPr>
            <w:tcW w:w="660" w:type="dxa"/>
            <w:vAlign w:val="bottom"/>
            <w:tcBorders>
              <w:bottom w:val="single" w:sz="8" w:color="1764AC"/>
            </w:tcBorders>
            <w:shd w:val="clear" w:color="auto" w:fill="1764A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United States</w:t>
            </w:r>
          </w:p>
        </w:tc>
        <w:tc>
          <w:tcPr>
            <w:tcW w:w="460" w:type="dxa"/>
            <w:vAlign w:val="bottom"/>
            <w:tcBorders>
              <w:top w:val="single" w:sz="8" w:color="auto"/>
            </w:tcBorders>
            <w:vMerge w:val="restart"/>
          </w:tcPr>
          <w:p>
            <w:pPr>
              <w:jc w:val="center"/>
              <w:ind w:left="40"/>
              <w:spacing w:after="0"/>
              <w:rPr>
                <w:sz w:val="20"/>
                <w:szCs w:val="20"/>
                <w:color w:val="auto"/>
              </w:rPr>
            </w:pPr>
            <w:r>
              <w:rPr>
                <w:rFonts w:ascii="Arial" w:cs="Arial" w:eastAsia="Arial" w:hAnsi="Arial"/>
                <w:sz w:val="12"/>
                <w:szCs w:val="12"/>
                <w:color w:val="auto"/>
                <w:w w:val="98"/>
              </w:rPr>
              <w:t>-</w:t>
            </w:r>
          </w:p>
        </w:tc>
        <w:tc>
          <w:tcPr>
            <w:tcW w:w="140" w:type="dxa"/>
            <w:vAlign w:val="bottom"/>
            <w:tcBorders>
              <w:top w:val="single" w:sz="8" w:color="auto"/>
            </w:tcBorders>
            <w:vMerge w:val="restart"/>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248/400</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453/0</w:t>
            </w:r>
          </w:p>
        </w:tc>
        <w:tc>
          <w:tcPr>
            <w:tcW w:w="6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color w:val="auto"/>
                <w:w w:val="99"/>
              </w:rPr>
              <w:t>1,214-</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92"/>
              </w:rPr>
              <w:t>ITC</w:t>
            </w:r>
          </w:p>
        </w:tc>
        <w:tc>
          <w:tcPr>
            <w:tcW w:w="7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color w:val="auto"/>
                <w:w w:val="99"/>
              </w:rPr>
              <w:t>DC (10%) &amp;</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9"/>
              </w:rPr>
              <w:t>555-583</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9"/>
              </w:rPr>
              <w:t>659-693</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45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6"/>
              </w:rPr>
              <w:t>6%-16%</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45</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93-98</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73-77</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7"/>
              </w:rPr>
              <w:t>100%</w:t>
            </w:r>
          </w:p>
        </w:tc>
        <w:tc>
          <w:tcPr>
            <w:tcW w:w="0" w:type="dxa"/>
            <w:vAlign w:val="bottom"/>
          </w:tcPr>
          <w:p>
            <w:pPr>
              <w:spacing w:after="0"/>
              <w:rPr>
                <w:sz w:val="1"/>
                <w:szCs w:val="1"/>
                <w:color w:val="auto"/>
              </w:rPr>
            </w:pPr>
          </w:p>
        </w:tc>
      </w:tr>
      <w:tr>
        <w:trPr>
          <w:trHeight w:val="78"/>
        </w:trPr>
        <w:tc>
          <w:tcPr>
            <w:tcW w:w="2160" w:type="dxa"/>
            <w:vAlign w:val="bottom"/>
            <w:tcBorders>
              <w:right w:val="single" w:sz="8" w:color="auto"/>
            </w:tcBorders>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Borders>
              <w:right w:val="single" w:sz="8" w:color="auto"/>
            </w:tcBorders>
            <w:vMerge w:val="continue"/>
          </w:tcPr>
          <w:p>
            <w:pPr>
              <w:spacing w:after="0"/>
              <w:rPr>
                <w:sz w:val="6"/>
                <w:szCs w:val="6"/>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1,276</w:t>
            </w:r>
          </w:p>
        </w:tc>
        <w:tc>
          <w:tcPr>
            <w:tcW w:w="600" w:type="dxa"/>
            <w:vAlign w:val="bottom"/>
            <w:vMerge w:val="continue"/>
          </w:tcPr>
          <w:p>
            <w:pPr>
              <w:spacing w:after="0"/>
              <w:rPr>
                <w:sz w:val="6"/>
                <w:szCs w:val="6"/>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EC (10%)**</w:t>
            </w:r>
          </w:p>
        </w:tc>
        <w:tc>
          <w:tcPr>
            <w:tcW w:w="6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16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1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Europe</w:t>
            </w:r>
          </w:p>
        </w:tc>
        <w:tc>
          <w:tcPr>
            <w:tcW w:w="460" w:type="dxa"/>
            <w:vAlign w:val="bottom"/>
          </w:tcPr>
          <w:p>
            <w:pPr>
              <w:jc w:val="center"/>
              <w:ind w:left="40"/>
              <w:spacing w:after="0"/>
              <w:rPr>
                <w:sz w:val="20"/>
                <w:szCs w:val="20"/>
                <w:color w:val="auto"/>
              </w:rPr>
            </w:pPr>
            <w:r>
              <w:rPr>
                <w:rFonts w:ascii="Arial" w:cs="Arial" w:eastAsia="Arial" w:hAnsi="Arial"/>
                <w:sz w:val="12"/>
                <w:szCs w:val="12"/>
                <w:color w:val="auto"/>
                <w:w w:val="98"/>
              </w:rPr>
              <w:t>-</w:t>
            </w:r>
          </w:p>
        </w:tc>
        <w:tc>
          <w:tcPr>
            <w:tcW w:w="800" w:type="dxa"/>
            <w:vAlign w:val="bottom"/>
            <w:gridSpan w:val="2"/>
          </w:tcPr>
          <w:p>
            <w:pPr>
              <w:jc w:val="center"/>
              <w:ind w:left="40"/>
              <w:spacing w:after="0"/>
              <w:rPr>
                <w:sz w:val="20"/>
                <w:szCs w:val="20"/>
                <w:color w:val="auto"/>
              </w:rPr>
            </w:pPr>
            <w:r>
              <w:rPr>
                <w:rFonts w:ascii="Arial" w:cs="Arial" w:eastAsia="Arial" w:hAnsi="Arial"/>
                <w:sz w:val="12"/>
                <w:szCs w:val="12"/>
                <w:color w:val="auto"/>
                <w:w w:val="99"/>
              </w:rPr>
              <w:t>0/140</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32-34</w:t>
            </w:r>
          </w:p>
        </w:tc>
        <w:tc>
          <w:tcPr>
            <w:tcW w:w="6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97"/>
              </w:rPr>
              <w:t>32-34</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spacing w:after="0"/>
              <w:rPr>
                <w:sz w:val="20"/>
                <w:szCs w:val="20"/>
                <w:color w:val="auto"/>
              </w:rPr>
            </w:pPr>
            <w:r>
              <w:rPr>
                <w:rFonts w:ascii="Arial" w:cs="Arial" w:eastAsia="Arial" w:hAnsi="Arial"/>
                <w:sz w:val="12"/>
                <w:szCs w:val="12"/>
                <w:color w:val="auto"/>
              </w:rPr>
              <w:t>100%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spacing w:after="0"/>
              <w:rPr>
                <w:sz w:val="20"/>
                <w:szCs w:val="20"/>
                <w:color w:val="auto"/>
              </w:rPr>
            </w:pPr>
            <w:r>
              <w:rPr>
                <w:rFonts w:ascii="Arial" w:cs="Arial" w:eastAsia="Arial" w:hAnsi="Arial"/>
                <w:sz w:val="12"/>
                <w:szCs w:val="12"/>
                <w:color w:val="auto"/>
                <w:w w:val="89"/>
              </w:rPr>
              <w:t>10</w:t>
            </w:r>
          </w:p>
        </w:tc>
        <w:tc>
          <w:tcPr>
            <w:tcW w:w="680" w:type="dxa"/>
            <w:vAlign w:val="bottom"/>
          </w:tcPr>
          <w:p>
            <w:pPr>
              <w:jc w:val="center"/>
              <w:spacing w:after="0"/>
              <w:rPr>
                <w:sz w:val="20"/>
                <w:szCs w:val="20"/>
                <w:color w:val="auto"/>
              </w:rPr>
            </w:pPr>
            <w:r>
              <w:rPr>
                <w:rFonts w:ascii="Arial" w:cs="Arial" w:eastAsia="Arial" w:hAnsi="Arial"/>
                <w:sz w:val="12"/>
                <w:szCs w:val="12"/>
                <w:color w:val="auto"/>
              </w:rPr>
              <w:t>7</w:t>
            </w:r>
          </w:p>
        </w:tc>
        <w:tc>
          <w:tcPr>
            <w:tcW w:w="660" w:type="dxa"/>
            <w:vAlign w:val="bottom"/>
          </w:tcPr>
          <w:p>
            <w:pPr>
              <w:jc w:val="center"/>
              <w:spacing w:after="0"/>
              <w:rPr>
                <w:sz w:val="20"/>
                <w:szCs w:val="20"/>
                <w:color w:val="auto"/>
              </w:rPr>
            </w:pPr>
            <w:r>
              <w:rPr>
                <w:rFonts w:ascii="Arial" w:cs="Arial" w:eastAsia="Arial" w:hAnsi="Arial"/>
                <w:sz w:val="12"/>
                <w:szCs w:val="12"/>
                <w:color w:val="auto"/>
                <w:w w:val="97"/>
              </w:rPr>
              <w:t>100%</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MENA</w:t>
            </w:r>
          </w:p>
        </w:tc>
        <w:tc>
          <w:tcPr>
            <w:tcW w:w="460" w:type="dxa"/>
            <w:vAlign w:val="bottom"/>
          </w:tcPr>
          <w:p>
            <w:pPr>
              <w:jc w:val="center"/>
              <w:ind w:left="60"/>
              <w:spacing w:after="0"/>
              <w:rPr>
                <w:sz w:val="20"/>
                <w:szCs w:val="20"/>
                <w:color w:val="auto"/>
              </w:rPr>
            </w:pPr>
            <w:r>
              <w:rPr>
                <w:rFonts w:ascii="Arial" w:cs="Arial" w:eastAsia="Arial" w:hAnsi="Arial"/>
                <w:sz w:val="12"/>
                <w:szCs w:val="12"/>
                <w:color w:val="auto"/>
                <w:w w:val="99"/>
              </w:rPr>
              <w:t>4/134</w:t>
            </w:r>
          </w:p>
        </w:tc>
        <w:tc>
          <w:tcPr>
            <w:tcW w:w="800" w:type="dxa"/>
            <w:vAlign w:val="bottom"/>
            <w:gridSpan w:val="2"/>
          </w:tcPr>
          <w:p>
            <w:pPr>
              <w:jc w:val="center"/>
              <w:ind w:left="20"/>
              <w:spacing w:after="0"/>
              <w:rPr>
                <w:sz w:val="20"/>
                <w:szCs w:val="20"/>
                <w:color w:val="auto"/>
              </w:rPr>
            </w:pPr>
            <w:r>
              <w:rPr>
                <w:rFonts w:ascii="Arial" w:cs="Arial" w:eastAsia="Arial" w:hAnsi="Arial"/>
                <w:sz w:val="12"/>
                <w:szCs w:val="12"/>
                <w:color w:val="auto"/>
              </w:rPr>
              <w:t>0/72</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38/645</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227-239</w:t>
            </w:r>
          </w:p>
        </w:tc>
        <w:tc>
          <w:tcPr>
            <w:tcW w:w="6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227-239</w:t>
            </w:r>
          </w:p>
        </w:tc>
        <w:tc>
          <w:tcPr>
            <w:tcW w:w="640" w:type="dxa"/>
            <w:vAlign w:val="bottom"/>
          </w:tcPr>
          <w:p>
            <w:pPr>
              <w:jc w:val="center"/>
              <w:spacing w:after="0"/>
              <w:rPr>
                <w:sz w:val="20"/>
                <w:szCs w:val="20"/>
                <w:color w:val="auto"/>
              </w:rPr>
            </w:pPr>
            <w:r>
              <w:rPr>
                <w:rFonts w:ascii="Arial" w:cs="Arial" w:eastAsia="Arial" w:hAnsi="Arial"/>
                <w:sz w:val="12"/>
                <w:szCs w:val="12"/>
                <w:color w:val="auto"/>
              </w:rPr>
              <w:t>11</w:t>
            </w: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20%-30%</w:t>
            </w:r>
          </w:p>
        </w:tc>
        <w:tc>
          <w:tcPr>
            <w:tcW w:w="640" w:type="dxa"/>
            <w:vAlign w:val="bottom"/>
          </w:tcPr>
          <w:p>
            <w:pPr>
              <w:jc w:val="center"/>
              <w:spacing w:after="0"/>
              <w:rPr>
                <w:sz w:val="20"/>
                <w:szCs w:val="20"/>
                <w:color w:val="auto"/>
              </w:rPr>
            </w:pPr>
            <w:r>
              <w:rPr>
                <w:rFonts w:ascii="Arial" w:cs="Arial" w:eastAsia="Arial" w:hAnsi="Arial"/>
                <w:sz w:val="12"/>
                <w:szCs w:val="12"/>
                <w:color w:val="auto"/>
              </w:rPr>
              <w:t>11</w:t>
            </w:r>
          </w:p>
        </w:tc>
        <w:tc>
          <w:tcPr>
            <w:tcW w:w="660" w:type="dxa"/>
            <w:vAlign w:val="bottom"/>
          </w:tcPr>
          <w:p>
            <w:pPr>
              <w:jc w:val="center"/>
              <w:spacing w:after="0"/>
              <w:rPr>
                <w:sz w:val="20"/>
                <w:szCs w:val="20"/>
                <w:color w:val="auto"/>
              </w:rPr>
            </w:pPr>
            <w:r>
              <w:rPr>
                <w:rFonts w:ascii="Arial" w:cs="Arial" w:eastAsia="Arial" w:hAnsi="Arial"/>
                <w:sz w:val="12"/>
                <w:szCs w:val="12"/>
                <w:color w:val="auto"/>
              </w:rPr>
              <w:t>23-24******</w:t>
            </w:r>
          </w:p>
        </w:tc>
        <w:tc>
          <w:tcPr>
            <w:tcW w:w="680" w:type="dxa"/>
            <w:vAlign w:val="bottom"/>
          </w:tcPr>
          <w:p>
            <w:pPr>
              <w:jc w:val="center"/>
              <w:spacing w:after="0"/>
              <w:rPr>
                <w:sz w:val="20"/>
                <w:szCs w:val="20"/>
                <w:color w:val="auto"/>
              </w:rPr>
            </w:pPr>
            <w:r>
              <w:rPr>
                <w:rFonts w:ascii="Arial" w:cs="Arial" w:eastAsia="Arial" w:hAnsi="Arial"/>
                <w:sz w:val="12"/>
                <w:szCs w:val="12"/>
                <w:color w:val="auto"/>
              </w:rPr>
              <w:t>15-16</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92%</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160" w:type="dxa"/>
            <w:vAlign w:val="bottom"/>
            <w:tcBorders>
              <w:right w:val="single" w:sz="8" w:color="auto"/>
            </w:tcBorders>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Total Consolidated Projects</w:t>
            </w:r>
          </w:p>
        </w:tc>
        <w:tc>
          <w:tcPr>
            <w:tcW w:w="460" w:type="dxa"/>
            <w:vAlign w:val="bottom"/>
            <w:vMerge w:val="restart"/>
            <w:shd w:val="clear" w:color="auto" w:fill="BDD6EE"/>
          </w:tcPr>
          <w:p>
            <w:pPr>
              <w:jc w:val="center"/>
              <w:ind w:left="60"/>
              <w:spacing w:after="0"/>
              <w:rPr>
                <w:sz w:val="20"/>
                <w:szCs w:val="20"/>
                <w:color w:val="auto"/>
              </w:rPr>
            </w:pPr>
            <w:r>
              <w:rPr>
                <w:rFonts w:ascii="Arial" w:cs="Arial" w:eastAsia="Arial" w:hAnsi="Arial"/>
                <w:sz w:val="12"/>
                <w:szCs w:val="12"/>
                <w:b w:val="1"/>
                <w:bCs w:val="1"/>
                <w:color w:val="auto"/>
                <w:w w:val="99"/>
              </w:rPr>
              <w:t>4/134</w:t>
            </w:r>
          </w:p>
        </w:tc>
        <w:tc>
          <w:tcPr>
            <w:tcW w:w="800" w:type="dxa"/>
            <w:vAlign w:val="bottom"/>
            <w:gridSpan w:val="2"/>
            <w:vMerge w:val="restart"/>
            <w:shd w:val="clear" w:color="auto" w:fill="BDD6EE"/>
          </w:tcPr>
          <w:p>
            <w:pPr>
              <w:jc w:val="center"/>
              <w:ind w:left="20"/>
              <w:spacing w:after="0"/>
              <w:rPr>
                <w:sz w:val="20"/>
                <w:szCs w:val="20"/>
                <w:color w:val="auto"/>
              </w:rPr>
            </w:pPr>
            <w:r>
              <w:rPr>
                <w:rFonts w:ascii="Arial" w:cs="Arial" w:eastAsia="Arial" w:hAnsi="Arial"/>
                <w:sz w:val="12"/>
                <w:szCs w:val="12"/>
                <w:b w:val="1"/>
                <w:bCs w:val="1"/>
                <w:color w:val="auto"/>
              </w:rPr>
              <w:t>248/612</w:t>
            </w:r>
          </w:p>
        </w:tc>
        <w:tc>
          <w:tcPr>
            <w:tcW w:w="620" w:type="dxa"/>
            <w:vAlign w:val="bottom"/>
            <w:tcBorders>
              <w:right w:val="single" w:sz="8" w:color="auto"/>
            </w:tcBorders>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rPr>
              <w:t>491/645</w:t>
            </w:r>
          </w:p>
        </w:tc>
        <w:tc>
          <w:tcPr>
            <w:tcW w:w="640" w:type="dxa"/>
            <w:vAlign w:val="bottom"/>
            <w:tcBorders>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1,473-</w:t>
            </w:r>
          </w:p>
        </w:tc>
        <w:tc>
          <w:tcPr>
            <w:tcW w:w="600" w:type="dxa"/>
            <w:vAlign w:val="bottom"/>
            <w:shd w:val="clear" w:color="auto" w:fill="BDD6EE"/>
          </w:tcPr>
          <w:p>
            <w:pPr>
              <w:spacing w:after="0"/>
              <w:rPr>
                <w:sz w:val="14"/>
                <w:szCs w:val="14"/>
                <w:color w:val="auto"/>
              </w:rPr>
            </w:pPr>
          </w:p>
        </w:tc>
        <w:tc>
          <w:tcPr>
            <w:tcW w:w="740" w:type="dxa"/>
            <w:vAlign w:val="bottom"/>
            <w:tcBorders>
              <w:right w:val="single" w:sz="8" w:color="auto"/>
            </w:tcBorders>
            <w:shd w:val="clear" w:color="auto" w:fill="BDD6EE"/>
          </w:tcPr>
          <w:p>
            <w:pPr>
              <w:spacing w:after="0"/>
              <w:rPr>
                <w:sz w:val="14"/>
                <w:szCs w:val="14"/>
                <w:color w:val="auto"/>
              </w:rPr>
            </w:pPr>
          </w:p>
        </w:tc>
        <w:tc>
          <w:tcPr>
            <w:tcW w:w="66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555-583</w:t>
            </w:r>
          </w:p>
        </w:tc>
        <w:tc>
          <w:tcPr>
            <w:tcW w:w="66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918-966</w:t>
            </w:r>
          </w:p>
        </w:tc>
        <w:tc>
          <w:tcPr>
            <w:tcW w:w="64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rPr>
              <w:t>56</w:t>
            </w:r>
          </w:p>
        </w:tc>
        <w:tc>
          <w:tcPr>
            <w:tcW w:w="680" w:type="dxa"/>
            <w:vAlign w:val="bottom"/>
            <w:shd w:val="clear" w:color="auto" w:fill="BDD6EE"/>
          </w:tcPr>
          <w:p>
            <w:pPr>
              <w:spacing w:after="0"/>
              <w:rPr>
                <w:sz w:val="14"/>
                <w:szCs w:val="14"/>
                <w:color w:val="auto"/>
              </w:rPr>
            </w:pPr>
          </w:p>
        </w:tc>
        <w:tc>
          <w:tcPr>
            <w:tcW w:w="64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rPr>
              <w:t>56</w:t>
            </w:r>
          </w:p>
        </w:tc>
        <w:tc>
          <w:tcPr>
            <w:tcW w:w="660" w:type="dxa"/>
            <w:vAlign w:val="bottom"/>
            <w:vMerge w:val="restart"/>
            <w:shd w:val="clear" w:color="auto" w:fill="BDD6EE"/>
          </w:tcPr>
          <w:p>
            <w:pPr>
              <w:jc w:val="right"/>
              <w:ind w:right="20"/>
              <w:spacing w:after="0"/>
              <w:rPr>
                <w:sz w:val="20"/>
                <w:szCs w:val="20"/>
                <w:color w:val="auto"/>
              </w:rPr>
            </w:pPr>
            <w:r>
              <w:rPr>
                <w:rFonts w:ascii="Arial" w:cs="Arial" w:eastAsia="Arial" w:hAnsi="Arial"/>
                <w:sz w:val="12"/>
                <w:szCs w:val="12"/>
                <w:b w:val="1"/>
                <w:bCs w:val="1"/>
                <w:color w:val="auto"/>
              </w:rPr>
              <w:t>126-132</w:t>
            </w:r>
          </w:p>
        </w:tc>
        <w:tc>
          <w:tcPr>
            <w:tcW w:w="6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6"/>
              </w:rPr>
              <w:t>95-100</w:t>
            </w:r>
          </w:p>
        </w:tc>
        <w:tc>
          <w:tcPr>
            <w:tcW w:w="660" w:type="dxa"/>
            <w:vAlign w:val="bottom"/>
            <w:shd w:val="clear" w:color="auto" w:fill="BDD6EE"/>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160" w:type="dxa"/>
            <w:vAlign w:val="bottom"/>
            <w:tcBorders>
              <w:right w:val="single" w:sz="8" w:color="auto"/>
            </w:tcBorders>
            <w:vMerge w:val="continue"/>
            <w:shd w:val="clear" w:color="auto" w:fill="BDD6EE"/>
          </w:tcPr>
          <w:p>
            <w:pPr>
              <w:spacing w:after="0"/>
              <w:rPr>
                <w:sz w:val="7"/>
                <w:szCs w:val="7"/>
                <w:color w:val="auto"/>
              </w:rPr>
            </w:pPr>
          </w:p>
        </w:tc>
        <w:tc>
          <w:tcPr>
            <w:tcW w:w="460" w:type="dxa"/>
            <w:vAlign w:val="bottom"/>
            <w:vMerge w:val="continue"/>
            <w:shd w:val="clear" w:color="auto" w:fill="BDD6EE"/>
          </w:tcPr>
          <w:p>
            <w:pPr>
              <w:spacing w:after="0"/>
              <w:rPr>
                <w:sz w:val="7"/>
                <w:szCs w:val="7"/>
                <w:color w:val="auto"/>
              </w:rPr>
            </w:pPr>
          </w:p>
        </w:tc>
        <w:tc>
          <w:tcPr>
            <w:tcW w:w="800" w:type="dxa"/>
            <w:vAlign w:val="bottom"/>
            <w:gridSpan w:val="2"/>
            <w:vMerge w:val="continue"/>
            <w:shd w:val="clear" w:color="auto" w:fill="BDD6EE"/>
          </w:tcPr>
          <w:p>
            <w:pPr>
              <w:spacing w:after="0"/>
              <w:rPr>
                <w:sz w:val="7"/>
                <w:szCs w:val="7"/>
                <w:color w:val="auto"/>
              </w:rPr>
            </w:pPr>
          </w:p>
        </w:tc>
        <w:tc>
          <w:tcPr>
            <w:tcW w:w="620" w:type="dxa"/>
            <w:vAlign w:val="bottom"/>
            <w:tcBorders>
              <w:right w:val="single" w:sz="8" w:color="auto"/>
            </w:tcBorders>
            <w:vMerge w:val="continue"/>
            <w:shd w:val="clear" w:color="auto" w:fill="BDD6EE"/>
          </w:tcPr>
          <w:p>
            <w:pPr>
              <w:spacing w:after="0"/>
              <w:rPr>
                <w:sz w:val="7"/>
                <w:szCs w:val="7"/>
                <w:color w:val="auto"/>
              </w:rPr>
            </w:pPr>
          </w:p>
        </w:tc>
        <w:tc>
          <w:tcPr>
            <w:tcW w:w="640" w:type="dxa"/>
            <w:vAlign w:val="bottom"/>
            <w:tcBorders>
              <w:right w:val="single" w:sz="8" w:color="auto"/>
            </w:tcBorders>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1,549</w:t>
            </w:r>
          </w:p>
        </w:tc>
        <w:tc>
          <w:tcPr>
            <w:tcW w:w="600" w:type="dxa"/>
            <w:vAlign w:val="bottom"/>
            <w:shd w:val="clear" w:color="auto" w:fill="BDD6EE"/>
          </w:tcPr>
          <w:p>
            <w:pPr>
              <w:spacing w:after="0"/>
              <w:rPr>
                <w:sz w:val="7"/>
                <w:szCs w:val="7"/>
                <w:color w:val="auto"/>
              </w:rPr>
            </w:pPr>
          </w:p>
        </w:tc>
        <w:tc>
          <w:tcPr>
            <w:tcW w:w="740" w:type="dxa"/>
            <w:vAlign w:val="bottom"/>
            <w:tcBorders>
              <w:right w:val="single" w:sz="8" w:color="auto"/>
            </w:tcBorders>
            <w:shd w:val="clear" w:color="auto" w:fill="BDD6EE"/>
          </w:tcPr>
          <w:p>
            <w:pPr>
              <w:spacing w:after="0"/>
              <w:rPr>
                <w:sz w:val="7"/>
                <w:szCs w:val="7"/>
                <w:color w:val="auto"/>
              </w:rPr>
            </w:pPr>
          </w:p>
        </w:tc>
        <w:tc>
          <w:tcPr>
            <w:tcW w:w="660" w:type="dxa"/>
            <w:vAlign w:val="bottom"/>
            <w:vMerge w:val="continue"/>
            <w:shd w:val="clear" w:color="auto" w:fill="BDD6EE"/>
          </w:tcPr>
          <w:p>
            <w:pPr>
              <w:spacing w:after="0"/>
              <w:rPr>
                <w:sz w:val="7"/>
                <w:szCs w:val="7"/>
                <w:color w:val="auto"/>
              </w:rPr>
            </w:pPr>
          </w:p>
        </w:tc>
        <w:tc>
          <w:tcPr>
            <w:tcW w:w="660" w:type="dxa"/>
            <w:vAlign w:val="bottom"/>
            <w:vMerge w:val="continue"/>
            <w:shd w:val="clear" w:color="auto" w:fill="BDD6EE"/>
          </w:tcPr>
          <w:p>
            <w:pPr>
              <w:spacing w:after="0"/>
              <w:rPr>
                <w:sz w:val="7"/>
                <w:szCs w:val="7"/>
                <w:color w:val="auto"/>
              </w:rPr>
            </w:pPr>
          </w:p>
        </w:tc>
        <w:tc>
          <w:tcPr>
            <w:tcW w:w="640" w:type="dxa"/>
            <w:vAlign w:val="bottom"/>
            <w:vMerge w:val="continue"/>
            <w:shd w:val="clear" w:color="auto" w:fill="BDD6EE"/>
          </w:tcPr>
          <w:p>
            <w:pPr>
              <w:spacing w:after="0"/>
              <w:rPr>
                <w:sz w:val="7"/>
                <w:szCs w:val="7"/>
                <w:color w:val="auto"/>
              </w:rPr>
            </w:pPr>
          </w:p>
        </w:tc>
        <w:tc>
          <w:tcPr>
            <w:tcW w:w="680" w:type="dxa"/>
            <w:vAlign w:val="bottom"/>
            <w:shd w:val="clear" w:color="auto" w:fill="BDD6EE"/>
          </w:tcPr>
          <w:p>
            <w:pPr>
              <w:spacing w:after="0"/>
              <w:rPr>
                <w:sz w:val="7"/>
                <w:szCs w:val="7"/>
                <w:color w:val="auto"/>
              </w:rPr>
            </w:pPr>
          </w:p>
        </w:tc>
        <w:tc>
          <w:tcPr>
            <w:tcW w:w="640" w:type="dxa"/>
            <w:vAlign w:val="bottom"/>
            <w:vMerge w:val="continue"/>
            <w:shd w:val="clear" w:color="auto" w:fill="BDD6EE"/>
          </w:tcPr>
          <w:p>
            <w:pPr>
              <w:spacing w:after="0"/>
              <w:rPr>
                <w:sz w:val="7"/>
                <w:szCs w:val="7"/>
                <w:color w:val="auto"/>
              </w:rPr>
            </w:pPr>
          </w:p>
        </w:tc>
        <w:tc>
          <w:tcPr>
            <w:tcW w:w="660" w:type="dxa"/>
            <w:vAlign w:val="bottom"/>
            <w:vMerge w:val="continue"/>
            <w:shd w:val="clear" w:color="auto" w:fill="BDD6EE"/>
          </w:tcPr>
          <w:p>
            <w:pPr>
              <w:spacing w:after="0"/>
              <w:rPr>
                <w:sz w:val="7"/>
                <w:szCs w:val="7"/>
                <w:color w:val="auto"/>
              </w:rPr>
            </w:pPr>
          </w:p>
        </w:tc>
        <w:tc>
          <w:tcPr>
            <w:tcW w:w="680" w:type="dxa"/>
            <w:vAlign w:val="bottom"/>
            <w:vMerge w:val="continue"/>
            <w:shd w:val="clear" w:color="auto" w:fill="BDD6EE"/>
          </w:tcPr>
          <w:p>
            <w:pPr>
              <w:spacing w:after="0"/>
              <w:rPr>
                <w:sz w:val="7"/>
                <w:szCs w:val="7"/>
                <w:color w:val="auto"/>
              </w:rPr>
            </w:pPr>
          </w:p>
        </w:tc>
        <w:tc>
          <w:tcPr>
            <w:tcW w:w="660" w:type="dxa"/>
            <w:vAlign w:val="bottom"/>
            <w:shd w:val="clear" w:color="auto" w:fill="BDD6E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160" w:type="dxa"/>
            <w:vAlign w:val="bottom"/>
            <w:tcBorders>
              <w:bottom w:val="single" w:sz="8" w:color="auto"/>
              <w:right w:val="single" w:sz="8" w:color="auto"/>
            </w:tcBorders>
            <w:shd w:val="clear" w:color="auto" w:fill="BDD6EE"/>
          </w:tcPr>
          <w:p>
            <w:pPr>
              <w:spacing w:after="0"/>
              <w:rPr>
                <w:sz w:val="8"/>
                <w:szCs w:val="8"/>
                <w:color w:val="auto"/>
              </w:rPr>
            </w:pPr>
          </w:p>
        </w:tc>
        <w:tc>
          <w:tcPr>
            <w:tcW w:w="460" w:type="dxa"/>
            <w:vAlign w:val="bottom"/>
            <w:tcBorders>
              <w:bottom w:val="single" w:sz="8" w:color="auto"/>
            </w:tcBorders>
            <w:shd w:val="clear" w:color="auto" w:fill="BDD6EE"/>
          </w:tcPr>
          <w:p>
            <w:pPr>
              <w:spacing w:after="0"/>
              <w:rPr>
                <w:sz w:val="8"/>
                <w:szCs w:val="8"/>
                <w:color w:val="auto"/>
              </w:rPr>
            </w:pPr>
          </w:p>
        </w:tc>
        <w:tc>
          <w:tcPr>
            <w:tcW w:w="140" w:type="dxa"/>
            <w:vAlign w:val="bottom"/>
            <w:tcBorders>
              <w:bottom w:val="single" w:sz="8" w:color="auto"/>
            </w:tcBorders>
            <w:shd w:val="clear" w:color="auto" w:fill="BDD6EE"/>
          </w:tcPr>
          <w:p>
            <w:pPr>
              <w:spacing w:after="0"/>
              <w:rPr>
                <w:sz w:val="8"/>
                <w:szCs w:val="8"/>
                <w:color w:val="auto"/>
              </w:rPr>
            </w:pPr>
          </w:p>
        </w:tc>
        <w:tc>
          <w:tcPr>
            <w:tcW w:w="660" w:type="dxa"/>
            <w:vAlign w:val="bottom"/>
            <w:tcBorders>
              <w:bottom w:val="single" w:sz="8" w:color="auto"/>
            </w:tcBorders>
            <w:shd w:val="clear" w:color="auto" w:fill="BDD6EE"/>
          </w:tcPr>
          <w:p>
            <w:pPr>
              <w:spacing w:after="0"/>
              <w:rPr>
                <w:sz w:val="8"/>
                <w:szCs w:val="8"/>
                <w:color w:val="auto"/>
              </w:rPr>
            </w:pPr>
          </w:p>
        </w:tc>
        <w:tc>
          <w:tcPr>
            <w:tcW w:w="620" w:type="dxa"/>
            <w:vAlign w:val="bottom"/>
            <w:tcBorders>
              <w:bottom w:val="single" w:sz="8" w:color="auto"/>
              <w:right w:val="single" w:sz="8" w:color="auto"/>
            </w:tcBorders>
            <w:shd w:val="clear" w:color="auto" w:fill="BDD6EE"/>
          </w:tcPr>
          <w:p>
            <w:pPr>
              <w:spacing w:after="0"/>
              <w:rPr>
                <w:sz w:val="8"/>
                <w:szCs w:val="8"/>
                <w:color w:val="auto"/>
              </w:rPr>
            </w:pPr>
          </w:p>
        </w:tc>
        <w:tc>
          <w:tcPr>
            <w:tcW w:w="640" w:type="dxa"/>
            <w:vAlign w:val="bottom"/>
            <w:tcBorders>
              <w:bottom w:val="single" w:sz="8" w:color="auto"/>
              <w:right w:val="single" w:sz="8" w:color="auto"/>
            </w:tcBorders>
            <w:vMerge w:val="continue"/>
            <w:shd w:val="clear" w:color="auto" w:fill="BDD6EE"/>
          </w:tcPr>
          <w:p>
            <w:pPr>
              <w:spacing w:after="0"/>
              <w:rPr>
                <w:sz w:val="8"/>
                <w:szCs w:val="8"/>
                <w:color w:val="auto"/>
              </w:rPr>
            </w:pPr>
          </w:p>
        </w:tc>
        <w:tc>
          <w:tcPr>
            <w:tcW w:w="600" w:type="dxa"/>
            <w:vAlign w:val="bottom"/>
            <w:tcBorders>
              <w:bottom w:val="single" w:sz="8" w:color="auto"/>
            </w:tcBorders>
            <w:shd w:val="clear" w:color="auto" w:fill="BDD6EE"/>
          </w:tcPr>
          <w:p>
            <w:pPr>
              <w:spacing w:after="0"/>
              <w:rPr>
                <w:sz w:val="8"/>
                <w:szCs w:val="8"/>
                <w:color w:val="auto"/>
              </w:rPr>
            </w:pPr>
          </w:p>
        </w:tc>
        <w:tc>
          <w:tcPr>
            <w:tcW w:w="740" w:type="dxa"/>
            <w:vAlign w:val="bottom"/>
            <w:tcBorders>
              <w:bottom w:val="single" w:sz="8" w:color="auto"/>
              <w:right w:val="single" w:sz="8" w:color="auto"/>
            </w:tcBorders>
            <w:shd w:val="clear" w:color="auto" w:fill="BDD6EE"/>
          </w:tcPr>
          <w:p>
            <w:pPr>
              <w:spacing w:after="0"/>
              <w:rPr>
                <w:sz w:val="8"/>
                <w:szCs w:val="8"/>
                <w:color w:val="auto"/>
              </w:rPr>
            </w:pPr>
          </w:p>
        </w:tc>
        <w:tc>
          <w:tcPr>
            <w:tcW w:w="660" w:type="dxa"/>
            <w:vAlign w:val="bottom"/>
            <w:tcBorders>
              <w:bottom w:val="single" w:sz="8" w:color="auto"/>
            </w:tcBorders>
            <w:shd w:val="clear" w:color="auto" w:fill="BDD6EE"/>
          </w:tcPr>
          <w:p>
            <w:pPr>
              <w:spacing w:after="0"/>
              <w:rPr>
                <w:sz w:val="8"/>
                <w:szCs w:val="8"/>
                <w:color w:val="auto"/>
              </w:rPr>
            </w:pPr>
          </w:p>
        </w:tc>
        <w:tc>
          <w:tcPr>
            <w:tcW w:w="660" w:type="dxa"/>
            <w:vAlign w:val="bottom"/>
            <w:tcBorders>
              <w:bottom w:val="single" w:sz="8" w:color="auto"/>
            </w:tcBorders>
            <w:shd w:val="clear" w:color="auto" w:fill="BDD6EE"/>
          </w:tcPr>
          <w:p>
            <w:pPr>
              <w:spacing w:after="0"/>
              <w:rPr>
                <w:sz w:val="8"/>
                <w:szCs w:val="8"/>
                <w:color w:val="auto"/>
              </w:rPr>
            </w:pPr>
          </w:p>
        </w:tc>
        <w:tc>
          <w:tcPr>
            <w:tcW w:w="640" w:type="dxa"/>
            <w:vAlign w:val="bottom"/>
            <w:tcBorders>
              <w:bottom w:val="single" w:sz="8" w:color="auto"/>
            </w:tcBorders>
            <w:shd w:val="clear" w:color="auto" w:fill="BDD6EE"/>
          </w:tcPr>
          <w:p>
            <w:pPr>
              <w:spacing w:after="0"/>
              <w:rPr>
                <w:sz w:val="8"/>
                <w:szCs w:val="8"/>
                <w:color w:val="auto"/>
              </w:rPr>
            </w:pPr>
          </w:p>
        </w:tc>
        <w:tc>
          <w:tcPr>
            <w:tcW w:w="680" w:type="dxa"/>
            <w:vAlign w:val="bottom"/>
            <w:tcBorders>
              <w:bottom w:val="single" w:sz="8" w:color="auto"/>
            </w:tcBorders>
            <w:shd w:val="clear" w:color="auto" w:fill="BDD6EE"/>
          </w:tcPr>
          <w:p>
            <w:pPr>
              <w:spacing w:after="0"/>
              <w:rPr>
                <w:sz w:val="8"/>
                <w:szCs w:val="8"/>
                <w:color w:val="auto"/>
              </w:rPr>
            </w:pPr>
          </w:p>
        </w:tc>
        <w:tc>
          <w:tcPr>
            <w:tcW w:w="640" w:type="dxa"/>
            <w:vAlign w:val="bottom"/>
            <w:tcBorders>
              <w:bottom w:val="single" w:sz="8" w:color="auto"/>
            </w:tcBorders>
            <w:shd w:val="clear" w:color="auto" w:fill="BDD6EE"/>
          </w:tcPr>
          <w:p>
            <w:pPr>
              <w:spacing w:after="0"/>
              <w:rPr>
                <w:sz w:val="8"/>
                <w:szCs w:val="8"/>
                <w:color w:val="auto"/>
              </w:rPr>
            </w:pPr>
          </w:p>
        </w:tc>
        <w:tc>
          <w:tcPr>
            <w:tcW w:w="660" w:type="dxa"/>
            <w:vAlign w:val="bottom"/>
            <w:tcBorders>
              <w:bottom w:val="single" w:sz="8" w:color="auto"/>
            </w:tcBorders>
            <w:shd w:val="clear" w:color="auto" w:fill="BDD6EE"/>
          </w:tcPr>
          <w:p>
            <w:pPr>
              <w:spacing w:after="0"/>
              <w:rPr>
                <w:sz w:val="8"/>
                <w:szCs w:val="8"/>
                <w:color w:val="auto"/>
              </w:rPr>
            </w:pPr>
          </w:p>
        </w:tc>
        <w:tc>
          <w:tcPr>
            <w:tcW w:w="680" w:type="dxa"/>
            <w:vAlign w:val="bottom"/>
            <w:tcBorders>
              <w:bottom w:val="single" w:sz="8" w:color="auto"/>
            </w:tcBorders>
            <w:shd w:val="clear" w:color="auto" w:fill="BDD6EE"/>
          </w:tcPr>
          <w:p>
            <w:pPr>
              <w:spacing w:after="0"/>
              <w:rPr>
                <w:sz w:val="8"/>
                <w:szCs w:val="8"/>
                <w:color w:val="auto"/>
              </w:rPr>
            </w:pPr>
          </w:p>
        </w:tc>
        <w:tc>
          <w:tcPr>
            <w:tcW w:w="660" w:type="dxa"/>
            <w:vAlign w:val="bottom"/>
            <w:tcBorders>
              <w:bottom w:val="single" w:sz="8" w:color="auto"/>
            </w:tcBorders>
            <w:shd w:val="clear" w:color="auto" w:fill="BDD6E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Unconsolidated Projects at share*******</w:t>
            </w:r>
          </w:p>
        </w:tc>
        <w:tc>
          <w:tcPr>
            <w:tcW w:w="460" w:type="dxa"/>
            <w:vAlign w:val="bottom"/>
          </w:tcPr>
          <w:p>
            <w:pPr>
              <w:jc w:val="center"/>
              <w:ind w:left="60"/>
              <w:spacing w:after="0"/>
              <w:rPr>
                <w:sz w:val="20"/>
                <w:szCs w:val="20"/>
                <w:color w:val="auto"/>
              </w:rPr>
            </w:pPr>
            <w:r>
              <w:rPr>
                <w:rFonts w:ascii="Arial" w:cs="Arial" w:eastAsia="Arial" w:hAnsi="Arial"/>
                <w:sz w:val="12"/>
                <w:szCs w:val="12"/>
                <w:b w:val="1"/>
                <w:bCs w:val="1"/>
                <w:color w:val="auto"/>
                <w:w w:val="93"/>
              </w:rPr>
              <w:t>8/42</w:t>
            </w:r>
          </w:p>
        </w:tc>
        <w:tc>
          <w:tcPr>
            <w:tcW w:w="80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99"/>
              </w:rPr>
              <w:t>0/182</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45-46</w:t>
            </w:r>
          </w:p>
        </w:tc>
        <w:tc>
          <w:tcPr>
            <w:tcW w:w="6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spacing w:after="0"/>
              <w:rPr>
                <w:sz w:val="20"/>
                <w:szCs w:val="20"/>
                <w:color w:val="auto"/>
              </w:rPr>
            </w:pPr>
            <w:r>
              <w:rPr>
                <w:rFonts w:ascii="Arial" w:cs="Arial" w:eastAsia="Arial" w:hAnsi="Arial"/>
                <w:sz w:val="12"/>
                <w:szCs w:val="12"/>
                <w:color w:val="auto"/>
                <w:w w:val="97"/>
              </w:rPr>
              <w:t>45-46</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680" w:type="dxa"/>
            <w:vAlign w:val="bottom"/>
          </w:tcPr>
          <w:p>
            <w:pPr>
              <w:jc w:val="center"/>
              <w:spacing w:after="0"/>
              <w:rPr>
                <w:sz w:val="20"/>
                <w:szCs w:val="20"/>
                <w:color w:val="auto"/>
              </w:rPr>
            </w:pPr>
            <w:r>
              <w:rPr>
                <w:rFonts w:ascii="Arial" w:cs="Arial" w:eastAsia="Arial" w:hAnsi="Arial"/>
                <w:sz w:val="12"/>
                <w:szCs w:val="12"/>
                <w:color w:val="auto"/>
                <w:w w:val="99"/>
              </w:rPr>
              <w:t>15%-25%</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10-11</w:t>
            </w:r>
          </w:p>
        </w:tc>
        <w:tc>
          <w:tcPr>
            <w:tcW w:w="680" w:type="dxa"/>
            <w:vAlign w:val="bottom"/>
          </w:tcPr>
          <w:p>
            <w:pPr>
              <w:jc w:val="center"/>
              <w:spacing w:after="0"/>
              <w:rPr>
                <w:sz w:val="20"/>
                <w:szCs w:val="20"/>
                <w:color w:val="auto"/>
              </w:rPr>
            </w:pPr>
            <w:r>
              <w:rPr>
                <w:rFonts w:ascii="Arial" w:cs="Arial" w:eastAsia="Arial" w:hAnsi="Arial"/>
                <w:sz w:val="12"/>
                <w:szCs w:val="12"/>
                <w:color w:val="auto"/>
                <w:w w:val="91"/>
              </w:rPr>
              <w:t>5-6</w:t>
            </w:r>
          </w:p>
        </w:tc>
        <w:tc>
          <w:tcPr>
            <w:tcW w:w="660" w:type="dxa"/>
            <w:vAlign w:val="bottom"/>
          </w:tcPr>
          <w:p>
            <w:pPr>
              <w:jc w:val="center"/>
              <w:spacing w:after="0"/>
              <w:rPr>
                <w:sz w:val="20"/>
                <w:szCs w:val="20"/>
                <w:color w:val="auto"/>
              </w:rPr>
            </w:pPr>
            <w:r>
              <w:rPr>
                <w:rFonts w:ascii="Arial" w:cs="Arial" w:eastAsia="Arial" w:hAnsi="Arial"/>
                <w:sz w:val="12"/>
                <w:szCs w:val="12"/>
                <w:color w:val="auto"/>
                <w:w w:val="99"/>
              </w:rPr>
              <w:t>54%</w:t>
            </w:r>
          </w:p>
        </w:tc>
        <w:tc>
          <w:tcPr>
            <w:tcW w:w="0" w:type="dxa"/>
            <w:vAlign w:val="bottom"/>
          </w:tcPr>
          <w:p>
            <w:pPr>
              <w:spacing w:after="0"/>
              <w:rPr>
                <w:sz w:val="1"/>
                <w:szCs w:val="1"/>
                <w:color w:val="auto"/>
              </w:rPr>
            </w:pPr>
          </w:p>
        </w:tc>
      </w:tr>
      <w:tr>
        <w:trPr>
          <w:trHeight w:val="28"/>
        </w:trPr>
        <w:tc>
          <w:tcPr>
            <w:tcW w:w="21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160" w:type="dxa"/>
            <w:vAlign w:val="bottom"/>
            <w:tcBorders>
              <w:right w:val="single" w:sz="8" w:color="auto"/>
            </w:tcBorders>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8"/>
              </w:rPr>
              <w:t>Total Pre-Construction</w:t>
            </w:r>
          </w:p>
        </w:tc>
        <w:tc>
          <w:tcPr>
            <w:tcW w:w="1880" w:type="dxa"/>
            <w:vAlign w:val="bottom"/>
            <w:tcBorders>
              <w:right w:val="single" w:sz="8" w:color="auto"/>
            </w:tcBorders>
            <w:gridSpan w:val="4"/>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2,059MW +3,914MWh</w:t>
            </w:r>
          </w:p>
        </w:tc>
        <w:tc>
          <w:tcPr>
            <w:tcW w:w="640" w:type="dxa"/>
            <w:vAlign w:val="bottom"/>
            <w:tcBorders>
              <w:right w:val="single" w:sz="8" w:color="auto"/>
            </w:tcBorders>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3,520-</w:t>
            </w:r>
          </w:p>
        </w:tc>
        <w:tc>
          <w:tcPr>
            <w:tcW w:w="600" w:type="dxa"/>
            <w:vAlign w:val="bottom"/>
            <w:shd w:val="clear" w:color="auto" w:fill="BDD6EE"/>
          </w:tcPr>
          <w:p>
            <w:pPr>
              <w:spacing w:after="0"/>
              <w:rPr>
                <w:sz w:val="14"/>
                <w:szCs w:val="14"/>
                <w:color w:val="auto"/>
              </w:rPr>
            </w:pPr>
          </w:p>
        </w:tc>
        <w:tc>
          <w:tcPr>
            <w:tcW w:w="740" w:type="dxa"/>
            <w:vAlign w:val="bottom"/>
            <w:tcBorders>
              <w:right w:val="single" w:sz="8" w:color="auto"/>
            </w:tcBorders>
            <w:shd w:val="clear" w:color="auto" w:fill="BDD6EE"/>
          </w:tcPr>
          <w:p>
            <w:pPr>
              <w:spacing w:after="0"/>
              <w:rPr>
                <w:sz w:val="14"/>
                <w:szCs w:val="14"/>
                <w:color w:val="auto"/>
              </w:rPr>
            </w:pPr>
          </w:p>
        </w:tc>
        <w:tc>
          <w:tcPr>
            <w:tcW w:w="660" w:type="dxa"/>
            <w:vAlign w:val="bottom"/>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1,353-</w:t>
            </w:r>
          </w:p>
        </w:tc>
        <w:tc>
          <w:tcPr>
            <w:tcW w:w="660" w:type="dxa"/>
            <w:vAlign w:val="bottom"/>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2,167-</w:t>
            </w:r>
          </w:p>
        </w:tc>
        <w:tc>
          <w:tcPr>
            <w:tcW w:w="64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101</w:t>
            </w:r>
          </w:p>
        </w:tc>
        <w:tc>
          <w:tcPr>
            <w:tcW w:w="680" w:type="dxa"/>
            <w:vAlign w:val="bottom"/>
            <w:shd w:val="clear" w:color="auto" w:fill="BDD6EE"/>
          </w:tcPr>
          <w:p>
            <w:pPr>
              <w:spacing w:after="0"/>
              <w:rPr>
                <w:sz w:val="14"/>
                <w:szCs w:val="14"/>
                <w:color w:val="auto"/>
              </w:rPr>
            </w:pPr>
          </w:p>
        </w:tc>
        <w:tc>
          <w:tcPr>
            <w:tcW w:w="64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101</w:t>
            </w:r>
          </w:p>
        </w:tc>
        <w:tc>
          <w:tcPr>
            <w:tcW w:w="66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311-327</w:t>
            </w:r>
          </w:p>
        </w:tc>
        <w:tc>
          <w:tcPr>
            <w:tcW w:w="68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240-253</w:t>
            </w:r>
          </w:p>
        </w:tc>
        <w:tc>
          <w:tcPr>
            <w:tcW w:w="660" w:type="dxa"/>
            <w:vAlign w:val="bottom"/>
            <w:shd w:val="clear" w:color="auto" w:fill="BDD6EE"/>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160" w:type="dxa"/>
            <w:vAlign w:val="bottom"/>
            <w:tcBorders>
              <w:right w:val="single" w:sz="8" w:color="auto"/>
            </w:tcBorders>
            <w:vMerge w:val="continue"/>
            <w:shd w:val="clear" w:color="auto" w:fill="BDD6EE"/>
          </w:tcPr>
          <w:p>
            <w:pPr>
              <w:spacing w:after="0"/>
              <w:rPr>
                <w:sz w:val="7"/>
                <w:szCs w:val="7"/>
                <w:color w:val="auto"/>
              </w:rPr>
            </w:pPr>
          </w:p>
        </w:tc>
        <w:tc>
          <w:tcPr>
            <w:tcW w:w="1880" w:type="dxa"/>
            <w:vAlign w:val="bottom"/>
            <w:tcBorders>
              <w:right w:val="single" w:sz="8" w:color="auto"/>
            </w:tcBorders>
            <w:gridSpan w:val="4"/>
            <w:vMerge w:val="continue"/>
            <w:shd w:val="clear" w:color="auto" w:fill="BDD6EE"/>
          </w:tcPr>
          <w:p>
            <w:pPr>
              <w:spacing w:after="0"/>
              <w:rPr>
                <w:sz w:val="7"/>
                <w:szCs w:val="7"/>
                <w:color w:val="auto"/>
              </w:rPr>
            </w:pPr>
          </w:p>
        </w:tc>
        <w:tc>
          <w:tcPr>
            <w:tcW w:w="640" w:type="dxa"/>
            <w:vAlign w:val="bottom"/>
            <w:tcBorders>
              <w:right w:val="single" w:sz="8" w:color="auto"/>
            </w:tcBorders>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3,701</w:t>
            </w:r>
          </w:p>
        </w:tc>
        <w:tc>
          <w:tcPr>
            <w:tcW w:w="600" w:type="dxa"/>
            <w:vAlign w:val="bottom"/>
            <w:shd w:val="clear" w:color="auto" w:fill="BDD6EE"/>
          </w:tcPr>
          <w:p>
            <w:pPr>
              <w:spacing w:after="0"/>
              <w:rPr>
                <w:sz w:val="7"/>
                <w:szCs w:val="7"/>
                <w:color w:val="auto"/>
              </w:rPr>
            </w:pPr>
          </w:p>
        </w:tc>
        <w:tc>
          <w:tcPr>
            <w:tcW w:w="740" w:type="dxa"/>
            <w:vAlign w:val="bottom"/>
            <w:tcBorders>
              <w:right w:val="single" w:sz="8" w:color="auto"/>
            </w:tcBorders>
            <w:shd w:val="clear" w:color="auto" w:fill="BDD6EE"/>
          </w:tcPr>
          <w:p>
            <w:pPr>
              <w:spacing w:after="0"/>
              <w:rPr>
                <w:sz w:val="7"/>
                <w:szCs w:val="7"/>
                <w:color w:val="auto"/>
              </w:rPr>
            </w:pPr>
          </w:p>
        </w:tc>
        <w:tc>
          <w:tcPr>
            <w:tcW w:w="66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1,421</w:t>
            </w:r>
          </w:p>
        </w:tc>
        <w:tc>
          <w:tcPr>
            <w:tcW w:w="660" w:type="dxa"/>
            <w:vAlign w:val="bottom"/>
            <w:vMerge w:val="restart"/>
            <w:shd w:val="clear" w:color="auto" w:fill="BDD6EE"/>
          </w:tcPr>
          <w:p>
            <w:pPr>
              <w:jc w:val="center"/>
              <w:spacing w:after="0"/>
              <w:rPr>
                <w:sz w:val="20"/>
                <w:szCs w:val="20"/>
                <w:color w:val="auto"/>
              </w:rPr>
            </w:pPr>
            <w:r>
              <w:rPr>
                <w:rFonts w:ascii="Arial" w:cs="Arial" w:eastAsia="Arial" w:hAnsi="Arial"/>
                <w:sz w:val="12"/>
                <w:szCs w:val="12"/>
                <w:b w:val="1"/>
                <w:bCs w:val="1"/>
                <w:color w:val="auto"/>
                <w:w w:val="99"/>
              </w:rPr>
              <w:t>2,280</w:t>
            </w:r>
          </w:p>
        </w:tc>
        <w:tc>
          <w:tcPr>
            <w:tcW w:w="640" w:type="dxa"/>
            <w:vAlign w:val="bottom"/>
            <w:vMerge w:val="continue"/>
            <w:shd w:val="clear" w:color="auto" w:fill="BDD6EE"/>
          </w:tcPr>
          <w:p>
            <w:pPr>
              <w:spacing w:after="0"/>
              <w:rPr>
                <w:sz w:val="7"/>
                <w:szCs w:val="7"/>
                <w:color w:val="auto"/>
              </w:rPr>
            </w:pPr>
          </w:p>
        </w:tc>
        <w:tc>
          <w:tcPr>
            <w:tcW w:w="680" w:type="dxa"/>
            <w:vAlign w:val="bottom"/>
            <w:shd w:val="clear" w:color="auto" w:fill="BDD6EE"/>
          </w:tcPr>
          <w:p>
            <w:pPr>
              <w:spacing w:after="0"/>
              <w:rPr>
                <w:sz w:val="7"/>
                <w:szCs w:val="7"/>
                <w:color w:val="auto"/>
              </w:rPr>
            </w:pPr>
          </w:p>
        </w:tc>
        <w:tc>
          <w:tcPr>
            <w:tcW w:w="640" w:type="dxa"/>
            <w:vAlign w:val="bottom"/>
            <w:vMerge w:val="continue"/>
            <w:shd w:val="clear" w:color="auto" w:fill="BDD6EE"/>
          </w:tcPr>
          <w:p>
            <w:pPr>
              <w:spacing w:after="0"/>
              <w:rPr>
                <w:sz w:val="7"/>
                <w:szCs w:val="7"/>
                <w:color w:val="auto"/>
              </w:rPr>
            </w:pPr>
          </w:p>
        </w:tc>
        <w:tc>
          <w:tcPr>
            <w:tcW w:w="660" w:type="dxa"/>
            <w:vAlign w:val="bottom"/>
            <w:vMerge w:val="continue"/>
            <w:shd w:val="clear" w:color="auto" w:fill="BDD6EE"/>
          </w:tcPr>
          <w:p>
            <w:pPr>
              <w:spacing w:after="0"/>
              <w:rPr>
                <w:sz w:val="7"/>
                <w:szCs w:val="7"/>
                <w:color w:val="auto"/>
              </w:rPr>
            </w:pPr>
          </w:p>
        </w:tc>
        <w:tc>
          <w:tcPr>
            <w:tcW w:w="680" w:type="dxa"/>
            <w:vAlign w:val="bottom"/>
            <w:vMerge w:val="continue"/>
            <w:shd w:val="clear" w:color="auto" w:fill="BDD6EE"/>
          </w:tcPr>
          <w:p>
            <w:pPr>
              <w:spacing w:after="0"/>
              <w:rPr>
                <w:sz w:val="7"/>
                <w:szCs w:val="7"/>
                <w:color w:val="auto"/>
              </w:rPr>
            </w:pPr>
          </w:p>
        </w:tc>
        <w:tc>
          <w:tcPr>
            <w:tcW w:w="660" w:type="dxa"/>
            <w:vAlign w:val="bottom"/>
            <w:shd w:val="clear" w:color="auto" w:fill="BDD6E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160" w:type="dxa"/>
            <w:vAlign w:val="bottom"/>
            <w:tcBorders>
              <w:bottom w:val="single" w:sz="8" w:color="auto"/>
              <w:right w:val="single" w:sz="8" w:color="auto"/>
            </w:tcBorders>
            <w:shd w:val="clear" w:color="auto" w:fill="BDD6EE"/>
          </w:tcPr>
          <w:p>
            <w:pPr>
              <w:spacing w:after="0"/>
              <w:rPr>
                <w:sz w:val="8"/>
                <w:szCs w:val="8"/>
                <w:color w:val="auto"/>
              </w:rPr>
            </w:pPr>
          </w:p>
        </w:tc>
        <w:tc>
          <w:tcPr>
            <w:tcW w:w="460" w:type="dxa"/>
            <w:vAlign w:val="bottom"/>
            <w:tcBorders>
              <w:bottom w:val="single" w:sz="8" w:color="auto"/>
            </w:tcBorders>
            <w:shd w:val="clear" w:color="auto" w:fill="BDD6EE"/>
          </w:tcPr>
          <w:p>
            <w:pPr>
              <w:spacing w:after="0"/>
              <w:rPr>
                <w:sz w:val="8"/>
                <w:szCs w:val="8"/>
                <w:color w:val="auto"/>
              </w:rPr>
            </w:pPr>
          </w:p>
        </w:tc>
        <w:tc>
          <w:tcPr>
            <w:tcW w:w="140" w:type="dxa"/>
            <w:vAlign w:val="bottom"/>
            <w:tcBorders>
              <w:bottom w:val="single" w:sz="8" w:color="auto"/>
            </w:tcBorders>
            <w:shd w:val="clear" w:color="auto" w:fill="BDD6EE"/>
          </w:tcPr>
          <w:p>
            <w:pPr>
              <w:spacing w:after="0"/>
              <w:rPr>
                <w:sz w:val="8"/>
                <w:szCs w:val="8"/>
                <w:color w:val="auto"/>
              </w:rPr>
            </w:pPr>
          </w:p>
        </w:tc>
        <w:tc>
          <w:tcPr>
            <w:tcW w:w="660" w:type="dxa"/>
            <w:vAlign w:val="bottom"/>
            <w:tcBorders>
              <w:bottom w:val="single" w:sz="8" w:color="auto"/>
            </w:tcBorders>
            <w:shd w:val="clear" w:color="auto" w:fill="BDD6EE"/>
          </w:tcPr>
          <w:p>
            <w:pPr>
              <w:spacing w:after="0"/>
              <w:rPr>
                <w:sz w:val="8"/>
                <w:szCs w:val="8"/>
                <w:color w:val="auto"/>
              </w:rPr>
            </w:pPr>
          </w:p>
        </w:tc>
        <w:tc>
          <w:tcPr>
            <w:tcW w:w="620" w:type="dxa"/>
            <w:vAlign w:val="bottom"/>
            <w:tcBorders>
              <w:bottom w:val="single" w:sz="8" w:color="auto"/>
              <w:right w:val="single" w:sz="8" w:color="auto"/>
            </w:tcBorders>
            <w:shd w:val="clear" w:color="auto" w:fill="BDD6EE"/>
          </w:tcPr>
          <w:p>
            <w:pPr>
              <w:spacing w:after="0"/>
              <w:rPr>
                <w:sz w:val="8"/>
                <w:szCs w:val="8"/>
                <w:color w:val="auto"/>
              </w:rPr>
            </w:pPr>
          </w:p>
        </w:tc>
        <w:tc>
          <w:tcPr>
            <w:tcW w:w="640" w:type="dxa"/>
            <w:vAlign w:val="bottom"/>
            <w:tcBorders>
              <w:bottom w:val="single" w:sz="8" w:color="auto"/>
              <w:right w:val="single" w:sz="8" w:color="auto"/>
            </w:tcBorders>
            <w:vMerge w:val="continue"/>
            <w:shd w:val="clear" w:color="auto" w:fill="BDD6EE"/>
          </w:tcPr>
          <w:p>
            <w:pPr>
              <w:spacing w:after="0"/>
              <w:rPr>
                <w:sz w:val="8"/>
                <w:szCs w:val="8"/>
                <w:color w:val="auto"/>
              </w:rPr>
            </w:pPr>
          </w:p>
        </w:tc>
        <w:tc>
          <w:tcPr>
            <w:tcW w:w="600" w:type="dxa"/>
            <w:vAlign w:val="bottom"/>
            <w:tcBorders>
              <w:bottom w:val="single" w:sz="8" w:color="auto"/>
            </w:tcBorders>
            <w:shd w:val="clear" w:color="auto" w:fill="BDD6EE"/>
          </w:tcPr>
          <w:p>
            <w:pPr>
              <w:spacing w:after="0"/>
              <w:rPr>
                <w:sz w:val="8"/>
                <w:szCs w:val="8"/>
                <w:color w:val="auto"/>
              </w:rPr>
            </w:pPr>
          </w:p>
        </w:tc>
        <w:tc>
          <w:tcPr>
            <w:tcW w:w="740" w:type="dxa"/>
            <w:vAlign w:val="bottom"/>
            <w:tcBorders>
              <w:bottom w:val="single" w:sz="8" w:color="auto"/>
              <w:right w:val="single" w:sz="8" w:color="auto"/>
            </w:tcBorders>
            <w:shd w:val="clear" w:color="auto" w:fill="BDD6EE"/>
          </w:tcPr>
          <w:p>
            <w:pPr>
              <w:spacing w:after="0"/>
              <w:rPr>
                <w:sz w:val="8"/>
                <w:szCs w:val="8"/>
                <w:color w:val="auto"/>
              </w:rPr>
            </w:pPr>
          </w:p>
        </w:tc>
        <w:tc>
          <w:tcPr>
            <w:tcW w:w="660" w:type="dxa"/>
            <w:vAlign w:val="bottom"/>
            <w:tcBorders>
              <w:bottom w:val="single" w:sz="8" w:color="auto"/>
            </w:tcBorders>
            <w:vMerge w:val="continue"/>
            <w:shd w:val="clear" w:color="auto" w:fill="BDD6EE"/>
          </w:tcPr>
          <w:p>
            <w:pPr>
              <w:spacing w:after="0"/>
              <w:rPr>
                <w:sz w:val="8"/>
                <w:szCs w:val="8"/>
                <w:color w:val="auto"/>
              </w:rPr>
            </w:pPr>
          </w:p>
        </w:tc>
        <w:tc>
          <w:tcPr>
            <w:tcW w:w="660" w:type="dxa"/>
            <w:vAlign w:val="bottom"/>
            <w:tcBorders>
              <w:bottom w:val="single" w:sz="8" w:color="auto"/>
            </w:tcBorders>
            <w:vMerge w:val="continue"/>
            <w:shd w:val="clear" w:color="auto" w:fill="BDD6EE"/>
          </w:tcPr>
          <w:p>
            <w:pPr>
              <w:spacing w:after="0"/>
              <w:rPr>
                <w:sz w:val="8"/>
                <w:szCs w:val="8"/>
                <w:color w:val="auto"/>
              </w:rPr>
            </w:pPr>
          </w:p>
        </w:tc>
        <w:tc>
          <w:tcPr>
            <w:tcW w:w="640" w:type="dxa"/>
            <w:vAlign w:val="bottom"/>
            <w:tcBorders>
              <w:bottom w:val="single" w:sz="8" w:color="auto"/>
            </w:tcBorders>
            <w:shd w:val="clear" w:color="auto" w:fill="BDD6EE"/>
          </w:tcPr>
          <w:p>
            <w:pPr>
              <w:spacing w:after="0"/>
              <w:rPr>
                <w:sz w:val="8"/>
                <w:szCs w:val="8"/>
                <w:color w:val="auto"/>
              </w:rPr>
            </w:pPr>
          </w:p>
        </w:tc>
        <w:tc>
          <w:tcPr>
            <w:tcW w:w="680" w:type="dxa"/>
            <w:vAlign w:val="bottom"/>
            <w:tcBorders>
              <w:bottom w:val="single" w:sz="8" w:color="auto"/>
            </w:tcBorders>
            <w:shd w:val="clear" w:color="auto" w:fill="BDD6EE"/>
          </w:tcPr>
          <w:p>
            <w:pPr>
              <w:spacing w:after="0"/>
              <w:rPr>
                <w:sz w:val="8"/>
                <w:szCs w:val="8"/>
                <w:color w:val="auto"/>
              </w:rPr>
            </w:pPr>
          </w:p>
        </w:tc>
        <w:tc>
          <w:tcPr>
            <w:tcW w:w="640" w:type="dxa"/>
            <w:vAlign w:val="bottom"/>
            <w:tcBorders>
              <w:bottom w:val="single" w:sz="8" w:color="auto"/>
            </w:tcBorders>
            <w:shd w:val="clear" w:color="auto" w:fill="BDD6EE"/>
          </w:tcPr>
          <w:p>
            <w:pPr>
              <w:spacing w:after="0"/>
              <w:rPr>
                <w:sz w:val="8"/>
                <w:szCs w:val="8"/>
                <w:color w:val="auto"/>
              </w:rPr>
            </w:pPr>
          </w:p>
        </w:tc>
        <w:tc>
          <w:tcPr>
            <w:tcW w:w="660" w:type="dxa"/>
            <w:vAlign w:val="bottom"/>
            <w:tcBorders>
              <w:bottom w:val="single" w:sz="8" w:color="auto"/>
            </w:tcBorders>
            <w:shd w:val="clear" w:color="auto" w:fill="BDD6EE"/>
          </w:tcPr>
          <w:p>
            <w:pPr>
              <w:spacing w:after="0"/>
              <w:rPr>
                <w:sz w:val="8"/>
                <w:szCs w:val="8"/>
                <w:color w:val="auto"/>
              </w:rPr>
            </w:pPr>
          </w:p>
        </w:tc>
        <w:tc>
          <w:tcPr>
            <w:tcW w:w="680" w:type="dxa"/>
            <w:vAlign w:val="bottom"/>
            <w:tcBorders>
              <w:bottom w:val="single" w:sz="8" w:color="auto"/>
            </w:tcBorders>
            <w:shd w:val="clear" w:color="auto" w:fill="BDD6EE"/>
          </w:tcPr>
          <w:p>
            <w:pPr>
              <w:spacing w:after="0"/>
              <w:rPr>
                <w:sz w:val="8"/>
                <w:szCs w:val="8"/>
                <w:color w:val="auto"/>
              </w:rPr>
            </w:pPr>
          </w:p>
        </w:tc>
        <w:tc>
          <w:tcPr>
            <w:tcW w:w="660" w:type="dxa"/>
            <w:vAlign w:val="bottom"/>
            <w:tcBorders>
              <w:bottom w:val="single" w:sz="8" w:color="auto"/>
            </w:tcBorders>
            <w:shd w:val="clear" w:color="auto" w:fill="BDD6EE"/>
          </w:tcPr>
          <w:p>
            <w:pPr>
              <w:spacing w:after="0"/>
              <w:rPr>
                <w:sz w:val="8"/>
                <w:szCs w:val="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 w:right="160" w:hanging="8"/>
        <w:spacing w:after="0" w:line="286" w:lineRule="auto"/>
        <w:tabs>
          <w:tab w:leader="none" w:pos="88"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legal ownership share for all U.S. projects is 90%, but Enlight invests 100% of the equity in the project and entitled to 100% of the project distributions until full repayment of Enlight's capital plus a preferred return</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color w:val="auto"/>
        </w:rPr>
        <w:t>** ** Rustic hills 1+2 - DC(10%)+EC (10%); Coggon - DC (10%); Gemston - DC (10%); Crimson - DC (10% BESS only) + EC (10%)</w:t>
      </w:r>
    </w:p>
    <w:p>
      <w:pPr>
        <w:spacing w:after="0" w:line="159" w:lineRule="exact"/>
        <w:rPr>
          <w:sz w:val="20"/>
          <w:szCs w:val="20"/>
          <w:color w:val="auto"/>
        </w:rPr>
      </w:pPr>
    </w:p>
    <w:p>
      <w:pPr>
        <w:ind w:left="8" w:right="200"/>
        <w:spacing w:after="0" w:line="301" w:lineRule="auto"/>
        <w:rPr>
          <w:sz w:val="20"/>
          <w:szCs w:val="20"/>
          <w:color w:val="auto"/>
        </w:rPr>
      </w:pPr>
      <w:r>
        <w:rPr>
          <w:rFonts w:ascii="Arial" w:cs="Arial" w:eastAsia="Arial" w:hAnsi="Arial"/>
          <w:sz w:val="12"/>
          <w:szCs w:val="12"/>
          <w:color w:val="auto"/>
        </w:rPr>
        <w:t>***Tax benefits under the IRA. PTC is assumed, based on the project’s expected production and a yearly CPI indexation of 2%, discounted by 8% to COD. For the ITC, a step-up adjustment was made to reflect the eligible higher tax credit rates, enhancing the valuation and return of the project by considering the increased project value.</w:t>
      </w:r>
    </w:p>
    <w:p>
      <w:pPr>
        <w:spacing w:after="0" w:line="104" w:lineRule="exact"/>
        <w:rPr>
          <w:sz w:val="20"/>
          <w:szCs w:val="20"/>
          <w:color w:val="auto"/>
        </w:rPr>
      </w:pPr>
    </w:p>
    <w:p>
      <w:pPr>
        <w:ind w:left="8" w:right="240" w:hanging="8"/>
        <w:spacing w:after="0" w:line="301" w:lineRule="auto"/>
        <w:tabs>
          <w:tab w:leader="none" w:pos="2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EBITDA is a non-IFRS financial measure. This figure represents consolidated EBITDA for the project and excludes the share of project distributions to tax equity partners, as well as ITC and PTC proceeds. These components of the tax equity transaction may differ from project to project, are subject to market conditions and commercial terms agreed upon reaching financial close</w:t>
      </w:r>
    </w:p>
    <w:p>
      <w:pPr>
        <w:spacing w:after="0" w:line="104" w:lineRule="exact"/>
        <w:rPr>
          <w:sz w:val="20"/>
          <w:szCs w:val="20"/>
          <w:color w:val="auto"/>
        </w:rPr>
      </w:pPr>
    </w:p>
    <w:p>
      <w:pPr>
        <w:ind w:left="8" w:right="400"/>
        <w:spacing w:after="0" w:line="301" w:lineRule="auto"/>
        <w:rPr>
          <w:sz w:val="20"/>
          <w:szCs w:val="20"/>
          <w:color w:val="auto"/>
        </w:rPr>
      </w:pPr>
      <w:r>
        <w:rPr>
          <w:rFonts w:ascii="Arial" w:cs="Arial" w:eastAsia="Arial" w:hAnsi="Arial"/>
          <w:sz w:val="12"/>
          <w:szCs w:val="12"/>
          <w:color w:val="auto"/>
        </w:rPr>
        <w:t>****The Energy Community (EC) Adder provides extra credits for renewable energy projects in areas impacted by fossil fuel reliance or economic transition. The Domestic Content (DC) Adder rewards projects using U.S.-manufactured components, promoting local job creation and supply chain growth</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color w:val="auto"/>
        </w:rPr>
        <w:t>******645MWh in 2028 attributed to Iftach, estimated revenue for the first 5 years is $6 million per year. From year 6, it will move to a deregulated market, with revenue expected to be $25 million per year</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 All numbers, beside equity invested, reflects Enlight share only</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 The required equity during construction is estimated at 10% and is expected to decrease to 0% at COD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40" w:right="299" w:bottom="1440" w:gutter="0" w:footer="0" w:header="0"/>
        </w:sectPr>
      </w:pPr>
    </w:p>
    <w:bookmarkStart w:id="30" w:name="page31"/>
    <w:bookmarkEnd w:id="30"/>
    <w:p>
      <w:pPr>
        <w:ind w:left="200"/>
        <w:spacing w:after="0"/>
        <w:tabs>
          <w:tab w:leader="none" w:pos="400" w:val="left"/>
        </w:tabs>
        <w:rPr>
          <w:sz w:val="20"/>
          <w:szCs w:val="20"/>
          <w:color w:val="auto"/>
        </w:rPr>
      </w:pPr>
      <w:r>
        <w:rPr>
          <w:rFonts w:ascii="Arial" w:cs="Arial" w:eastAsia="Arial" w:hAnsi="Arial"/>
          <w:sz w:val="12"/>
          <w:szCs w:val="12"/>
          <w:b w:val="1"/>
          <w:bCs w:val="1"/>
          <w:color w:val="auto"/>
        </w:rPr>
        <w:t>e)</w:t>
      </w:r>
      <w:r>
        <w:rPr>
          <w:sz w:val="20"/>
          <w:szCs w:val="20"/>
          <w:color w:val="auto"/>
        </w:rPr>
        <w:tab/>
      </w:r>
      <w:r>
        <w:rPr>
          <w:rFonts w:ascii="Arial" w:cs="Arial" w:eastAsia="Arial" w:hAnsi="Arial"/>
          <w:sz w:val="11"/>
          <w:szCs w:val="11"/>
          <w:b w:val="1"/>
          <w:bCs w:val="1"/>
          <w:color w:val="auto"/>
        </w:rPr>
        <w:t>Additional information on tax equity investments</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80" w:type="dxa"/>
            <w:vAlign w:val="bottom"/>
            <w:tcBorders>
              <w:top w:val="single" w:sz="8" w:color="auto"/>
              <w:left w:val="single" w:sz="8" w:color="auto"/>
              <w:bottom w:val="single" w:sz="8" w:color="1764AC"/>
              <w:right w:val="single" w:sz="8" w:color="1764AC"/>
            </w:tcBorders>
            <w:shd w:val="clear" w:color="auto" w:fill="1764AC"/>
          </w:tcPr>
          <w:p>
            <w:pPr>
              <w:spacing w:after="0"/>
              <w:rPr>
                <w:sz w:val="19"/>
                <w:szCs w:val="19"/>
                <w:color w:val="auto"/>
              </w:rPr>
            </w:pPr>
          </w:p>
        </w:tc>
        <w:tc>
          <w:tcPr>
            <w:tcW w:w="1260" w:type="dxa"/>
            <w:vAlign w:val="bottom"/>
            <w:tcBorders>
              <w:top w:val="single" w:sz="8" w:color="auto"/>
              <w:bottom w:val="single" w:sz="8" w:color="1764AC"/>
              <w:right w:val="single" w:sz="8" w:color="auto"/>
            </w:tcBorders>
            <w:shd w:val="clear" w:color="auto" w:fill="1764AC"/>
          </w:tcPr>
          <w:p>
            <w:pPr>
              <w:spacing w:after="0"/>
              <w:rPr>
                <w:sz w:val="19"/>
                <w:szCs w:val="19"/>
                <w:color w:val="auto"/>
              </w:rPr>
            </w:pPr>
          </w:p>
        </w:tc>
        <w:tc>
          <w:tcPr>
            <w:tcW w:w="2680" w:type="dxa"/>
            <w:vAlign w:val="bottom"/>
            <w:tcBorders>
              <w:top w:val="single" w:sz="8" w:color="auto"/>
              <w:bottom w:val="single" w:sz="8" w:color="1764AC"/>
              <w:right w:val="single" w:sz="8" w:color="auto"/>
            </w:tcBorders>
            <w:gridSpan w:val="2"/>
            <w:shd w:val="clear" w:color="auto" w:fill="1764AC"/>
          </w:tcPr>
          <w:p>
            <w:pPr>
              <w:ind w:left="760"/>
              <w:spacing w:after="0"/>
              <w:rPr>
                <w:sz w:val="20"/>
                <w:szCs w:val="20"/>
                <w:color w:val="auto"/>
              </w:rPr>
            </w:pPr>
            <w:r>
              <w:rPr>
                <w:rFonts w:ascii="Arial" w:cs="Arial" w:eastAsia="Arial" w:hAnsi="Arial"/>
                <w:sz w:val="12"/>
                <w:szCs w:val="12"/>
                <w:color w:val="FFFFFF"/>
              </w:rPr>
              <w:t>Tax equity investment</w:t>
            </w:r>
          </w:p>
        </w:tc>
        <w:tc>
          <w:tcPr>
            <w:tcW w:w="2680" w:type="dxa"/>
            <w:vAlign w:val="bottom"/>
            <w:tcBorders>
              <w:top w:val="single" w:sz="8" w:color="auto"/>
              <w:bottom w:val="single" w:sz="8" w:color="1764AC"/>
              <w:right w:val="single" w:sz="8" w:color="auto"/>
            </w:tcBorders>
            <w:gridSpan w:val="2"/>
            <w:shd w:val="clear" w:color="auto" w:fill="1764AC"/>
          </w:tcPr>
          <w:p>
            <w:pPr>
              <w:ind w:left="280"/>
              <w:spacing w:after="0"/>
              <w:rPr>
                <w:sz w:val="20"/>
                <w:szCs w:val="20"/>
                <w:color w:val="auto"/>
              </w:rPr>
            </w:pPr>
            <w:r>
              <w:rPr>
                <w:rFonts w:ascii="Arial" w:cs="Arial" w:eastAsia="Arial" w:hAnsi="Arial"/>
                <w:sz w:val="12"/>
                <w:szCs w:val="12"/>
                <w:color w:val="FFFFFF"/>
              </w:rPr>
              <w:t>Tax equity partner’s share in cash flows</w:t>
            </w:r>
          </w:p>
        </w:tc>
        <w:tc>
          <w:tcPr>
            <w:tcW w:w="0" w:type="dxa"/>
            <w:vAlign w:val="bottom"/>
          </w:tcPr>
          <w:p>
            <w:pPr>
              <w:spacing w:after="0"/>
              <w:rPr>
                <w:sz w:val="1"/>
                <w:szCs w:val="1"/>
                <w:color w:val="auto"/>
              </w:rPr>
            </w:pPr>
          </w:p>
        </w:tc>
      </w:tr>
      <w:tr>
        <w:trPr>
          <w:trHeight w:val="156"/>
        </w:trPr>
        <w:tc>
          <w:tcPr>
            <w:tcW w:w="1280" w:type="dxa"/>
            <w:vAlign w:val="bottom"/>
            <w:tcBorders>
              <w:top w:val="single" w:sz="8" w:color="auto"/>
              <w:left w:val="single" w:sz="8" w:color="auto"/>
              <w:right w:val="single" w:sz="8" w:color="auto"/>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 millions)</w:t>
            </w:r>
          </w:p>
        </w:tc>
        <w:tc>
          <w:tcPr>
            <w:tcW w:w="1260" w:type="dxa"/>
            <w:vAlign w:val="bottom"/>
            <w:tcBorders>
              <w:top w:val="single" w:sz="8" w:color="auto"/>
              <w:right w:val="single" w:sz="8" w:color="auto"/>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4"/>
              </w:rPr>
              <w:t>Est. Total</w:t>
            </w:r>
          </w:p>
        </w:tc>
        <w:tc>
          <w:tcPr>
            <w:tcW w:w="1340" w:type="dxa"/>
            <w:vAlign w:val="bottom"/>
            <w:tcBorders>
              <w:top w:val="single" w:sz="8" w:color="auto"/>
              <w:right w:val="single" w:sz="8" w:color="auto"/>
            </w:tcBorders>
            <w:vMerge w:val="restart"/>
            <w:shd w:val="clear" w:color="auto" w:fill="1764AC"/>
          </w:tcPr>
          <w:p>
            <w:pPr>
              <w:jc w:val="center"/>
              <w:spacing w:after="0"/>
              <w:rPr>
                <w:sz w:val="20"/>
                <w:szCs w:val="20"/>
                <w:color w:val="auto"/>
              </w:rPr>
            </w:pPr>
            <w:r>
              <w:rPr>
                <w:rFonts w:ascii="Arial" w:cs="Arial" w:eastAsia="Arial" w:hAnsi="Arial"/>
                <w:sz w:val="12"/>
                <w:szCs w:val="12"/>
                <w:color w:val="FFFFFF"/>
              </w:rPr>
              <w:t>Upfront tax</w:t>
            </w:r>
          </w:p>
        </w:tc>
        <w:tc>
          <w:tcPr>
            <w:tcW w:w="1340" w:type="dxa"/>
            <w:vAlign w:val="bottom"/>
            <w:tcBorders>
              <w:top w:val="single" w:sz="8" w:color="auto"/>
              <w:right w:val="single" w:sz="8" w:color="auto"/>
            </w:tcBorders>
            <w:shd w:val="clear" w:color="auto" w:fill="1764AC"/>
          </w:tcPr>
          <w:p>
            <w:pPr>
              <w:ind w:left="140"/>
              <w:spacing w:after="0"/>
              <w:rPr>
                <w:sz w:val="20"/>
                <w:szCs w:val="20"/>
                <w:color w:val="auto"/>
              </w:rPr>
            </w:pPr>
            <w:r>
              <w:rPr>
                <w:rFonts w:ascii="Arial" w:cs="Arial" w:eastAsia="Arial" w:hAnsi="Arial"/>
                <w:sz w:val="12"/>
                <w:szCs w:val="12"/>
                <w:color w:val="FFFFFF"/>
              </w:rPr>
              <w:t>Tax credit proceeds</w:t>
            </w:r>
          </w:p>
        </w:tc>
        <w:tc>
          <w:tcPr>
            <w:tcW w:w="1340" w:type="dxa"/>
            <w:vAlign w:val="bottom"/>
            <w:tcBorders>
              <w:top w:val="single" w:sz="8" w:color="auto"/>
              <w:right w:val="single" w:sz="8" w:color="auto"/>
            </w:tcBorders>
            <w:shd w:val="clear" w:color="auto" w:fill="1764AC"/>
          </w:tcPr>
          <w:p>
            <w:pPr>
              <w:jc w:val="center"/>
              <w:spacing w:after="0"/>
              <w:rPr>
                <w:sz w:val="20"/>
                <w:szCs w:val="20"/>
                <w:color w:val="auto"/>
              </w:rPr>
            </w:pPr>
            <w:r>
              <w:rPr>
                <w:rFonts w:ascii="Arial" w:cs="Arial" w:eastAsia="Arial" w:hAnsi="Arial"/>
                <w:sz w:val="12"/>
                <w:szCs w:val="12"/>
                <w:color w:val="FFFFFF"/>
                <w:w w:val="99"/>
              </w:rPr>
              <w:t>Share in project cash</w:t>
            </w:r>
          </w:p>
        </w:tc>
        <w:tc>
          <w:tcPr>
            <w:tcW w:w="1340" w:type="dxa"/>
            <w:vAlign w:val="bottom"/>
            <w:tcBorders>
              <w:top w:val="single" w:sz="8" w:color="auto"/>
              <w:right w:val="single" w:sz="8" w:color="auto"/>
            </w:tcBorders>
            <w:shd w:val="clear" w:color="auto" w:fill="1764AC"/>
          </w:tcPr>
          <w:p>
            <w:pPr>
              <w:jc w:val="center"/>
              <w:spacing w:after="0"/>
              <w:rPr>
                <w:sz w:val="20"/>
                <w:szCs w:val="20"/>
                <w:color w:val="auto"/>
              </w:rPr>
            </w:pPr>
            <w:r>
              <w:rPr>
                <w:rFonts w:ascii="Arial" w:cs="Arial" w:eastAsia="Arial" w:hAnsi="Arial"/>
                <w:sz w:val="12"/>
                <w:szCs w:val="12"/>
                <w:color w:val="FFFFFF"/>
                <w:w w:val="99"/>
              </w:rPr>
              <w:t>Duration of initial period</w:t>
            </w:r>
          </w:p>
        </w:tc>
        <w:tc>
          <w:tcPr>
            <w:tcW w:w="0" w:type="dxa"/>
            <w:vAlign w:val="bottom"/>
          </w:tcPr>
          <w:p>
            <w:pPr>
              <w:spacing w:after="0"/>
              <w:rPr>
                <w:sz w:val="1"/>
                <w:szCs w:val="1"/>
                <w:color w:val="auto"/>
              </w:rPr>
            </w:pPr>
          </w:p>
        </w:tc>
      </w:tr>
      <w:tr>
        <w:trPr>
          <w:trHeight w:val="72"/>
        </w:trPr>
        <w:tc>
          <w:tcPr>
            <w:tcW w:w="1280" w:type="dxa"/>
            <w:vAlign w:val="bottom"/>
            <w:tcBorders>
              <w:left w:val="single" w:sz="8" w:color="auto"/>
              <w:right w:val="single" w:sz="8" w:color="auto"/>
            </w:tcBorders>
            <w:vMerge w:val="continue"/>
            <w:shd w:val="clear" w:color="auto" w:fill="1764AC"/>
          </w:tcPr>
          <w:p>
            <w:pPr>
              <w:spacing w:after="0"/>
              <w:rPr>
                <w:sz w:val="6"/>
                <w:szCs w:val="6"/>
                <w:color w:val="auto"/>
              </w:rPr>
            </w:pPr>
          </w:p>
        </w:tc>
        <w:tc>
          <w:tcPr>
            <w:tcW w:w="1260" w:type="dxa"/>
            <w:vAlign w:val="bottom"/>
            <w:tcBorders>
              <w:right w:val="single" w:sz="8" w:color="auto"/>
            </w:tcBorders>
            <w:vMerge w:val="continue"/>
            <w:shd w:val="clear" w:color="auto" w:fill="1764AC"/>
          </w:tcPr>
          <w:p>
            <w:pPr>
              <w:spacing w:after="0"/>
              <w:rPr>
                <w:sz w:val="6"/>
                <w:szCs w:val="6"/>
                <w:color w:val="auto"/>
              </w:rPr>
            </w:pPr>
          </w:p>
        </w:tc>
        <w:tc>
          <w:tcPr>
            <w:tcW w:w="1340" w:type="dxa"/>
            <w:vAlign w:val="bottom"/>
            <w:tcBorders>
              <w:right w:val="single" w:sz="8" w:color="auto"/>
            </w:tcBorders>
            <w:vMerge w:val="continue"/>
            <w:shd w:val="clear" w:color="auto" w:fill="1764AC"/>
          </w:tcPr>
          <w:p>
            <w:pPr>
              <w:spacing w:after="0"/>
              <w:rPr>
                <w:sz w:val="6"/>
                <w:szCs w:val="6"/>
                <w:color w:val="auto"/>
              </w:rPr>
            </w:pPr>
          </w:p>
        </w:tc>
        <w:tc>
          <w:tcPr>
            <w:tcW w:w="1340" w:type="dxa"/>
            <w:vAlign w:val="bottom"/>
            <w:tcBorders>
              <w:right w:val="single" w:sz="8" w:color="auto"/>
            </w:tcBorders>
            <w:vMerge w:val="restart"/>
            <w:shd w:val="clear" w:color="auto" w:fill="1764AC"/>
          </w:tcPr>
          <w:p>
            <w:pPr>
              <w:ind w:left="160"/>
              <w:spacing w:after="0"/>
              <w:rPr>
                <w:sz w:val="20"/>
                <w:szCs w:val="20"/>
                <w:color w:val="auto"/>
              </w:rPr>
            </w:pPr>
            <w:r>
              <w:rPr>
                <w:rFonts w:ascii="Arial" w:cs="Arial" w:eastAsia="Arial" w:hAnsi="Arial"/>
                <w:sz w:val="12"/>
                <w:szCs w:val="12"/>
                <w:color w:val="FFFFFF"/>
              </w:rPr>
              <w:t>during the project's</w:t>
            </w:r>
          </w:p>
        </w:tc>
        <w:tc>
          <w:tcPr>
            <w:tcW w:w="1340" w:type="dxa"/>
            <w:vAlign w:val="bottom"/>
            <w:tcBorders>
              <w:right w:val="single" w:sz="8" w:color="auto"/>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flow initial period</w:t>
            </w:r>
          </w:p>
        </w:tc>
        <w:tc>
          <w:tcPr>
            <w:tcW w:w="1340" w:type="dxa"/>
            <w:vAlign w:val="bottom"/>
            <w:tcBorders>
              <w:right w:val="single" w:sz="8" w:color="auto"/>
            </w:tcBorders>
            <w:vMerge w:val="restart"/>
            <w:shd w:val="clear" w:color="auto" w:fill="1764AC"/>
          </w:tcPr>
          <w:p>
            <w:pPr>
              <w:jc w:val="center"/>
              <w:spacing w:after="0"/>
              <w:rPr>
                <w:sz w:val="20"/>
                <w:szCs w:val="20"/>
                <w:color w:val="auto"/>
              </w:rPr>
            </w:pPr>
            <w:r>
              <w:rPr>
                <w:rFonts w:ascii="Arial" w:cs="Arial" w:eastAsia="Arial" w:hAnsi="Arial"/>
                <w:sz w:val="12"/>
                <w:szCs w:val="12"/>
                <w:color w:val="FFFFFF"/>
              </w:rPr>
              <w:t>for share in project</w:t>
            </w:r>
          </w:p>
        </w:tc>
        <w:tc>
          <w:tcPr>
            <w:tcW w:w="0" w:type="dxa"/>
            <w:vAlign w:val="bottom"/>
          </w:tcPr>
          <w:p>
            <w:pPr>
              <w:spacing w:after="0"/>
              <w:rPr>
                <w:sz w:val="1"/>
                <w:szCs w:val="1"/>
                <w:color w:val="auto"/>
              </w:rPr>
            </w:pPr>
          </w:p>
        </w:tc>
      </w:tr>
      <w:tr>
        <w:trPr>
          <w:trHeight w:val="81"/>
        </w:trPr>
        <w:tc>
          <w:tcPr>
            <w:tcW w:w="1280" w:type="dxa"/>
            <w:vAlign w:val="bottom"/>
            <w:tcBorders>
              <w:left w:val="single" w:sz="8" w:color="auto"/>
              <w:right w:val="single" w:sz="8" w:color="auto"/>
            </w:tcBorders>
            <w:vMerge w:val="restart"/>
            <w:shd w:val="clear" w:color="auto" w:fill="1764AC"/>
          </w:tcPr>
          <w:p>
            <w:pPr>
              <w:jc w:val="center"/>
              <w:spacing w:after="0"/>
              <w:rPr>
                <w:sz w:val="20"/>
                <w:szCs w:val="20"/>
                <w:color w:val="auto"/>
              </w:rPr>
            </w:pPr>
            <w:r>
              <w:rPr>
                <w:rFonts w:ascii="Arial" w:cs="Arial" w:eastAsia="Arial" w:hAnsi="Arial"/>
                <w:sz w:val="12"/>
                <w:szCs w:val="12"/>
                <w:b w:val="1"/>
                <w:bCs w:val="1"/>
                <w:color w:val="FFFFFF"/>
              </w:rPr>
              <w:t>Project</w:t>
            </w:r>
            <w:r>
              <w:rPr>
                <w:rFonts w:ascii="Arial" w:cs="Arial" w:eastAsia="Arial" w:hAnsi="Arial"/>
                <w:sz w:val="12"/>
                <w:szCs w:val="12"/>
                <w:color w:val="FFFFFF"/>
              </w:rPr>
              <w:t>s*</w:t>
            </w:r>
          </w:p>
        </w:tc>
        <w:tc>
          <w:tcPr>
            <w:tcW w:w="1260" w:type="dxa"/>
            <w:vAlign w:val="bottom"/>
            <w:tcBorders>
              <w:right w:val="single" w:sz="8" w:color="auto"/>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7"/>
              </w:rPr>
              <w:t>Project Cost</w:t>
            </w:r>
          </w:p>
        </w:tc>
        <w:tc>
          <w:tcPr>
            <w:tcW w:w="1340" w:type="dxa"/>
            <w:vAlign w:val="bottom"/>
            <w:tcBorders>
              <w:right w:val="single" w:sz="8" w:color="auto"/>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8"/>
              </w:rPr>
              <w:t>equity investment</w:t>
            </w:r>
          </w:p>
        </w:tc>
        <w:tc>
          <w:tcPr>
            <w:tcW w:w="1340" w:type="dxa"/>
            <w:vAlign w:val="bottom"/>
            <w:tcBorders>
              <w:right w:val="single" w:sz="8" w:color="auto"/>
            </w:tcBorders>
            <w:vMerge w:val="continue"/>
            <w:shd w:val="clear" w:color="auto" w:fill="1764AC"/>
          </w:tcPr>
          <w:p>
            <w:pPr>
              <w:spacing w:after="0"/>
              <w:rPr>
                <w:sz w:val="7"/>
                <w:szCs w:val="7"/>
                <w:color w:val="auto"/>
              </w:rPr>
            </w:pPr>
          </w:p>
        </w:tc>
        <w:tc>
          <w:tcPr>
            <w:tcW w:w="1340" w:type="dxa"/>
            <w:vAlign w:val="bottom"/>
            <w:tcBorders>
              <w:right w:val="single" w:sz="8" w:color="auto"/>
            </w:tcBorders>
            <w:vMerge w:val="continue"/>
            <w:shd w:val="clear" w:color="auto" w:fill="1764AC"/>
          </w:tcPr>
          <w:p>
            <w:pPr>
              <w:spacing w:after="0"/>
              <w:rPr>
                <w:sz w:val="7"/>
                <w:szCs w:val="7"/>
                <w:color w:val="auto"/>
              </w:rPr>
            </w:pPr>
          </w:p>
        </w:tc>
        <w:tc>
          <w:tcPr>
            <w:tcW w:w="1340" w:type="dxa"/>
            <w:vAlign w:val="bottom"/>
            <w:tcBorders>
              <w:right w:val="single" w:sz="8" w:color="auto"/>
            </w:tcBorders>
            <w:vMerge w:val="continue"/>
            <w:shd w:val="clear" w:color="auto" w:fill="1764AC"/>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80" w:type="dxa"/>
            <w:vAlign w:val="bottom"/>
            <w:tcBorders>
              <w:left w:val="single" w:sz="8" w:color="auto"/>
              <w:right w:val="single" w:sz="8" w:color="auto"/>
            </w:tcBorders>
            <w:vMerge w:val="continue"/>
            <w:shd w:val="clear" w:color="auto" w:fill="1764AC"/>
          </w:tcPr>
          <w:p>
            <w:pPr>
              <w:spacing w:after="0"/>
              <w:rPr>
                <w:sz w:val="7"/>
                <w:szCs w:val="7"/>
                <w:color w:val="auto"/>
              </w:rPr>
            </w:pPr>
          </w:p>
        </w:tc>
        <w:tc>
          <w:tcPr>
            <w:tcW w:w="1260" w:type="dxa"/>
            <w:vAlign w:val="bottom"/>
            <w:tcBorders>
              <w:right w:val="single" w:sz="8" w:color="auto"/>
            </w:tcBorders>
            <w:vMerge w:val="continue"/>
            <w:shd w:val="clear" w:color="auto" w:fill="1764AC"/>
          </w:tcPr>
          <w:p>
            <w:pPr>
              <w:spacing w:after="0"/>
              <w:rPr>
                <w:sz w:val="7"/>
                <w:szCs w:val="7"/>
                <w:color w:val="auto"/>
              </w:rPr>
            </w:pPr>
          </w:p>
        </w:tc>
        <w:tc>
          <w:tcPr>
            <w:tcW w:w="1340" w:type="dxa"/>
            <w:vAlign w:val="bottom"/>
            <w:tcBorders>
              <w:right w:val="single" w:sz="8" w:color="auto"/>
            </w:tcBorders>
            <w:vMerge w:val="continue"/>
            <w:shd w:val="clear" w:color="auto" w:fill="1764AC"/>
          </w:tcPr>
          <w:p>
            <w:pPr>
              <w:spacing w:after="0"/>
              <w:rPr>
                <w:sz w:val="7"/>
                <w:szCs w:val="7"/>
                <w:color w:val="auto"/>
              </w:rPr>
            </w:pPr>
          </w:p>
        </w:tc>
        <w:tc>
          <w:tcPr>
            <w:tcW w:w="1340" w:type="dxa"/>
            <w:vAlign w:val="bottom"/>
            <w:tcBorders>
              <w:right w:val="single" w:sz="8" w:color="auto"/>
            </w:tcBorders>
            <w:vMerge w:val="restart"/>
            <w:shd w:val="clear" w:color="auto" w:fill="1764AC"/>
          </w:tcPr>
          <w:p>
            <w:pPr>
              <w:ind w:left="120"/>
              <w:spacing w:after="0"/>
              <w:rPr>
                <w:sz w:val="20"/>
                <w:szCs w:val="20"/>
                <w:color w:val="auto"/>
              </w:rPr>
            </w:pPr>
            <w:r>
              <w:rPr>
                <w:rFonts w:ascii="Arial" w:cs="Arial" w:eastAsia="Arial" w:hAnsi="Arial"/>
                <w:sz w:val="12"/>
                <w:szCs w:val="12"/>
                <w:color w:val="FFFFFF"/>
              </w:rPr>
              <w:t>operation ("pay-go")</w:t>
            </w:r>
          </w:p>
        </w:tc>
        <w:tc>
          <w:tcPr>
            <w:tcW w:w="1340" w:type="dxa"/>
            <w:vAlign w:val="bottom"/>
            <w:tcBorders>
              <w:right w:val="single" w:sz="8" w:color="auto"/>
            </w:tcBorders>
            <w:vMerge w:val="restart"/>
            <w:shd w:val="clear" w:color="auto" w:fill="1764AC"/>
          </w:tcPr>
          <w:p>
            <w:pPr>
              <w:jc w:val="center"/>
              <w:spacing w:after="0"/>
              <w:rPr>
                <w:sz w:val="20"/>
                <w:szCs w:val="20"/>
                <w:color w:val="auto"/>
              </w:rPr>
            </w:pPr>
            <w:r>
              <w:rPr>
                <w:rFonts w:ascii="Arial" w:cs="Arial" w:eastAsia="Arial" w:hAnsi="Arial"/>
                <w:sz w:val="12"/>
                <w:szCs w:val="12"/>
                <w:color w:val="FFFFFF"/>
              </w:rPr>
              <w:t>(second period)</w:t>
            </w:r>
          </w:p>
        </w:tc>
        <w:tc>
          <w:tcPr>
            <w:tcW w:w="1340" w:type="dxa"/>
            <w:vAlign w:val="bottom"/>
            <w:tcBorders>
              <w:right w:val="single" w:sz="8" w:color="auto"/>
            </w:tcBorders>
            <w:vMerge w:val="restart"/>
            <w:shd w:val="clear" w:color="auto" w:fill="1764AC"/>
          </w:tcPr>
          <w:p>
            <w:pPr>
              <w:jc w:val="center"/>
              <w:spacing w:after="0"/>
              <w:rPr>
                <w:sz w:val="20"/>
                <w:szCs w:val="20"/>
                <w:color w:val="auto"/>
              </w:rPr>
            </w:pPr>
            <w:r>
              <w:rPr>
                <w:rFonts w:ascii="Arial" w:cs="Arial" w:eastAsia="Arial" w:hAnsi="Arial"/>
                <w:sz w:val="12"/>
                <w:szCs w:val="12"/>
                <w:color w:val="FFFFFF"/>
                <w:w w:val="99"/>
              </w:rPr>
              <w:t>cash flow (years)</w:t>
            </w:r>
          </w:p>
        </w:tc>
        <w:tc>
          <w:tcPr>
            <w:tcW w:w="0" w:type="dxa"/>
            <w:vAlign w:val="bottom"/>
          </w:tcPr>
          <w:p>
            <w:pPr>
              <w:spacing w:after="0"/>
              <w:rPr>
                <w:sz w:val="1"/>
                <w:szCs w:val="1"/>
                <w:color w:val="auto"/>
              </w:rPr>
            </w:pPr>
          </w:p>
        </w:tc>
      </w:tr>
      <w:tr>
        <w:trPr>
          <w:trHeight w:val="109"/>
        </w:trPr>
        <w:tc>
          <w:tcPr>
            <w:tcW w:w="1280" w:type="dxa"/>
            <w:vAlign w:val="bottom"/>
            <w:tcBorders>
              <w:left w:val="single" w:sz="8" w:color="auto"/>
              <w:bottom w:val="single" w:sz="8" w:color="1764AC"/>
              <w:right w:val="single" w:sz="8" w:color="auto"/>
            </w:tcBorders>
            <w:shd w:val="clear" w:color="auto" w:fill="1764AC"/>
          </w:tcPr>
          <w:p>
            <w:pPr>
              <w:spacing w:after="0"/>
              <w:rPr>
                <w:sz w:val="9"/>
                <w:szCs w:val="9"/>
                <w:color w:val="auto"/>
              </w:rPr>
            </w:pPr>
          </w:p>
        </w:tc>
        <w:tc>
          <w:tcPr>
            <w:tcW w:w="1260" w:type="dxa"/>
            <w:vAlign w:val="bottom"/>
            <w:tcBorders>
              <w:bottom w:val="single" w:sz="8" w:color="1764AC"/>
              <w:right w:val="single" w:sz="8" w:color="auto"/>
            </w:tcBorders>
            <w:shd w:val="clear" w:color="auto" w:fill="1764AC"/>
          </w:tcPr>
          <w:p>
            <w:pPr>
              <w:spacing w:after="0"/>
              <w:rPr>
                <w:sz w:val="9"/>
                <w:szCs w:val="9"/>
                <w:color w:val="auto"/>
              </w:rPr>
            </w:pPr>
          </w:p>
        </w:tc>
        <w:tc>
          <w:tcPr>
            <w:tcW w:w="1340" w:type="dxa"/>
            <w:vAlign w:val="bottom"/>
            <w:tcBorders>
              <w:bottom w:val="single" w:sz="8" w:color="1764AC"/>
              <w:right w:val="single" w:sz="8" w:color="auto"/>
            </w:tcBorders>
            <w:shd w:val="clear" w:color="auto" w:fill="1764AC"/>
          </w:tcPr>
          <w:p>
            <w:pPr>
              <w:spacing w:after="0"/>
              <w:rPr>
                <w:sz w:val="9"/>
                <w:szCs w:val="9"/>
                <w:color w:val="auto"/>
              </w:rPr>
            </w:pPr>
          </w:p>
        </w:tc>
        <w:tc>
          <w:tcPr>
            <w:tcW w:w="1340" w:type="dxa"/>
            <w:vAlign w:val="bottom"/>
            <w:tcBorders>
              <w:bottom w:val="single" w:sz="8" w:color="1764AC"/>
              <w:right w:val="single" w:sz="8" w:color="auto"/>
            </w:tcBorders>
            <w:vMerge w:val="continue"/>
            <w:shd w:val="clear" w:color="auto" w:fill="1764AC"/>
          </w:tcPr>
          <w:p>
            <w:pPr>
              <w:spacing w:after="0"/>
              <w:rPr>
                <w:sz w:val="9"/>
                <w:szCs w:val="9"/>
                <w:color w:val="auto"/>
              </w:rPr>
            </w:pPr>
          </w:p>
        </w:tc>
        <w:tc>
          <w:tcPr>
            <w:tcW w:w="1340" w:type="dxa"/>
            <w:vAlign w:val="bottom"/>
            <w:tcBorders>
              <w:bottom w:val="single" w:sz="8" w:color="1764AC"/>
              <w:right w:val="single" w:sz="8" w:color="auto"/>
            </w:tcBorders>
            <w:vMerge w:val="continue"/>
            <w:shd w:val="clear" w:color="auto" w:fill="1764AC"/>
          </w:tcPr>
          <w:p>
            <w:pPr>
              <w:spacing w:after="0"/>
              <w:rPr>
                <w:sz w:val="9"/>
                <w:szCs w:val="9"/>
                <w:color w:val="auto"/>
              </w:rPr>
            </w:pPr>
          </w:p>
        </w:tc>
        <w:tc>
          <w:tcPr>
            <w:tcW w:w="1340" w:type="dxa"/>
            <w:vAlign w:val="bottom"/>
            <w:tcBorders>
              <w:bottom w:val="single" w:sz="8" w:color="1764AC"/>
              <w:right w:val="single" w:sz="8" w:color="auto"/>
            </w:tcBorders>
            <w:vMerge w:val="continue"/>
            <w:shd w:val="clear" w:color="auto" w:fill="1764AC"/>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Atrisco PV</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369</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198</w:t>
            </w:r>
          </w:p>
        </w:tc>
        <w:tc>
          <w:tcPr>
            <w:tcW w:w="1340" w:type="dxa"/>
            <w:vAlign w:val="bottom"/>
            <w:tcBorders>
              <w:top w:val="single" w:sz="8" w:color="auto"/>
              <w:right w:val="single" w:sz="8" w:color="auto"/>
            </w:tcBorders>
          </w:tcPr>
          <w:p>
            <w:pPr>
              <w:jc w:val="right"/>
              <w:ind w:right="560"/>
              <w:spacing w:after="0"/>
              <w:rPr>
                <w:sz w:val="20"/>
                <w:szCs w:val="20"/>
                <w:color w:val="auto"/>
              </w:rPr>
            </w:pPr>
            <w:r>
              <w:rPr>
                <w:rFonts w:ascii="Arial" w:cs="Arial" w:eastAsia="Arial" w:hAnsi="Arial"/>
                <w:sz w:val="12"/>
                <w:szCs w:val="12"/>
                <w:color w:val="auto"/>
              </w:rPr>
              <w:t>55</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17.5% (5)%</w:t>
            </w:r>
          </w:p>
        </w:tc>
        <w:tc>
          <w:tcPr>
            <w:tcW w:w="1340" w:type="dxa"/>
            <w:vAlign w:val="bottom"/>
            <w:tcBorders>
              <w:top w:val="single" w:sz="8" w:color="auto"/>
              <w:right w:val="single" w:sz="8" w:color="auto"/>
            </w:tcBorders>
          </w:tcPr>
          <w:p>
            <w:pPr>
              <w:jc w:val="right"/>
              <w:ind w:right="54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34"/>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Atrisco BESS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458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222</w:t>
            </w:r>
          </w:p>
        </w:tc>
        <w:tc>
          <w:tcPr>
            <w:tcW w:w="1340" w:type="dxa"/>
            <w:vAlign w:val="bottom"/>
            <w:tcBorders>
              <w:right w:val="single" w:sz="8" w:color="auto"/>
            </w:tcBorders>
          </w:tcPr>
          <w:p>
            <w:pPr>
              <w:jc w:val="right"/>
              <w:ind w:right="600"/>
              <w:spacing w:after="0"/>
              <w:rPr>
                <w:sz w:val="20"/>
                <w:szCs w:val="20"/>
                <w:color w:val="auto"/>
              </w:rPr>
            </w:pPr>
            <w:r>
              <w:rPr>
                <w:rFonts w:ascii="Arial" w:cs="Arial" w:eastAsia="Arial" w:hAnsi="Arial"/>
                <w:sz w:val="12"/>
                <w:szCs w:val="12"/>
                <w:color w:val="auto"/>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19.0% (5)%</w:t>
            </w:r>
          </w:p>
        </w:tc>
        <w:tc>
          <w:tcPr>
            <w:tcW w:w="1340" w:type="dxa"/>
            <w:vAlign w:val="bottom"/>
            <w:tcBorders>
              <w:right w:val="single" w:sz="8" w:color="auto"/>
            </w:tcBorders>
          </w:tcPr>
          <w:p>
            <w:pPr>
              <w:jc w:val="right"/>
              <w:ind w:right="58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34"/>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 Apex financing was structured as a sale and leaseback and therefore not included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4"/>
        </w:trPr>
        <w:tc>
          <w:tcPr>
            <w:tcW w:w="8160" w:type="dxa"/>
            <w:vAlign w:val="bottom"/>
          </w:tcPr>
          <w:p>
            <w:pPr>
              <w:spacing w:after="0"/>
              <w:rPr>
                <w:sz w:val="20"/>
                <w:szCs w:val="20"/>
                <w:color w:val="auto"/>
              </w:rPr>
            </w:pPr>
            <w:r>
              <w:rPr>
                <w:rFonts w:ascii="Arial" w:cs="Arial" w:eastAsia="Arial" w:hAnsi="Arial"/>
                <w:sz w:val="12"/>
                <w:szCs w:val="12"/>
                <w:b w:val="1"/>
                <w:bCs w:val="1"/>
                <w:color w:val="auto"/>
              </w:rPr>
              <w:t>Appendix 6 – cash and cash equivalents</w:t>
            </w:r>
          </w:p>
        </w:tc>
        <w:tc>
          <w:tcPr>
            <w:tcW w:w="3140" w:type="dxa"/>
            <w:vAlign w:val="bottom"/>
          </w:tcPr>
          <w:p>
            <w:pPr>
              <w:spacing w:after="0"/>
              <w:rPr>
                <w:sz w:val="14"/>
                <w:szCs w:val="14"/>
                <w:color w:val="auto"/>
              </w:rPr>
            </w:pPr>
          </w:p>
        </w:tc>
      </w:tr>
      <w:tr>
        <w:trPr>
          <w:trHeight w:val="145"/>
        </w:trPr>
        <w:tc>
          <w:tcPr>
            <w:tcW w:w="816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187"/>
        </w:trPr>
        <w:tc>
          <w:tcPr>
            <w:tcW w:w="8160" w:type="dxa"/>
            <w:vAlign w:val="bottom"/>
            <w:tcBorders>
              <w:bottom w:val="single" w:sz="8" w:color="1764AC"/>
            </w:tcBorders>
            <w:shd w:val="clear" w:color="auto" w:fill="1764AC"/>
          </w:tcPr>
          <w:p>
            <w:pPr>
              <w:ind w:left="20"/>
              <w:spacing w:after="0"/>
              <w:rPr>
                <w:sz w:val="20"/>
                <w:szCs w:val="20"/>
                <w:color w:val="auto"/>
              </w:rPr>
            </w:pPr>
            <w:r>
              <w:rPr>
                <w:rFonts w:ascii="Arial" w:cs="Arial" w:eastAsia="Arial" w:hAnsi="Arial"/>
                <w:sz w:val="12"/>
                <w:szCs w:val="12"/>
                <w:b w:val="1"/>
                <w:bCs w:val="1"/>
                <w:i w:val="1"/>
                <w:iCs w:val="1"/>
                <w:color w:val="FFFFFF"/>
              </w:rPr>
              <w:t>($ thousands)</w:t>
            </w:r>
          </w:p>
        </w:tc>
        <w:tc>
          <w:tcPr>
            <w:tcW w:w="3140" w:type="dxa"/>
            <w:vAlign w:val="bottom"/>
            <w:tcBorders>
              <w:bottom w:val="single" w:sz="8" w:color="1764AC"/>
            </w:tcBorders>
            <w:shd w:val="clear" w:color="auto" w:fill="1764AC"/>
          </w:tcPr>
          <w:p>
            <w:pPr>
              <w:ind w:left="1900"/>
              <w:spacing w:after="0"/>
              <w:rPr>
                <w:sz w:val="20"/>
                <w:szCs w:val="20"/>
                <w:color w:val="auto"/>
              </w:rPr>
            </w:pPr>
            <w:r>
              <w:rPr>
                <w:rFonts w:ascii="Arial" w:cs="Arial" w:eastAsia="Arial" w:hAnsi="Arial"/>
                <w:sz w:val="12"/>
                <w:szCs w:val="12"/>
                <w:b w:val="1"/>
                <w:bCs w:val="1"/>
                <w:color w:val="FFFFFF"/>
              </w:rPr>
              <w:t>June 30, 2025</w:t>
            </w:r>
          </w:p>
        </w:tc>
      </w:tr>
      <w:tr>
        <w:trPr>
          <w:trHeight w:val="179"/>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Cash and Cash Equivalents:</w:t>
            </w:r>
          </w:p>
        </w:tc>
        <w:tc>
          <w:tcPr>
            <w:tcW w:w="3140" w:type="dxa"/>
            <w:vAlign w:val="bottom"/>
          </w:tcPr>
          <w:p>
            <w:pPr>
              <w:spacing w:after="0"/>
              <w:rPr>
                <w:sz w:val="15"/>
                <w:szCs w:val="15"/>
                <w:color w:val="auto"/>
              </w:rPr>
            </w:pPr>
          </w:p>
        </w:tc>
      </w:tr>
      <w:tr>
        <w:trPr>
          <w:trHeight w:val="28"/>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7"/>
        </w:trPr>
        <w:tc>
          <w:tcPr>
            <w:tcW w:w="8160" w:type="dxa"/>
            <w:vAlign w:val="bottom"/>
          </w:tcPr>
          <w:p>
            <w:pPr>
              <w:ind w:left="20"/>
              <w:spacing w:after="0"/>
              <w:rPr>
                <w:sz w:val="20"/>
                <w:szCs w:val="20"/>
                <w:color w:val="auto"/>
              </w:rPr>
            </w:pPr>
            <w:r>
              <w:rPr>
                <w:rFonts w:ascii="Arial" w:cs="Arial" w:eastAsia="Arial" w:hAnsi="Arial"/>
                <w:sz w:val="12"/>
                <w:szCs w:val="12"/>
                <w:color w:val="auto"/>
              </w:rPr>
              <w:t xml:space="preserve">Enlight Renewable Energy Ltd, Enlight EU Energies Kft and Enlight Renewable LLC excluding subsidiaries </w:t>
            </w:r>
            <w:r>
              <w:rPr>
                <w:rFonts w:ascii="Arial" w:cs="Arial" w:eastAsia="Arial" w:hAnsi="Arial"/>
                <w:sz w:val="12"/>
                <w:szCs w:val="12"/>
                <w:b w:val="1"/>
                <w:bCs w:val="1"/>
                <w:color w:val="auto"/>
              </w:rPr>
              <w:t>(“Topco”)</w:t>
            </w:r>
          </w:p>
        </w:tc>
        <w:tc>
          <w:tcPr>
            <w:tcW w:w="3140" w:type="dxa"/>
            <w:vAlign w:val="bottom"/>
          </w:tcPr>
          <w:p>
            <w:pPr>
              <w:jc w:val="center"/>
              <w:ind w:left="1380"/>
              <w:spacing w:after="0"/>
              <w:rPr>
                <w:sz w:val="20"/>
                <w:szCs w:val="20"/>
                <w:color w:val="auto"/>
              </w:rPr>
            </w:pPr>
            <w:r>
              <w:rPr>
                <w:rFonts w:ascii="Arial" w:cs="Arial" w:eastAsia="Arial" w:hAnsi="Arial"/>
                <w:sz w:val="12"/>
                <w:szCs w:val="12"/>
                <w:color w:val="auto"/>
                <w:w w:val="96"/>
              </w:rPr>
              <w:t>123,464</w:t>
            </w:r>
          </w:p>
        </w:tc>
      </w:tr>
      <w:tr>
        <w:trPr>
          <w:trHeight w:val="28"/>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Subsidiaries</w:t>
            </w:r>
          </w:p>
        </w:tc>
        <w:tc>
          <w:tcPr>
            <w:tcW w:w="3140" w:type="dxa"/>
            <w:vAlign w:val="bottom"/>
          </w:tcPr>
          <w:p>
            <w:pPr>
              <w:jc w:val="center"/>
              <w:ind w:left="1380"/>
              <w:spacing w:after="0"/>
              <w:rPr>
                <w:sz w:val="20"/>
                <w:szCs w:val="20"/>
                <w:color w:val="auto"/>
              </w:rPr>
            </w:pPr>
            <w:r>
              <w:rPr>
                <w:rFonts w:ascii="Arial" w:cs="Arial" w:eastAsia="Arial" w:hAnsi="Arial"/>
                <w:sz w:val="12"/>
                <w:szCs w:val="12"/>
                <w:color w:val="auto"/>
                <w:w w:val="96"/>
              </w:rPr>
              <w:t>356,995</w:t>
            </w:r>
          </w:p>
        </w:tc>
      </w:tr>
      <w:tr>
        <w:trPr>
          <w:trHeight w:val="34"/>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7"/>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Deposits:</w:t>
            </w:r>
          </w:p>
        </w:tc>
        <w:tc>
          <w:tcPr>
            <w:tcW w:w="3140" w:type="dxa"/>
            <w:vAlign w:val="bottom"/>
          </w:tcPr>
          <w:p>
            <w:pPr>
              <w:spacing w:after="0"/>
              <w:rPr>
                <w:sz w:val="15"/>
                <w:szCs w:val="15"/>
                <w:color w:val="auto"/>
              </w:rPr>
            </w:pPr>
          </w:p>
        </w:tc>
      </w:tr>
      <w:tr>
        <w:trPr>
          <w:trHeight w:val="28"/>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Short term deposits</w:t>
            </w:r>
          </w:p>
        </w:tc>
        <w:tc>
          <w:tcPr>
            <w:tcW w:w="3140" w:type="dxa"/>
            <w:vAlign w:val="bottom"/>
          </w:tcPr>
          <w:p>
            <w:pPr>
              <w:jc w:val="center"/>
              <w:ind w:left="1400"/>
              <w:spacing w:after="0"/>
              <w:rPr>
                <w:sz w:val="20"/>
                <w:szCs w:val="20"/>
                <w:color w:val="auto"/>
              </w:rPr>
            </w:pPr>
            <w:r>
              <w:rPr>
                <w:rFonts w:ascii="Arial" w:cs="Arial" w:eastAsia="Arial" w:hAnsi="Arial"/>
                <w:sz w:val="12"/>
                <w:szCs w:val="12"/>
                <w:color w:val="auto"/>
                <w:w w:val="98"/>
              </w:rPr>
              <w:t>-</w:t>
            </w:r>
          </w:p>
        </w:tc>
      </w:tr>
      <w:tr>
        <w:trPr>
          <w:trHeight w:val="34"/>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7"/>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Restricted Cash:</w:t>
            </w:r>
          </w:p>
        </w:tc>
        <w:tc>
          <w:tcPr>
            <w:tcW w:w="3140" w:type="dxa"/>
            <w:vAlign w:val="bottom"/>
          </w:tcPr>
          <w:p>
            <w:pPr>
              <w:spacing w:after="0"/>
              <w:rPr>
                <w:sz w:val="15"/>
                <w:szCs w:val="15"/>
                <w:color w:val="auto"/>
              </w:rPr>
            </w:pPr>
          </w:p>
        </w:tc>
      </w:tr>
      <w:tr>
        <w:trPr>
          <w:trHeight w:val="28"/>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Projects under construction</w:t>
            </w:r>
          </w:p>
        </w:tc>
        <w:tc>
          <w:tcPr>
            <w:tcW w:w="3140" w:type="dxa"/>
            <w:vAlign w:val="bottom"/>
          </w:tcPr>
          <w:p>
            <w:pPr>
              <w:jc w:val="center"/>
              <w:ind w:left="1380"/>
              <w:spacing w:after="0"/>
              <w:rPr>
                <w:sz w:val="20"/>
                <w:szCs w:val="20"/>
                <w:color w:val="auto"/>
              </w:rPr>
            </w:pPr>
            <w:r>
              <w:rPr>
                <w:rFonts w:ascii="Arial" w:cs="Arial" w:eastAsia="Arial" w:hAnsi="Arial"/>
                <w:sz w:val="12"/>
                <w:szCs w:val="12"/>
                <w:color w:val="auto"/>
              </w:rPr>
              <w:t>86,164</w:t>
            </w:r>
          </w:p>
        </w:tc>
      </w:tr>
      <w:tr>
        <w:trPr>
          <w:trHeight w:val="34"/>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Reserves, including debt service, performance obligations and others</w:t>
            </w:r>
          </w:p>
        </w:tc>
        <w:tc>
          <w:tcPr>
            <w:tcW w:w="3140" w:type="dxa"/>
            <w:vAlign w:val="bottom"/>
          </w:tcPr>
          <w:p>
            <w:pPr>
              <w:jc w:val="center"/>
              <w:ind w:left="1380"/>
              <w:spacing w:after="0"/>
              <w:rPr>
                <w:sz w:val="20"/>
                <w:szCs w:val="20"/>
                <w:color w:val="auto"/>
              </w:rPr>
            </w:pPr>
            <w:r>
              <w:rPr>
                <w:rFonts w:ascii="Arial" w:cs="Arial" w:eastAsia="Arial" w:hAnsi="Arial"/>
                <w:sz w:val="12"/>
                <w:szCs w:val="12"/>
                <w:color w:val="auto"/>
              </w:rPr>
              <w:t>64,488</w:t>
            </w:r>
          </w:p>
        </w:tc>
      </w:tr>
      <w:tr>
        <w:trPr>
          <w:trHeight w:val="34"/>
        </w:trPr>
        <w:tc>
          <w:tcPr>
            <w:tcW w:w="8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185"/>
        </w:trPr>
        <w:tc>
          <w:tcPr>
            <w:tcW w:w="8160" w:type="dxa"/>
            <w:vAlign w:val="bottom"/>
            <w:tcBorders>
              <w:bottom w:val="single" w:sz="8" w:color="BDD6EE"/>
            </w:tcBorders>
            <w:shd w:val="clear" w:color="auto" w:fill="BDD6EE"/>
          </w:tcPr>
          <w:p>
            <w:pPr>
              <w:ind w:left="20"/>
              <w:spacing w:after="0"/>
              <w:rPr>
                <w:sz w:val="20"/>
                <w:szCs w:val="20"/>
                <w:color w:val="auto"/>
              </w:rPr>
            </w:pPr>
            <w:r>
              <w:rPr>
                <w:rFonts w:ascii="Arial" w:cs="Arial" w:eastAsia="Arial" w:hAnsi="Arial"/>
                <w:sz w:val="12"/>
                <w:szCs w:val="12"/>
                <w:b w:val="1"/>
                <w:bCs w:val="1"/>
                <w:color w:val="auto"/>
              </w:rPr>
              <w:t>Total Cash</w:t>
            </w:r>
          </w:p>
        </w:tc>
        <w:tc>
          <w:tcPr>
            <w:tcW w:w="3140" w:type="dxa"/>
            <w:vAlign w:val="bottom"/>
            <w:tcBorders>
              <w:bottom w:val="single" w:sz="8" w:color="BDD6EE"/>
            </w:tcBorders>
            <w:shd w:val="clear" w:color="auto" w:fill="BDD6EE"/>
          </w:tcPr>
          <w:p>
            <w:pPr>
              <w:jc w:val="center"/>
              <w:ind w:left="1380"/>
              <w:spacing w:after="0"/>
              <w:rPr>
                <w:sz w:val="20"/>
                <w:szCs w:val="20"/>
                <w:color w:val="auto"/>
              </w:rPr>
            </w:pPr>
            <w:r>
              <w:rPr>
                <w:rFonts w:ascii="Arial" w:cs="Arial" w:eastAsia="Arial" w:hAnsi="Arial"/>
                <w:sz w:val="12"/>
                <w:szCs w:val="12"/>
                <w:b w:val="1"/>
                <w:bCs w:val="1"/>
                <w:color w:val="auto"/>
                <w:w w:val="96"/>
              </w:rPr>
              <w:t>631,111</w:t>
            </w:r>
          </w:p>
        </w:tc>
      </w:tr>
      <w:tr>
        <w:trPr>
          <w:trHeight w:val="305"/>
        </w:trPr>
        <w:tc>
          <w:tcPr>
            <w:tcW w:w="8160" w:type="dxa"/>
            <w:vAlign w:val="bottom"/>
          </w:tcPr>
          <w:p>
            <w:pPr>
              <w:spacing w:after="0"/>
              <w:rPr>
                <w:sz w:val="20"/>
                <w:szCs w:val="20"/>
                <w:color w:val="auto"/>
              </w:rPr>
            </w:pPr>
            <w:r>
              <w:rPr>
                <w:rFonts w:ascii="Arial" w:cs="Arial" w:eastAsia="Arial" w:hAnsi="Arial"/>
                <w:sz w:val="12"/>
                <w:szCs w:val="12"/>
                <w:b w:val="1"/>
                <w:bCs w:val="1"/>
                <w:color w:val="auto"/>
              </w:rPr>
              <w:t>Appendix 7 – Corporate level (TopCo) debt</w:t>
            </w:r>
          </w:p>
        </w:tc>
        <w:tc>
          <w:tcPr>
            <w:tcW w:w="3140" w:type="dxa"/>
            <w:vAlign w:val="bottom"/>
          </w:tcPr>
          <w:p>
            <w:pPr>
              <w:spacing w:after="0"/>
              <w:rPr>
                <w:sz w:val="24"/>
                <w:szCs w:val="24"/>
                <w:color w:val="auto"/>
              </w:rPr>
            </w:pPr>
          </w:p>
        </w:tc>
      </w:tr>
      <w:tr>
        <w:trPr>
          <w:trHeight w:val="145"/>
        </w:trPr>
        <w:tc>
          <w:tcPr>
            <w:tcW w:w="816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187"/>
        </w:trPr>
        <w:tc>
          <w:tcPr>
            <w:tcW w:w="8160" w:type="dxa"/>
            <w:vAlign w:val="bottom"/>
            <w:tcBorders>
              <w:bottom w:val="single" w:sz="8" w:color="1764AC"/>
            </w:tcBorders>
            <w:shd w:val="clear" w:color="auto" w:fill="1764AC"/>
          </w:tcPr>
          <w:p>
            <w:pPr>
              <w:ind w:left="20"/>
              <w:spacing w:after="0"/>
              <w:rPr>
                <w:sz w:val="20"/>
                <w:szCs w:val="20"/>
                <w:color w:val="auto"/>
              </w:rPr>
            </w:pPr>
            <w:r>
              <w:rPr>
                <w:rFonts w:ascii="Arial" w:cs="Arial" w:eastAsia="Arial" w:hAnsi="Arial"/>
                <w:sz w:val="12"/>
                <w:szCs w:val="12"/>
                <w:b w:val="1"/>
                <w:bCs w:val="1"/>
                <w:i w:val="1"/>
                <w:iCs w:val="1"/>
                <w:color w:val="FFFFFF"/>
              </w:rPr>
              <w:t>($ thousands)</w:t>
            </w:r>
          </w:p>
        </w:tc>
        <w:tc>
          <w:tcPr>
            <w:tcW w:w="3140" w:type="dxa"/>
            <w:vAlign w:val="bottom"/>
            <w:tcBorders>
              <w:bottom w:val="single" w:sz="8" w:color="1764AC"/>
            </w:tcBorders>
            <w:shd w:val="clear" w:color="auto" w:fill="1764AC"/>
          </w:tcPr>
          <w:p>
            <w:pPr>
              <w:ind w:left="1900"/>
              <w:spacing w:after="0"/>
              <w:rPr>
                <w:sz w:val="20"/>
                <w:szCs w:val="20"/>
                <w:color w:val="auto"/>
              </w:rPr>
            </w:pPr>
            <w:r>
              <w:rPr>
                <w:rFonts w:ascii="Arial" w:cs="Arial" w:eastAsia="Arial" w:hAnsi="Arial"/>
                <w:sz w:val="12"/>
                <w:szCs w:val="12"/>
                <w:b w:val="1"/>
                <w:bCs w:val="1"/>
                <w:color w:val="FFFFFF"/>
              </w:rPr>
              <w:t>June 30, 2025</w:t>
            </w:r>
          </w:p>
        </w:tc>
      </w:tr>
      <w:tr>
        <w:trPr>
          <w:trHeight w:val="179"/>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Debentures:</w:t>
            </w:r>
          </w:p>
        </w:tc>
        <w:tc>
          <w:tcPr>
            <w:tcW w:w="3140" w:type="dxa"/>
            <w:vAlign w:val="bottom"/>
          </w:tcPr>
          <w:p>
            <w:pPr>
              <w:spacing w:after="0"/>
              <w:rPr>
                <w:sz w:val="15"/>
                <w:szCs w:val="15"/>
                <w:color w:val="auto"/>
              </w:rPr>
            </w:pPr>
          </w:p>
        </w:tc>
      </w:tr>
      <w:tr>
        <w:trPr>
          <w:trHeight w:val="28"/>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Debentures</w:t>
            </w:r>
          </w:p>
        </w:tc>
        <w:tc>
          <w:tcPr>
            <w:tcW w:w="3140" w:type="dxa"/>
            <w:vAlign w:val="bottom"/>
          </w:tcPr>
          <w:p>
            <w:pPr>
              <w:jc w:val="center"/>
              <w:ind w:left="1380"/>
              <w:spacing w:after="0"/>
              <w:rPr>
                <w:sz w:val="20"/>
                <w:szCs w:val="20"/>
                <w:color w:val="auto"/>
              </w:rPr>
            </w:pPr>
            <w:r>
              <w:rPr>
                <w:rFonts w:ascii="Arial" w:cs="Arial" w:eastAsia="Arial" w:hAnsi="Arial"/>
                <w:sz w:val="12"/>
                <w:szCs w:val="12"/>
                <w:color w:val="auto"/>
              </w:rPr>
              <w:t>634,586*</w:t>
            </w:r>
          </w:p>
        </w:tc>
      </w:tr>
      <w:tr>
        <w:trPr>
          <w:trHeight w:val="34"/>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Convertible debentures</w:t>
            </w:r>
          </w:p>
        </w:tc>
        <w:tc>
          <w:tcPr>
            <w:tcW w:w="3140" w:type="dxa"/>
            <w:vAlign w:val="bottom"/>
          </w:tcPr>
          <w:p>
            <w:pPr>
              <w:jc w:val="center"/>
              <w:ind w:left="1380"/>
              <w:spacing w:after="0"/>
              <w:rPr>
                <w:sz w:val="20"/>
                <w:szCs w:val="20"/>
                <w:color w:val="auto"/>
              </w:rPr>
            </w:pPr>
            <w:r>
              <w:rPr>
                <w:rFonts w:ascii="Arial" w:cs="Arial" w:eastAsia="Arial" w:hAnsi="Arial"/>
                <w:sz w:val="12"/>
                <w:szCs w:val="12"/>
                <w:color w:val="auto"/>
                <w:w w:val="96"/>
              </w:rPr>
              <w:t>257,647</w:t>
            </w:r>
          </w:p>
        </w:tc>
      </w:tr>
      <w:tr>
        <w:trPr>
          <w:trHeight w:val="34"/>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7"/>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Loans from banks and other financial institutions:</w:t>
            </w:r>
          </w:p>
        </w:tc>
        <w:tc>
          <w:tcPr>
            <w:tcW w:w="3140" w:type="dxa"/>
            <w:vAlign w:val="bottom"/>
          </w:tcPr>
          <w:p>
            <w:pPr>
              <w:spacing w:after="0"/>
              <w:rPr>
                <w:sz w:val="15"/>
                <w:szCs w:val="15"/>
                <w:color w:val="auto"/>
              </w:rPr>
            </w:pPr>
          </w:p>
        </w:tc>
      </w:tr>
      <w:tr>
        <w:trPr>
          <w:trHeight w:val="28"/>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Credit and short-term loans from banks and other financial institutions</w:t>
            </w:r>
          </w:p>
        </w:tc>
        <w:tc>
          <w:tcPr>
            <w:tcW w:w="3140" w:type="dxa"/>
            <w:vAlign w:val="bottom"/>
          </w:tcPr>
          <w:p>
            <w:pPr>
              <w:jc w:val="center"/>
              <w:ind w:left="1400"/>
              <w:spacing w:after="0"/>
              <w:rPr>
                <w:sz w:val="20"/>
                <w:szCs w:val="20"/>
                <w:color w:val="auto"/>
              </w:rPr>
            </w:pPr>
            <w:r>
              <w:rPr>
                <w:rFonts w:ascii="Arial" w:cs="Arial" w:eastAsia="Arial" w:hAnsi="Arial"/>
                <w:sz w:val="12"/>
                <w:szCs w:val="12"/>
                <w:color w:val="auto"/>
                <w:w w:val="98"/>
              </w:rPr>
              <w:t>-</w:t>
            </w:r>
          </w:p>
        </w:tc>
      </w:tr>
      <w:tr>
        <w:trPr>
          <w:trHeight w:val="34"/>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1"/>
        </w:trPr>
        <w:tc>
          <w:tcPr>
            <w:tcW w:w="8160" w:type="dxa"/>
            <w:vAlign w:val="bottom"/>
          </w:tcPr>
          <w:p>
            <w:pPr>
              <w:ind w:left="20"/>
              <w:spacing w:after="0"/>
              <w:rPr>
                <w:sz w:val="20"/>
                <w:szCs w:val="20"/>
                <w:color w:val="auto"/>
              </w:rPr>
            </w:pPr>
            <w:r>
              <w:rPr>
                <w:rFonts w:ascii="Arial" w:cs="Arial" w:eastAsia="Arial" w:hAnsi="Arial"/>
                <w:sz w:val="12"/>
                <w:szCs w:val="12"/>
                <w:color w:val="auto"/>
              </w:rPr>
              <w:t>Loans from banks and other financial institutions</w:t>
            </w:r>
          </w:p>
        </w:tc>
        <w:tc>
          <w:tcPr>
            <w:tcW w:w="3140" w:type="dxa"/>
            <w:vAlign w:val="bottom"/>
          </w:tcPr>
          <w:p>
            <w:pPr>
              <w:jc w:val="center"/>
              <w:ind w:left="1380"/>
              <w:spacing w:after="0"/>
              <w:rPr>
                <w:sz w:val="20"/>
                <w:szCs w:val="20"/>
                <w:color w:val="auto"/>
              </w:rPr>
            </w:pPr>
            <w:r>
              <w:rPr>
                <w:rFonts w:ascii="Arial" w:cs="Arial" w:eastAsia="Arial" w:hAnsi="Arial"/>
                <w:sz w:val="12"/>
                <w:szCs w:val="12"/>
                <w:color w:val="auto"/>
                <w:w w:val="96"/>
              </w:rPr>
              <w:t>116,426</w:t>
            </w:r>
          </w:p>
        </w:tc>
      </w:tr>
      <w:tr>
        <w:trPr>
          <w:trHeight w:val="34"/>
        </w:trPr>
        <w:tc>
          <w:tcPr>
            <w:tcW w:w="8160" w:type="dxa"/>
            <w:vAlign w:val="bottom"/>
            <w:tcBorders>
              <w:bottom w:val="single" w:sz="8" w:color="132547"/>
            </w:tcBorders>
          </w:tcPr>
          <w:p>
            <w:pPr>
              <w:spacing w:after="0"/>
              <w:rPr>
                <w:sz w:val="2"/>
                <w:szCs w:val="2"/>
                <w:color w:val="auto"/>
              </w:rPr>
            </w:pPr>
          </w:p>
        </w:tc>
        <w:tc>
          <w:tcPr>
            <w:tcW w:w="3140" w:type="dxa"/>
            <w:vAlign w:val="bottom"/>
            <w:tcBorders>
              <w:bottom w:val="single" w:sz="8" w:color="132547"/>
            </w:tcBorders>
          </w:tcPr>
          <w:p>
            <w:pPr>
              <w:spacing w:after="0"/>
              <w:rPr>
                <w:sz w:val="2"/>
                <w:szCs w:val="2"/>
                <w:color w:val="auto"/>
              </w:rPr>
            </w:pPr>
          </w:p>
        </w:tc>
      </w:tr>
      <w:tr>
        <w:trPr>
          <w:trHeight w:val="177"/>
        </w:trPr>
        <w:tc>
          <w:tcPr>
            <w:tcW w:w="8160" w:type="dxa"/>
            <w:vAlign w:val="bottom"/>
            <w:shd w:val="clear" w:color="auto" w:fill="BDD6EE"/>
          </w:tcPr>
          <w:p>
            <w:pPr>
              <w:ind w:left="20"/>
              <w:spacing w:after="0"/>
              <w:rPr>
                <w:sz w:val="20"/>
                <w:szCs w:val="20"/>
                <w:color w:val="auto"/>
              </w:rPr>
            </w:pPr>
            <w:r>
              <w:rPr>
                <w:rFonts w:ascii="Arial" w:cs="Arial" w:eastAsia="Arial" w:hAnsi="Arial"/>
                <w:sz w:val="12"/>
                <w:szCs w:val="12"/>
                <w:b w:val="1"/>
                <w:bCs w:val="1"/>
                <w:color w:val="auto"/>
              </w:rPr>
              <w:t>Total corporate level debt</w:t>
            </w:r>
          </w:p>
        </w:tc>
        <w:tc>
          <w:tcPr>
            <w:tcW w:w="3140" w:type="dxa"/>
            <w:vAlign w:val="bottom"/>
            <w:shd w:val="clear" w:color="auto" w:fill="BDD6EE"/>
          </w:tcPr>
          <w:p>
            <w:pPr>
              <w:jc w:val="center"/>
              <w:ind w:left="1380"/>
              <w:spacing w:after="0"/>
              <w:rPr>
                <w:sz w:val="20"/>
                <w:szCs w:val="20"/>
                <w:color w:val="auto"/>
              </w:rPr>
            </w:pPr>
            <w:r>
              <w:rPr>
                <w:rFonts w:ascii="Arial" w:cs="Arial" w:eastAsia="Arial" w:hAnsi="Arial"/>
                <w:sz w:val="12"/>
                <w:szCs w:val="12"/>
                <w:b w:val="1"/>
                <w:bCs w:val="1"/>
                <w:color w:val="auto"/>
              </w:rPr>
              <w:t>1,008,659</w:t>
            </w:r>
          </w:p>
        </w:tc>
      </w:tr>
      <w:tr>
        <w:trPr>
          <w:trHeight w:val="28"/>
        </w:trPr>
        <w:tc>
          <w:tcPr>
            <w:tcW w:w="8160" w:type="dxa"/>
            <w:vAlign w:val="bottom"/>
            <w:shd w:val="clear" w:color="auto" w:fill="BDD6EE"/>
          </w:tcPr>
          <w:p>
            <w:pPr>
              <w:spacing w:after="0"/>
              <w:rPr>
                <w:sz w:val="2"/>
                <w:szCs w:val="2"/>
                <w:color w:val="auto"/>
              </w:rPr>
            </w:pPr>
          </w:p>
        </w:tc>
        <w:tc>
          <w:tcPr>
            <w:tcW w:w="3140" w:type="dxa"/>
            <w:vAlign w:val="bottom"/>
            <w:shd w:val="clear" w:color="auto" w:fill="BDD6EE"/>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 Including current maturities of debentures in the amount of 25,414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189230</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color w:val="auto"/>
        </w:rPr>
        <w:t>Appendix 8 – Functional Currency Conversion Rates:</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The financial statements of each of the Company’s subsidiaries were prepared in the currency of the main economic environment in which it operates (hereinafter: the “Functional Currency”). For the purpose of consolidating the financial statements, results and financial position of each of the Group’s member companies are translated into the Israeli shekel (“NIS”), which is the Company’s Functional Currency. The Group’s consolidated financial statements are presented in U.S. dollars (“USD”).</w:t>
      </w:r>
    </w:p>
    <w:p>
      <w:pPr>
        <w:spacing w:after="0" w:line="113" w:lineRule="exact"/>
        <w:rPr>
          <w:sz w:val="20"/>
          <w:szCs w:val="20"/>
          <w:color w:val="auto"/>
        </w:rPr>
      </w:pPr>
    </w:p>
    <w:tbl>
      <w:tblPr>
        <w:tblLayout w:type="fixed"/>
        <w:tblInd w:w="100" w:type="dxa"/>
        <w:tblCellMar>
          <w:top w:w="0" w:type="dxa"/>
          <w:left w:w="0" w:type="dxa"/>
          <w:bottom w:w="0" w:type="dxa"/>
          <w:right w:w="0" w:type="dxa"/>
        </w:tblCellMar>
      </w:tblPr>
      <w:tr>
        <w:trPr>
          <w:trHeight w:val="159"/>
        </w:trPr>
        <w:tc>
          <w:tcPr>
            <w:tcW w:w="8920" w:type="dxa"/>
            <w:vAlign w:val="bottom"/>
            <w:gridSpan w:val="3"/>
          </w:tcPr>
          <w:p>
            <w:pPr>
              <w:spacing w:after="0"/>
              <w:rPr>
                <w:sz w:val="20"/>
                <w:szCs w:val="20"/>
                <w:color w:val="auto"/>
              </w:rPr>
            </w:pPr>
            <w:r>
              <w:rPr>
                <w:rFonts w:ascii="Arial" w:cs="Arial" w:eastAsia="Arial" w:hAnsi="Arial"/>
                <w:sz w:val="12"/>
                <w:szCs w:val="12"/>
                <w:color w:val="auto"/>
              </w:rPr>
              <w:t>FX Rates to USD:</w:t>
            </w: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920" w:type="dxa"/>
            <w:vAlign w:val="bottom"/>
            <w:gridSpan w:val="3"/>
            <w:vMerge w:val="restart"/>
          </w:tcPr>
          <w:p>
            <w:pPr>
              <w:spacing w:after="0"/>
              <w:rPr>
                <w:sz w:val="20"/>
                <w:szCs w:val="20"/>
                <w:color w:val="auto"/>
              </w:rPr>
            </w:pPr>
            <w:r>
              <w:rPr>
                <w:rFonts w:ascii="Arial" w:cs="Arial" w:eastAsia="Arial" w:hAnsi="Arial"/>
                <w:sz w:val="12"/>
                <w:szCs w:val="12"/>
                <w:color w:val="auto"/>
              </w:rPr>
              <w:t>Date of the financial statements:</w:t>
            </w: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920" w:type="dxa"/>
            <w:vAlign w:val="bottom"/>
            <w:gridSpan w:val="3"/>
            <w:vMerge w:val="continue"/>
          </w:tcPr>
          <w:p>
            <w:pPr>
              <w:spacing w:after="0"/>
              <w:rPr>
                <w:sz w:val="11"/>
                <w:szCs w:val="11"/>
                <w:color w:val="auto"/>
              </w:rPr>
            </w:pPr>
          </w:p>
        </w:tc>
        <w:tc>
          <w:tcPr>
            <w:tcW w:w="1160" w:type="dxa"/>
            <w:vAlign w:val="bottom"/>
            <w:tcBorders>
              <w:left w:val="single" w:sz="8" w:color="auto"/>
              <w:right w:val="single" w:sz="8" w:color="1764AC"/>
            </w:tcBorders>
            <w:shd w:val="clear" w:color="auto" w:fill="1764AC"/>
          </w:tcPr>
          <w:p>
            <w:pPr>
              <w:ind w:left="440"/>
              <w:spacing w:after="0" w:line="117" w:lineRule="exact"/>
              <w:rPr>
                <w:sz w:val="20"/>
                <w:szCs w:val="20"/>
                <w:color w:val="auto"/>
              </w:rPr>
            </w:pPr>
            <w:r>
              <w:rPr>
                <w:rFonts w:ascii="Arial" w:cs="Arial" w:eastAsia="Arial" w:hAnsi="Arial"/>
                <w:sz w:val="12"/>
                <w:szCs w:val="12"/>
                <w:b w:val="1"/>
                <w:bCs w:val="1"/>
                <w:color w:val="FFFFFF"/>
              </w:rPr>
              <w:t>Euro</w:t>
            </w:r>
          </w:p>
        </w:tc>
        <w:tc>
          <w:tcPr>
            <w:tcW w:w="1120" w:type="dxa"/>
            <w:vAlign w:val="bottom"/>
            <w:tcBorders>
              <w:right w:val="single" w:sz="8" w:color="auto"/>
            </w:tcBorders>
            <w:shd w:val="clear" w:color="auto" w:fill="1764AC"/>
          </w:tcPr>
          <w:p>
            <w:pPr>
              <w:ind w:left="440"/>
              <w:spacing w:after="0" w:line="117" w:lineRule="exact"/>
              <w:rPr>
                <w:sz w:val="20"/>
                <w:szCs w:val="20"/>
                <w:color w:val="auto"/>
              </w:rPr>
            </w:pPr>
            <w:r>
              <w:rPr>
                <w:rFonts w:ascii="Arial" w:cs="Arial" w:eastAsia="Arial" w:hAnsi="Arial"/>
                <w:sz w:val="12"/>
                <w:szCs w:val="12"/>
                <w:b w:val="1"/>
                <w:bCs w:val="1"/>
                <w:color w:val="FFFFFF"/>
              </w:rPr>
              <w:t>NIS</w:t>
            </w:r>
          </w:p>
        </w:tc>
        <w:tc>
          <w:tcPr>
            <w:tcW w:w="0" w:type="dxa"/>
            <w:vAlign w:val="bottom"/>
          </w:tcPr>
          <w:p>
            <w:pPr>
              <w:spacing w:after="0"/>
              <w:rPr>
                <w:sz w:val="1"/>
                <w:szCs w:val="1"/>
                <w:color w:val="auto"/>
              </w:rPr>
            </w:pPr>
          </w:p>
        </w:tc>
      </w:tr>
      <w:tr>
        <w:trPr>
          <w:trHeight w:val="156"/>
        </w:trPr>
        <w:tc>
          <w:tcPr>
            <w:tcW w:w="17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As of 30th June 2025</w:t>
            </w:r>
          </w:p>
        </w:tc>
        <w:tc>
          <w:tcPr>
            <w:tcW w:w="7220" w:type="dxa"/>
            <w:vAlign w:val="bottom"/>
            <w:gridSpan w:val="2"/>
          </w:tcPr>
          <w:p>
            <w:pPr>
              <w:spacing w:after="0"/>
              <w:rPr>
                <w:sz w:val="13"/>
                <w:szCs w:val="13"/>
                <w:color w:val="auto"/>
              </w:rPr>
            </w:pPr>
          </w:p>
        </w:tc>
        <w:tc>
          <w:tcPr>
            <w:tcW w:w="1160" w:type="dxa"/>
            <w:vAlign w:val="bottom"/>
            <w:tcBorders>
              <w:top w:val="single" w:sz="8" w:color="1764AC"/>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2"/>
                <w:szCs w:val="12"/>
                <w:color w:val="auto"/>
              </w:rPr>
              <w:t>1.13</w:t>
            </w:r>
          </w:p>
        </w:tc>
        <w:tc>
          <w:tcPr>
            <w:tcW w:w="1120" w:type="dxa"/>
            <w:vAlign w:val="bottom"/>
            <w:tcBorders>
              <w:top w:val="single" w:sz="8" w:color="1764AC"/>
              <w:bottom w:val="single" w:sz="8" w:color="auto"/>
              <w:right w:val="single" w:sz="8" w:color="auto"/>
            </w:tcBorders>
          </w:tcPr>
          <w:p>
            <w:pPr>
              <w:ind w:left="420"/>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53"/>
        </w:trPr>
        <w:tc>
          <w:tcPr>
            <w:tcW w:w="8920" w:type="dxa"/>
            <w:vAlign w:val="bottom"/>
            <w:gridSpan w:val="3"/>
          </w:tcPr>
          <w:p>
            <w:pPr>
              <w:spacing w:after="0"/>
              <w:rPr>
                <w:sz w:val="20"/>
                <w:szCs w:val="20"/>
                <w:color w:val="auto"/>
              </w:rPr>
            </w:pPr>
            <w:r>
              <w:rPr>
                <w:rFonts w:ascii="Arial" w:cs="Arial" w:eastAsia="Arial" w:hAnsi="Arial"/>
                <w:sz w:val="12"/>
                <w:szCs w:val="12"/>
                <w:color w:val="auto"/>
              </w:rPr>
              <w:t>As of 30th June 2024</w:t>
            </w:r>
          </w:p>
        </w:tc>
        <w:tc>
          <w:tcPr>
            <w:tcW w:w="116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2"/>
                <w:szCs w:val="12"/>
                <w:color w:val="auto"/>
              </w:rPr>
              <w:t>1.07</w:t>
            </w:r>
          </w:p>
        </w:tc>
        <w:tc>
          <w:tcPr>
            <w:tcW w:w="1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2"/>
                <w:szCs w:val="12"/>
                <w:color w:val="auto"/>
              </w:rPr>
              <w:t>0.27</w:t>
            </w:r>
          </w:p>
        </w:tc>
        <w:tc>
          <w:tcPr>
            <w:tcW w:w="0" w:type="dxa"/>
            <w:vAlign w:val="bottom"/>
          </w:tcPr>
          <w:p>
            <w:pPr>
              <w:spacing w:after="0"/>
              <w:rPr>
                <w:sz w:val="1"/>
                <w:szCs w:val="1"/>
                <w:color w:val="auto"/>
              </w:rPr>
            </w:pPr>
          </w:p>
        </w:tc>
      </w:tr>
      <w:tr>
        <w:trPr>
          <w:trHeight w:val="259"/>
        </w:trPr>
        <w:tc>
          <w:tcPr>
            <w:tcW w:w="8920" w:type="dxa"/>
            <w:vAlign w:val="bottom"/>
            <w:gridSpan w:val="3"/>
          </w:tcPr>
          <w:p>
            <w:pPr>
              <w:spacing w:after="0"/>
              <w:rPr>
                <w:sz w:val="20"/>
                <w:szCs w:val="20"/>
                <w:color w:val="auto"/>
              </w:rPr>
            </w:pPr>
            <w:r>
              <w:rPr>
                <w:rFonts w:ascii="Arial" w:cs="Arial" w:eastAsia="Arial" w:hAnsi="Arial"/>
                <w:sz w:val="12"/>
                <w:szCs w:val="12"/>
                <w:color w:val="auto"/>
              </w:rPr>
              <w:t>Average for the 3 months period ended:</w:t>
            </w:r>
          </w:p>
        </w:tc>
        <w:tc>
          <w:tcPr>
            <w:tcW w:w="1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2"/>
                <w:szCs w:val="12"/>
                <w:color w:val="auto"/>
              </w:rPr>
              <w:t>June 2025</w:t>
            </w:r>
          </w:p>
        </w:tc>
        <w:tc>
          <w:tcPr>
            <w:tcW w:w="682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100" w:type="dxa"/>
            <w:vAlign w:val="bottom"/>
            <w:gridSpan w:val="2"/>
            <w:vMerge w:val="continue"/>
          </w:tcPr>
          <w:p>
            <w:pPr>
              <w:spacing w:after="0"/>
              <w:rPr>
                <w:sz w:val="12"/>
                <w:szCs w:val="12"/>
                <w:color w:val="auto"/>
              </w:rPr>
            </w:pPr>
          </w:p>
        </w:tc>
        <w:tc>
          <w:tcPr>
            <w:tcW w:w="6820" w:type="dxa"/>
            <w:vAlign w:val="bottom"/>
            <w:vMerge w:val="continue"/>
          </w:tcPr>
          <w:p>
            <w:pPr>
              <w:spacing w:after="0"/>
              <w:rPr>
                <w:sz w:val="12"/>
                <w:szCs w:val="12"/>
                <w:color w:val="auto"/>
              </w:rPr>
            </w:pPr>
          </w:p>
        </w:tc>
        <w:tc>
          <w:tcPr>
            <w:tcW w:w="116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2"/>
                <w:szCs w:val="12"/>
                <w:color w:val="auto"/>
              </w:rPr>
              <w:t>1.17</w:t>
            </w:r>
          </w:p>
        </w:tc>
        <w:tc>
          <w:tcPr>
            <w:tcW w:w="1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2"/>
                <w:szCs w:val="12"/>
                <w:color w:val="auto"/>
              </w:rPr>
              <w:t>0.30</w:t>
            </w:r>
          </w:p>
        </w:tc>
        <w:tc>
          <w:tcPr>
            <w:tcW w:w="0" w:type="dxa"/>
            <w:vAlign w:val="bottom"/>
          </w:tcPr>
          <w:p>
            <w:pPr>
              <w:spacing w:after="0"/>
              <w:rPr>
                <w:sz w:val="1"/>
                <w:szCs w:val="1"/>
                <w:color w:val="auto"/>
              </w:rPr>
            </w:pPr>
          </w:p>
        </w:tc>
      </w:tr>
      <w:tr>
        <w:trPr>
          <w:trHeight w:val="151"/>
        </w:trPr>
        <w:tc>
          <w:tcPr>
            <w:tcW w:w="8920" w:type="dxa"/>
            <w:vAlign w:val="bottom"/>
            <w:gridSpan w:val="3"/>
          </w:tcPr>
          <w:p>
            <w:pPr>
              <w:spacing w:after="0"/>
              <w:rPr>
                <w:sz w:val="20"/>
                <w:szCs w:val="20"/>
                <w:color w:val="auto"/>
              </w:rPr>
            </w:pPr>
            <w:r>
              <w:rPr>
                <w:rFonts w:ascii="Arial" w:cs="Arial" w:eastAsia="Arial" w:hAnsi="Arial"/>
                <w:sz w:val="12"/>
                <w:szCs w:val="12"/>
                <w:color w:val="auto"/>
              </w:rPr>
              <w:t>June 2024</w:t>
            </w:r>
          </w:p>
        </w:tc>
        <w:tc>
          <w:tcPr>
            <w:tcW w:w="116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2"/>
                <w:szCs w:val="12"/>
                <w:color w:val="auto"/>
              </w:rPr>
              <w:t>1.08</w:t>
            </w:r>
          </w:p>
        </w:tc>
        <w:tc>
          <w:tcPr>
            <w:tcW w:w="11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2"/>
                <w:szCs w:val="12"/>
                <w:color w:val="auto"/>
              </w:rPr>
              <w:t>0.27</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Appendix 9 – Structural changes to the Consolidated Statements of Income:</w:t>
      </w:r>
    </w:p>
    <w:p>
      <w:pPr>
        <w:spacing w:after="0" w:line="159"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color w:val="auto"/>
        </w:rPr>
        <w:t>The Company has changed its Income Statement presentation starting with the 2024 full-year financial statements, which includes the presentation of specified items that have been previously included within other income (i.e. tax equity). In addition, the Company has decided to remove the Gross Profit line item.</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The Company believes that such presentation provides a more relevant information and better reflects the measurement of its financial performance. The Company applied such a change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212090</wp:posOffset>
            </wp:positionV>
            <wp:extent cx="7178040"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 w:name="page34"/>
    <w:bookmarkEnd w:id="33"/>
    <w:p>
      <w:pPr>
        <w:ind w:left="9540"/>
        <w:spacing w:after="0"/>
        <w:rPr>
          <w:sz w:val="20"/>
          <w:szCs w:val="20"/>
          <w:color w:val="auto"/>
        </w:rPr>
      </w:pPr>
      <w:r>
        <w:rPr>
          <w:rFonts w:ascii="Times New Roman" w:cs="Times New Roman" w:eastAsia="Times New Roman" w:hAnsi="Times New Roman"/>
          <w:sz w:val="11"/>
          <w:szCs w:val="11"/>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323" w:right="299"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205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37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8680" cy="4337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bullet"/>
      <w:start w:val="1"/>
    </w:lvl>
  </w:abstractNum>
  <w:abstractNum w:abstractNumId="3">
    <w:nsid w:val="431BD7B7"/>
    <w:multiLevelType w:val="hybridMultilevel"/>
    <w:lvl w:ilvl="0">
      <w:lvlJc w:val="left"/>
      <w:lvlText w:val="2"/>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lvl w:ilvl="1">
      <w:lvlJc w:val="left"/>
      <w:lvlText w:val="o"/>
      <w:numFmt w:val="bullet"/>
      <w:start w:val="1"/>
    </w:lvl>
  </w:abstractNum>
  <w:abstractNum w:abstractNumId="7">
    <w:nsid w:val="62BBD95A"/>
    <w:multiLevelType w:val="hybridMultilevel"/>
    <w:lvl w:ilvl="0">
      <w:lvlJc w:val="left"/>
      <w:lvlText w:val="3"/>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o"/>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lvl w:ilvl="1">
      <w:lvlJc w:val="left"/>
      <w:lvlText w:val="o"/>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5"/>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7"/>
      <w:numFmt w:val="bullet"/>
      <w:start w:val="1"/>
    </w:lvl>
  </w:abstractNum>
  <w:abstractNum w:abstractNumId="19">
    <w:nsid w:val="B03E0C6"/>
    <w:multiLevelType w:val="hybridMultilevel"/>
    <w:lvl w:ilvl="0">
      <w:lvlJc w:val="left"/>
      <w:lvlText w:val="8"/>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o"/>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lowerLetter"/>
      <w:start w:val="4"/>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2025-08-06T05:20:35Z</dcterms:created>
  <dcterms:modified xsi:type="dcterms:W3CDTF">2025-08-06T05:20:35Z</dcterms:modified>
</cp:coreProperties>
</file>