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zk2533831.htm"/>
      <w:bookmarkStart w:id="1" w:name="kszk2533831"/>
      <w:bookmarkStart w:id="2" w:name="zk2533831.htm"/>
      <w:bookmarkStart w:id="3" w:name="kszk2533831"/>
      <w:bookmarkEnd w:id="2"/>
      <w:bookmarkEnd w:id="3"/>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UNITED STATES</w:t>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Washington, D.C. 20549</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FORM 6-K</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REPORT OF FOREIGN PRIVATE ISSUER</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PURSUANT TO RULE 13A-16 OR 15D-16</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UNDER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For the month of October 2025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Commission File Number: 001-41613</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32"/>
        </w:rPr>
      </w:pPr>
      <w:r>
        <w:rPr>
          <w:rFonts w:ascii="Times New Roman;Times;serif" w:hAnsi="Times New Roman;Times;serif"/>
          <w:b/>
          <w:color w:val="000000"/>
          <w:sz w:val="32"/>
        </w:rPr>
        <w:t>Enlight Renewable Energy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(Translation of registrant’s name into English)</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13 Amal St., Afek Industrial Park</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Rosh Ha’ayin, Israel</w:t>
      </w:r>
    </w:p>
    <w:p>
      <w:pPr>
        <w:pStyle w:val="TextBody"/>
        <w:bidi w:val="0"/>
        <w:spacing w:lineRule="auto" w:line="300" w:before="0" w:after="0"/>
        <w:jc w:val="center"/>
        <w:rPr>
          <w:rFonts w:ascii="Times New Roman;serif" w:hAnsi="Times New Roman;serif"/>
          <w:color w:val="000000"/>
          <w:sz w:val="20"/>
        </w:rPr>
      </w:pPr>
      <w:r>
        <w:rPr>
          <w:rFonts w:ascii="Times New Roman;Times;serif" w:hAnsi="Times New Roman;Times;serif"/>
          <w:b/>
          <w:color w:val="000000"/>
          <w:sz w:val="20"/>
        </w:rPr>
        <w:t>+</w:t>
      </w:r>
      <w:r>
        <w:rPr>
          <w:rFonts w:ascii="Times New Roman;serif" w:hAnsi="Times New Roman;serif"/>
          <w:color w:val="000000"/>
          <w:sz w:val="20"/>
        </w:rPr>
        <w:t> </w:t>
      </w:r>
      <w:r>
        <w:rPr>
          <w:rFonts w:ascii="Times New Roman;Times;serif" w:hAnsi="Times New Roman;Times;serif"/>
          <w:b/>
          <w:color w:val="000000"/>
          <w:sz w:val="20"/>
        </w:rPr>
        <w:t>972 (3) 900-8700</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(Address of principal executive office)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of Form 20-F or Form 40-F.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On September 30, 2025, Enlight Renewable Energy Ltd. (the “</w:t>
      </w:r>
      <w:r>
        <w:rPr>
          <w:rFonts w:ascii="Times New Roman;Times;serif" w:hAnsi="Times New Roman;Times;serif"/>
          <w:b/>
          <w:color w:val="000000"/>
          <w:sz w:val="20"/>
        </w:rPr>
        <w:t>Company</w:t>
      </w:r>
      <w:r>
        <w:rPr>
          <w:rFonts w:ascii="Times New Roman;Times;serif" w:hAnsi="Times New Roman;Times;serif"/>
          <w:color w:val="000000"/>
          <w:sz w:val="20"/>
        </w:rPr>
        <w:t>”) held a Special and Annual General Meeting of shareholders (the “</w:t>
      </w:r>
      <w:r>
        <w:rPr>
          <w:rFonts w:ascii="Times New Roman;Times;serif" w:hAnsi="Times New Roman;Times;serif"/>
          <w:b/>
          <w:color w:val="000000"/>
          <w:sz w:val="20"/>
        </w:rPr>
        <w:t>Meeting</w:t>
      </w:r>
      <w:r>
        <w:rPr>
          <w:rFonts w:ascii="Times New Roman;Times;serif" w:hAnsi="Times New Roman;Times;serif"/>
          <w:color w:val="000000"/>
          <w:sz w:val="20"/>
        </w:rPr>
        <w:t>”) at the Company's offices at 13 Amal St., Afek Industrial Park, Rosh Ha’ayin 4809249, Israel.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At the Meeting, the Company’s shareholders voted upon and approved, by the applicable required majority in accordance with the Israeli Companies Law, 5759-1999 and the Company’s articles of association, each of the proposals set forth in the Company’s notice and proxy statement related to the Meeting, which was attached as Exhibit 99.1 to the Company’s report of foreign private issuer on Form 6-K furnished to the Securities and Exchange Commission on August 7, 2025 (“</w:t>
      </w:r>
      <w:r>
        <w:rPr>
          <w:rFonts w:ascii="Times New Roman;Times;serif" w:hAnsi="Times New Roman;Times;serif"/>
          <w:b/>
          <w:color w:val="000000"/>
          <w:sz w:val="20"/>
        </w:rPr>
        <w:t>Proxy Statement</w:t>
      </w:r>
      <w:r>
        <w:rPr>
          <w:rFonts w:ascii="Times New Roman;Times;serif" w:hAnsi="Times New Roman;Times;serif"/>
          <w:color w:val="000000"/>
          <w:sz w:val="20"/>
        </w:rPr>
        <w:t>”), as detailed below:</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eccb67c8982c430380c68f99709fbef7"/>
      <w:bookmarkStart w:id="5" w:name="zeccb67c8982c430380c68f99709fbef7"/>
      <w:bookmarkEnd w:id="5"/>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39"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shareholders approved the re-appointment of Somekh Chaikin, a member firm of KPMG International, as the Company’s independent registered public accounting firm for the year ending December 31, 2025, and until the next annual general meeting of shareholders, and to authorize the Company’s Board of Directors, following the approval of the Audit Committee, to approve and ratify the remuneration of such firm in accordance with the volume and nature of their services.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b470fdcbbbb4433899c0ac5907e0f2fa"/>
      <w:bookmarkStart w:id="7" w:name="zb470fdcbbbb4433899c0ac5907e0f2fa"/>
      <w:bookmarkEnd w:id="7"/>
    </w:p>
    <w:tbl>
      <w:tblPr>
        <w:tblW w:w="10205" w:type="dxa"/>
        <w:jc w:val="center"/>
        <w:tblInd w:w="0" w:type="dxa"/>
        <w:tblLayout w:type="fixed"/>
        <w:tblCellMar>
          <w:top w:w="0" w:type="dxa"/>
          <w:left w:w="0" w:type="dxa"/>
          <w:bottom w:w="0" w:type="dxa"/>
          <w:right w:w="0" w:type="dxa"/>
        </w:tblCellMar>
      </w:tblPr>
      <w:tblGrid>
        <w:gridCol w:w="1100"/>
        <w:gridCol w:w="3587"/>
        <w:gridCol w:w="755"/>
        <w:gridCol w:w="3782"/>
        <w:gridCol w:w="981"/>
      </w:tblGrid>
      <w:tr>
        <w:trPr/>
        <w:tc>
          <w:tcPr>
            <w:tcW w:w="1100"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For</w:t>
            </w:r>
          </w:p>
        </w:tc>
        <w:tc>
          <w:tcPr>
            <w:tcW w:w="3587"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 of shares voted For of total shares voted (excluding abstentions)</w:t>
            </w:r>
          </w:p>
        </w:tc>
        <w:tc>
          <w:tcPr>
            <w:tcW w:w="755"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Against</w:t>
            </w:r>
          </w:p>
        </w:tc>
        <w:tc>
          <w:tcPr>
            <w:tcW w:w="3782"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 of shares voted Against of total shares voted (excluding abstentions)</w:t>
            </w:r>
          </w:p>
        </w:tc>
        <w:tc>
          <w:tcPr>
            <w:tcW w:w="981"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Abstain</w:t>
            </w:r>
          </w:p>
        </w:tc>
      </w:tr>
      <w:tr>
        <w:trPr/>
        <w:tc>
          <w:tcPr>
            <w:tcW w:w="1100"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89,753,428</w:t>
            </w:r>
          </w:p>
        </w:tc>
        <w:tc>
          <w:tcPr>
            <w:tcW w:w="3587" w:type="dxa"/>
            <w:tcBorders/>
            <w:shd w:fill="CCEEFF" w:val="cle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99.9%</w:t>
            </w:r>
          </w:p>
        </w:tc>
        <w:tc>
          <w:tcPr>
            <w:tcW w:w="755"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52,643</w:t>
            </w:r>
          </w:p>
        </w:tc>
        <w:tc>
          <w:tcPr>
            <w:tcW w:w="3782"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0.1%</w:t>
            </w:r>
          </w:p>
        </w:tc>
        <w:tc>
          <w:tcPr>
            <w:tcW w:w="981"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7,081,093</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8" w:name="z596f260009fc47d6bcea44d799290231"/>
      <w:bookmarkStart w:id="9" w:name="z596f260009fc47d6bcea44d799290231"/>
      <w:bookmarkEnd w:id="9"/>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32"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shareholders approved the election of each of the following nominees to the Board of Directors, to hold office until close of the Company’s annual general meeting to be held in 2026, and until his or her successor has been duly elected or appointed, or until his or her office has been vacated pursuant to any applicable law or the Articles of Association:</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396880c8c4fb4a0593fadd8f0686083b"/>
      <w:bookmarkStart w:id="11" w:name="z396880c8c4fb4a0593fadd8f0686083b"/>
      <w:bookmarkEnd w:id="11"/>
    </w:p>
    <w:tbl>
      <w:tblPr>
        <w:tblW w:w="10205" w:type="dxa"/>
        <w:jc w:val="center"/>
        <w:tblInd w:w="0" w:type="dxa"/>
        <w:tblLayout w:type="fixed"/>
        <w:tblCellMar>
          <w:top w:w="0" w:type="dxa"/>
          <w:left w:w="0" w:type="dxa"/>
          <w:bottom w:w="0" w:type="dxa"/>
          <w:right w:w="0" w:type="dxa"/>
        </w:tblCellMar>
      </w:tblPr>
      <w:tblGrid>
        <w:gridCol w:w="1380"/>
        <w:gridCol w:w="1100"/>
        <w:gridCol w:w="2865"/>
        <w:gridCol w:w="1100"/>
        <w:gridCol w:w="3004"/>
        <w:gridCol w:w="756"/>
      </w:tblGrid>
      <w:tr>
        <w:trPr/>
        <w:tc>
          <w:tcPr>
            <w:tcW w:w="138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Nominee</w:t>
            </w:r>
          </w:p>
        </w:tc>
        <w:tc>
          <w:tcPr>
            <w:tcW w:w="1100"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For</w:t>
            </w:r>
          </w:p>
        </w:tc>
        <w:tc>
          <w:tcPr>
            <w:tcW w:w="2865"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 of shares voted For of total shares voted (excluding abstentions)</w:t>
            </w:r>
          </w:p>
        </w:tc>
        <w:tc>
          <w:tcPr>
            <w:tcW w:w="1100"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Against</w:t>
            </w:r>
          </w:p>
        </w:tc>
        <w:tc>
          <w:tcPr>
            <w:tcW w:w="3004"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 of shares voted Against of total shares voted (excluding abstentions)</w:t>
            </w:r>
          </w:p>
        </w:tc>
        <w:tc>
          <w:tcPr>
            <w:tcW w:w="756"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Abstain</w:t>
            </w:r>
          </w:p>
        </w:tc>
      </w:tr>
      <w:tr>
        <w:trPr/>
        <w:tc>
          <w:tcPr>
            <w:tcW w:w="1380"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Mr. Gilad Yavetz</w:t>
            </w:r>
          </w:p>
        </w:tc>
        <w:tc>
          <w:tcPr>
            <w:tcW w:w="1100"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90,263,311</w:t>
            </w:r>
          </w:p>
        </w:tc>
        <w:tc>
          <w:tcPr>
            <w:tcW w:w="2865" w:type="dxa"/>
            <w:tcBorders/>
            <w:shd w:fill="CCEEFF" w:val="cle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92.2%</w:t>
            </w:r>
          </w:p>
        </w:tc>
        <w:tc>
          <w:tcPr>
            <w:tcW w:w="1100"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7,617,594</w:t>
            </w:r>
          </w:p>
        </w:tc>
        <w:tc>
          <w:tcPr>
            <w:tcW w:w="3004"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7.8%</w:t>
            </w:r>
          </w:p>
        </w:tc>
        <w:tc>
          <w:tcPr>
            <w:tcW w:w="756"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6,833</w:t>
            </w:r>
          </w:p>
        </w:tc>
      </w:tr>
      <w:tr>
        <w:trPr/>
        <w:tc>
          <w:tcPr>
            <w:tcW w:w="138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Mr. Yair Seroussi</w:t>
            </w:r>
          </w:p>
        </w:tc>
        <w:tc>
          <w:tcPr>
            <w:tcW w:w="1100"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78,950,828</w:t>
            </w:r>
          </w:p>
        </w:tc>
        <w:tc>
          <w:tcPr>
            <w:tcW w:w="2865" w:type="dxa"/>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80.7%</w:t>
            </w:r>
          </w:p>
        </w:tc>
        <w:tc>
          <w:tcPr>
            <w:tcW w:w="1100"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18,936,364</w:t>
            </w:r>
          </w:p>
        </w:tc>
        <w:tc>
          <w:tcPr>
            <w:tcW w:w="3004"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19.3%</w:t>
            </w:r>
          </w:p>
        </w:tc>
        <w:tc>
          <w:tcPr>
            <w:tcW w:w="756"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2,103</w:t>
            </w:r>
          </w:p>
        </w:tc>
      </w:tr>
      <w:tr>
        <w:trPr/>
        <w:tc>
          <w:tcPr>
            <w:tcW w:w="1380"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Ms. Liat Benyamini</w:t>
            </w:r>
          </w:p>
        </w:tc>
        <w:tc>
          <w:tcPr>
            <w:tcW w:w="1100"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97,677,710</w:t>
            </w:r>
          </w:p>
        </w:tc>
        <w:tc>
          <w:tcPr>
            <w:tcW w:w="2865" w:type="dxa"/>
            <w:tcBorders/>
            <w:shd w:fill="CCEEFF" w:val="cle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99.8%</w:t>
            </w:r>
          </w:p>
        </w:tc>
        <w:tc>
          <w:tcPr>
            <w:tcW w:w="1100"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209,466</w:t>
            </w:r>
          </w:p>
        </w:tc>
        <w:tc>
          <w:tcPr>
            <w:tcW w:w="3004"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0.2%</w:t>
            </w:r>
          </w:p>
        </w:tc>
        <w:tc>
          <w:tcPr>
            <w:tcW w:w="756"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2,119</w:t>
            </w:r>
          </w:p>
        </w:tc>
      </w:tr>
      <w:tr>
        <w:trPr/>
        <w:tc>
          <w:tcPr>
            <w:tcW w:w="138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Ms. Michal Tzuk</w:t>
            </w:r>
          </w:p>
        </w:tc>
        <w:tc>
          <w:tcPr>
            <w:tcW w:w="1100"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97,084,411</w:t>
            </w:r>
          </w:p>
        </w:tc>
        <w:tc>
          <w:tcPr>
            <w:tcW w:w="2865" w:type="dxa"/>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99.2%</w:t>
            </w:r>
          </w:p>
        </w:tc>
        <w:tc>
          <w:tcPr>
            <w:tcW w:w="1100"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802,764</w:t>
            </w:r>
          </w:p>
        </w:tc>
        <w:tc>
          <w:tcPr>
            <w:tcW w:w="3004"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0.8%</w:t>
            </w:r>
          </w:p>
        </w:tc>
        <w:tc>
          <w:tcPr>
            <w:tcW w:w="756"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2,120</w:t>
            </w:r>
          </w:p>
        </w:tc>
      </w:tr>
      <w:tr>
        <w:trPr/>
        <w:tc>
          <w:tcPr>
            <w:tcW w:w="1380"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Ms. Alla Felder</w:t>
            </w:r>
          </w:p>
        </w:tc>
        <w:tc>
          <w:tcPr>
            <w:tcW w:w="1100"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80,109,964</w:t>
            </w:r>
          </w:p>
        </w:tc>
        <w:tc>
          <w:tcPr>
            <w:tcW w:w="2865" w:type="dxa"/>
            <w:tcBorders/>
            <w:shd w:fill="CCEEFF" w:val="cle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81.8%</w:t>
            </w:r>
          </w:p>
        </w:tc>
        <w:tc>
          <w:tcPr>
            <w:tcW w:w="1100"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17,777,212</w:t>
            </w:r>
          </w:p>
        </w:tc>
        <w:tc>
          <w:tcPr>
            <w:tcW w:w="3004"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18.2%</w:t>
            </w:r>
          </w:p>
        </w:tc>
        <w:tc>
          <w:tcPr>
            <w:tcW w:w="756"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2,119</w:t>
            </w:r>
          </w:p>
        </w:tc>
      </w:tr>
      <w:tr>
        <w:trPr/>
        <w:tc>
          <w:tcPr>
            <w:tcW w:w="138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Dr. Shai Weil</w:t>
            </w:r>
          </w:p>
        </w:tc>
        <w:tc>
          <w:tcPr>
            <w:tcW w:w="1100"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97,372,429</w:t>
            </w:r>
          </w:p>
        </w:tc>
        <w:tc>
          <w:tcPr>
            <w:tcW w:w="2865" w:type="dxa"/>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99.5%</w:t>
            </w:r>
          </w:p>
        </w:tc>
        <w:tc>
          <w:tcPr>
            <w:tcW w:w="1100"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514,763</w:t>
            </w:r>
          </w:p>
        </w:tc>
        <w:tc>
          <w:tcPr>
            <w:tcW w:w="3004"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0.5%</w:t>
            </w:r>
          </w:p>
        </w:tc>
        <w:tc>
          <w:tcPr>
            <w:tcW w:w="756"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2,103</w:t>
            </w:r>
          </w:p>
        </w:tc>
      </w:tr>
      <w:tr>
        <w:trPr/>
        <w:tc>
          <w:tcPr>
            <w:tcW w:w="1380"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Mr. Yitzhak Betzalel</w:t>
            </w:r>
          </w:p>
        </w:tc>
        <w:tc>
          <w:tcPr>
            <w:tcW w:w="1100"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97,519,604</w:t>
            </w:r>
          </w:p>
        </w:tc>
        <w:tc>
          <w:tcPr>
            <w:tcW w:w="2865" w:type="dxa"/>
            <w:tcBorders/>
            <w:shd w:fill="CCEEFF" w:val="cle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99.6%</w:t>
            </w:r>
          </w:p>
        </w:tc>
        <w:tc>
          <w:tcPr>
            <w:tcW w:w="1100"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367,671</w:t>
            </w:r>
          </w:p>
        </w:tc>
        <w:tc>
          <w:tcPr>
            <w:tcW w:w="3004"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0.4%</w:t>
            </w:r>
          </w:p>
        </w:tc>
        <w:tc>
          <w:tcPr>
            <w:tcW w:w="756"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2,020</w:t>
            </w:r>
          </w:p>
        </w:tc>
      </w:tr>
      <w:tr>
        <w:trPr/>
        <w:tc>
          <w:tcPr>
            <w:tcW w:w="138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Mr. Zvi Furman</w:t>
            </w:r>
          </w:p>
        </w:tc>
        <w:tc>
          <w:tcPr>
            <w:tcW w:w="1100"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96,446,557</w:t>
            </w:r>
          </w:p>
        </w:tc>
        <w:tc>
          <w:tcPr>
            <w:tcW w:w="2865" w:type="dxa"/>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98.5%</w:t>
            </w:r>
          </w:p>
        </w:tc>
        <w:tc>
          <w:tcPr>
            <w:tcW w:w="1100"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1,440,719</w:t>
            </w:r>
          </w:p>
        </w:tc>
        <w:tc>
          <w:tcPr>
            <w:tcW w:w="3004"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1.5%</w:t>
            </w:r>
          </w:p>
        </w:tc>
        <w:tc>
          <w:tcPr>
            <w:tcW w:w="756"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2,019</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12" w:name="z39eb1f30adf64243b7b7b0a3a2ee5f85"/>
      <w:bookmarkStart w:id="13" w:name="z39eb1f30adf64243b7b7b0a3a2ee5f85"/>
      <w:bookmarkEnd w:id="13"/>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pPr>
            <w:r>
              <w:rPr/>
            </w:r>
          </w:p>
        </w:tc>
        <w:tc>
          <w:tcPr>
            <w:tcW w:w="2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1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shareholders approved amendments to the Compensation Policy for executive officers and directors, substantially in the form attached to the Proxy Statement as Exhibit A.</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 w:name="z3abbf186d90b4a0081f08a0c5497af70"/>
      <w:bookmarkStart w:id="15" w:name="z3abbf186d90b4a0081f08a0c5497af70"/>
      <w:bookmarkEnd w:id="15"/>
    </w:p>
    <w:tbl>
      <w:tblPr>
        <w:tblW w:w="10205" w:type="dxa"/>
        <w:jc w:val="center"/>
        <w:tblInd w:w="0" w:type="dxa"/>
        <w:tblLayout w:type="fixed"/>
        <w:tblCellMar>
          <w:top w:w="0" w:type="dxa"/>
          <w:left w:w="0" w:type="dxa"/>
          <w:bottom w:w="0" w:type="dxa"/>
          <w:right w:w="0" w:type="dxa"/>
        </w:tblCellMar>
      </w:tblPr>
      <w:tblGrid>
        <w:gridCol w:w="1100"/>
        <w:gridCol w:w="3529"/>
        <w:gridCol w:w="1100"/>
        <w:gridCol w:w="3720"/>
        <w:gridCol w:w="756"/>
      </w:tblGrid>
      <w:tr>
        <w:trPr/>
        <w:tc>
          <w:tcPr>
            <w:tcW w:w="1100"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For</w:t>
            </w:r>
          </w:p>
        </w:tc>
        <w:tc>
          <w:tcPr>
            <w:tcW w:w="3529"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 of shares voted For of total shares voted (excluding abstentions)</w:t>
            </w:r>
          </w:p>
        </w:tc>
        <w:tc>
          <w:tcPr>
            <w:tcW w:w="1100"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Against</w:t>
            </w:r>
          </w:p>
        </w:tc>
        <w:tc>
          <w:tcPr>
            <w:tcW w:w="3720"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 of shares voted Against of total shares voted (excluding abstentions)</w:t>
            </w:r>
          </w:p>
        </w:tc>
        <w:tc>
          <w:tcPr>
            <w:tcW w:w="756"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Abstain</w:t>
            </w:r>
          </w:p>
        </w:tc>
      </w:tr>
      <w:tr>
        <w:trPr/>
        <w:tc>
          <w:tcPr>
            <w:tcW w:w="1100"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83,666,977</w:t>
            </w:r>
          </w:p>
        </w:tc>
        <w:tc>
          <w:tcPr>
            <w:tcW w:w="3529" w:type="dxa"/>
            <w:tcBorders/>
            <w:shd w:fill="CCEEFF" w:val="cle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85.5%</w:t>
            </w:r>
          </w:p>
        </w:tc>
        <w:tc>
          <w:tcPr>
            <w:tcW w:w="1100"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14,219,898</w:t>
            </w:r>
          </w:p>
        </w:tc>
        <w:tc>
          <w:tcPr>
            <w:tcW w:w="3720"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14.5%</w:t>
            </w:r>
          </w:p>
        </w:tc>
        <w:tc>
          <w:tcPr>
            <w:tcW w:w="756"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2,421</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6" w:name="z410d907fbd2c412d9c567dba1115caec"/>
      <w:bookmarkStart w:id="17" w:name="z410d907fbd2c412d9c567dba1115caec"/>
      <w:bookmarkEnd w:id="17"/>
    </w:p>
    <w:tbl>
      <w:tblPr>
        <w:tblW w:w="10205" w:type="dxa"/>
        <w:jc w:val="left"/>
        <w:tblInd w:w="0" w:type="dxa"/>
        <w:tblLayout w:type="fixed"/>
        <w:tblCellMar>
          <w:top w:w="0" w:type="dxa"/>
          <w:left w:w="0" w:type="dxa"/>
          <w:bottom w:w="0" w:type="dxa"/>
          <w:right w:w="0" w:type="dxa"/>
        </w:tblCellMar>
      </w:tblPr>
      <w:tblGrid>
        <w:gridCol w:w="38"/>
        <w:gridCol w:w="283"/>
        <w:gridCol w:w="9884"/>
      </w:tblGrid>
      <w:tr>
        <w:trPr/>
        <w:tc>
          <w:tcPr>
            <w:tcW w:w="38" w:type="dxa"/>
            <w:tcBorders/>
            <w:vAlign w:val="center"/>
          </w:tcPr>
          <w:p>
            <w:pPr>
              <w:pStyle w:val="TableContents"/>
              <w:bidi w:val="0"/>
              <w:spacing w:before="0" w:after="283"/>
              <w:jc w:val="left"/>
              <w:rPr/>
            </w:pPr>
            <w:r>
              <w:rPr/>
            </w:r>
          </w:p>
        </w:tc>
        <w:tc>
          <w:tcPr>
            <w:tcW w:w="28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884"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shareholders approved the compensation of Ms. Adi Leviatan, our newly appointed Chief Executive Officer.</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 w:name="z7c7f3d93486245518ea09cf9c318615c"/>
      <w:bookmarkStart w:id="19" w:name="z7c7f3d93486245518ea09cf9c318615c"/>
      <w:bookmarkEnd w:id="19"/>
    </w:p>
    <w:tbl>
      <w:tblPr>
        <w:tblW w:w="10205" w:type="dxa"/>
        <w:jc w:val="center"/>
        <w:tblInd w:w="0" w:type="dxa"/>
        <w:tblLayout w:type="fixed"/>
        <w:tblCellMar>
          <w:top w:w="0" w:type="dxa"/>
          <w:left w:w="0" w:type="dxa"/>
          <w:bottom w:w="0" w:type="dxa"/>
          <w:right w:w="0" w:type="dxa"/>
        </w:tblCellMar>
      </w:tblPr>
      <w:tblGrid>
        <w:gridCol w:w="1100"/>
        <w:gridCol w:w="3587"/>
        <w:gridCol w:w="980"/>
        <w:gridCol w:w="3782"/>
        <w:gridCol w:w="756"/>
      </w:tblGrid>
      <w:tr>
        <w:trPr/>
        <w:tc>
          <w:tcPr>
            <w:tcW w:w="1100"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For</w:t>
            </w:r>
          </w:p>
        </w:tc>
        <w:tc>
          <w:tcPr>
            <w:tcW w:w="3587"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 of shares voted For of total shares voted (excluding abstentions)</w:t>
            </w:r>
          </w:p>
        </w:tc>
        <w:tc>
          <w:tcPr>
            <w:tcW w:w="980"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Against</w:t>
            </w:r>
          </w:p>
        </w:tc>
        <w:tc>
          <w:tcPr>
            <w:tcW w:w="3782"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 of shares voted Against of total shares voted (excluding abstentions)</w:t>
            </w:r>
          </w:p>
        </w:tc>
        <w:tc>
          <w:tcPr>
            <w:tcW w:w="756"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Abstain</w:t>
            </w:r>
          </w:p>
        </w:tc>
      </w:tr>
      <w:tr>
        <w:trPr/>
        <w:tc>
          <w:tcPr>
            <w:tcW w:w="1100"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92,623,903</w:t>
            </w:r>
          </w:p>
        </w:tc>
        <w:tc>
          <w:tcPr>
            <w:tcW w:w="3587" w:type="dxa"/>
            <w:tcBorders/>
            <w:shd w:fill="CCEEFF" w:val="cle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94.6%</w:t>
            </w:r>
          </w:p>
        </w:tc>
        <w:tc>
          <w:tcPr>
            <w:tcW w:w="980"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5,263,280</w:t>
            </w:r>
          </w:p>
        </w:tc>
        <w:tc>
          <w:tcPr>
            <w:tcW w:w="3782"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5.4%</w:t>
            </w:r>
          </w:p>
        </w:tc>
        <w:tc>
          <w:tcPr>
            <w:tcW w:w="756"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2,112</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20" w:name="z30358aad7cf44f50953fece779d1989d"/>
      <w:bookmarkStart w:id="21" w:name="z30358aad7cf44f50953fece779d1989d"/>
      <w:bookmarkEnd w:id="21"/>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pPr>
            <w:r>
              <w:rPr/>
            </w:r>
          </w:p>
        </w:tc>
        <w:tc>
          <w:tcPr>
            <w:tcW w:w="2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901"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shareholders approved the compensation of Mr. Gilad Yavetz, our newly appointed full-time Executive Chairman of the Board of Directors.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 w:name="z50a3aafbafea4cc28458415170d80a1a"/>
      <w:bookmarkStart w:id="23" w:name="z50a3aafbafea4cc28458415170d80a1a"/>
      <w:bookmarkEnd w:id="23"/>
    </w:p>
    <w:tbl>
      <w:tblPr>
        <w:tblW w:w="10205" w:type="dxa"/>
        <w:jc w:val="center"/>
        <w:tblInd w:w="0" w:type="dxa"/>
        <w:tblLayout w:type="fixed"/>
        <w:tblCellMar>
          <w:top w:w="0" w:type="dxa"/>
          <w:left w:w="0" w:type="dxa"/>
          <w:bottom w:w="0" w:type="dxa"/>
          <w:right w:w="0" w:type="dxa"/>
        </w:tblCellMar>
      </w:tblPr>
      <w:tblGrid>
        <w:gridCol w:w="1100"/>
        <w:gridCol w:w="3587"/>
        <w:gridCol w:w="980"/>
        <w:gridCol w:w="3782"/>
        <w:gridCol w:w="756"/>
      </w:tblGrid>
      <w:tr>
        <w:trPr/>
        <w:tc>
          <w:tcPr>
            <w:tcW w:w="1100"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For</w:t>
            </w:r>
          </w:p>
        </w:tc>
        <w:tc>
          <w:tcPr>
            <w:tcW w:w="3587"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 of shares voted For of total shares voted (excluding abstentions)</w:t>
            </w:r>
          </w:p>
        </w:tc>
        <w:tc>
          <w:tcPr>
            <w:tcW w:w="980"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Against</w:t>
            </w:r>
          </w:p>
        </w:tc>
        <w:tc>
          <w:tcPr>
            <w:tcW w:w="3782"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 of shares voted Against of total shares voted (excluding abstentions)</w:t>
            </w:r>
          </w:p>
        </w:tc>
        <w:tc>
          <w:tcPr>
            <w:tcW w:w="756"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Abstain</w:t>
            </w:r>
          </w:p>
        </w:tc>
      </w:tr>
      <w:tr>
        <w:trPr/>
        <w:tc>
          <w:tcPr>
            <w:tcW w:w="1100"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91,550,859</w:t>
            </w:r>
          </w:p>
        </w:tc>
        <w:tc>
          <w:tcPr>
            <w:tcW w:w="3587" w:type="dxa"/>
            <w:tcBorders/>
            <w:shd w:fill="CCEEFF" w:val="cle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93.5%</w:t>
            </w:r>
          </w:p>
        </w:tc>
        <w:tc>
          <w:tcPr>
            <w:tcW w:w="980"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6,336,334</w:t>
            </w:r>
          </w:p>
        </w:tc>
        <w:tc>
          <w:tcPr>
            <w:tcW w:w="3782"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6.5%</w:t>
            </w:r>
          </w:p>
        </w:tc>
        <w:tc>
          <w:tcPr>
            <w:tcW w:w="756"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2,103</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 w:name="z06f6cadb4cff49718b44855aea282747"/>
      <w:bookmarkStart w:id="25" w:name="z06f6cadb4cff49718b44855aea282747"/>
      <w:bookmarkEnd w:id="25"/>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pPr>
            <w:r>
              <w:rPr/>
            </w:r>
          </w:p>
        </w:tc>
        <w:tc>
          <w:tcPr>
            <w:tcW w:w="2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9894"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rPr>
              <w:t>The shareholders approved the compensation of Mr. Yair Seroussi, our newly appointed Vice Chairman of the Board of Directors.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 w:name="z35d53c71603d4da093f12622139fef7d"/>
      <w:bookmarkStart w:id="27" w:name="z35d53c71603d4da093f12622139fef7d"/>
      <w:bookmarkEnd w:id="27"/>
    </w:p>
    <w:tbl>
      <w:tblPr>
        <w:tblW w:w="10205" w:type="dxa"/>
        <w:jc w:val="center"/>
        <w:tblInd w:w="0" w:type="dxa"/>
        <w:tblLayout w:type="fixed"/>
        <w:tblCellMar>
          <w:top w:w="0" w:type="dxa"/>
          <w:left w:w="0" w:type="dxa"/>
          <w:bottom w:w="0" w:type="dxa"/>
          <w:right w:w="0" w:type="dxa"/>
        </w:tblCellMar>
      </w:tblPr>
      <w:tblGrid>
        <w:gridCol w:w="1100"/>
        <w:gridCol w:w="3529"/>
        <w:gridCol w:w="1100"/>
        <w:gridCol w:w="3720"/>
        <w:gridCol w:w="756"/>
      </w:tblGrid>
      <w:tr>
        <w:trPr/>
        <w:tc>
          <w:tcPr>
            <w:tcW w:w="1100"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For</w:t>
            </w:r>
          </w:p>
        </w:tc>
        <w:tc>
          <w:tcPr>
            <w:tcW w:w="3529"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 of shares voted For of total shares voted (excluding abstentions)</w:t>
            </w:r>
          </w:p>
        </w:tc>
        <w:tc>
          <w:tcPr>
            <w:tcW w:w="1100"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Against</w:t>
            </w:r>
          </w:p>
        </w:tc>
        <w:tc>
          <w:tcPr>
            <w:tcW w:w="3720"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 of shares voted Against of total shares voted (excluding abstentions)</w:t>
            </w:r>
          </w:p>
        </w:tc>
        <w:tc>
          <w:tcPr>
            <w:tcW w:w="756" w:type="dxa"/>
            <w:tcBorders/>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Abstain</w:t>
            </w:r>
          </w:p>
        </w:tc>
      </w:tr>
      <w:tr>
        <w:trPr/>
        <w:tc>
          <w:tcPr>
            <w:tcW w:w="1100"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71,171,554</w:t>
            </w:r>
          </w:p>
        </w:tc>
        <w:tc>
          <w:tcPr>
            <w:tcW w:w="3529" w:type="dxa"/>
            <w:tcBorders/>
            <w:shd w:fill="CCEEFF" w:val="cle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72.7%</w:t>
            </w:r>
          </w:p>
        </w:tc>
        <w:tc>
          <w:tcPr>
            <w:tcW w:w="1100"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26,715,622</w:t>
            </w:r>
          </w:p>
        </w:tc>
        <w:tc>
          <w:tcPr>
            <w:tcW w:w="3720"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27.3%</w:t>
            </w:r>
          </w:p>
        </w:tc>
        <w:tc>
          <w:tcPr>
            <w:tcW w:w="756" w:type="dxa"/>
            <w:tcBorders/>
            <w:shd w:fill="CCEEFF" w:val="clear"/>
            <w:vAlign w:val="center"/>
          </w:tcPr>
          <w:p>
            <w:pPr>
              <w:pStyle w:val="TableContents"/>
              <w:bidi w:val="0"/>
              <w:spacing w:lineRule="auto" w:line="300" w:before="0" w:after="0"/>
              <w:jc w:val="center"/>
              <w:rPr>
                <w:rFonts w:ascii="Times New Roman;Times;serif" w:hAnsi="Times New Roman;Times;serif"/>
              </w:rPr>
            </w:pPr>
            <w:r>
              <w:rPr>
                <w:rFonts w:ascii="Times New Roman;Times;serif" w:hAnsi="Times New Roman;Times;serif"/>
              </w:rPr>
              <w:t>2,120</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Incorporation by Reference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Other than as indicated below, the information in this Form 6-K shall not be deemed “filed” for purposes of Section 18 of the Securities Exchange Act of 1934, as amended (the “</w:t>
      </w:r>
      <w:r>
        <w:rPr>
          <w:rFonts w:ascii="Times New Roman;Times;serif" w:hAnsi="Times New Roman;Times;serif"/>
          <w:b/>
          <w:color w:val="000000"/>
          <w:sz w:val="20"/>
        </w:rPr>
        <w:t>Exchange Act</w:t>
      </w:r>
      <w:r>
        <w:rPr>
          <w:rFonts w:ascii="Times New Roman;Times;serif" w:hAnsi="Times New Roman;Times;serif"/>
          <w:color w:val="000000"/>
          <w:sz w:val="20"/>
        </w:rPr>
        <w:t>”), or otherwise subject to the liabilities of that section, nor shall it be deemed incorporated by reference in any filing under the Securities Act of 1933, as amended, or the Exchange Act.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information contained in this Report on Form 6-K is hereby incorporated by reference into the Company’s Registration Statement on Form S-8 (File No. 333-271297).</w:t>
      </w:r>
    </w:p>
    <w:p>
      <w:pPr>
        <w:pStyle w:val="TextBody"/>
        <w:bidi w:val="0"/>
        <w:spacing w:lineRule="auto" w:line="300" w:before="0" w:after="0"/>
        <w:jc w:val="left"/>
        <w:rPr>
          <w:color w:val="000000"/>
        </w:rPr>
      </w:pPr>
      <w:r>
        <w:rPr>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28" w:name="zb67ca5c0e5fe4dbdbbc05f27e528ac48"/>
      <w:bookmarkStart w:id="29" w:name="zb67ca5c0e5fe4dbdbbc05f27e528ac48"/>
      <w:bookmarkEnd w:id="29"/>
    </w:p>
    <w:tbl>
      <w:tblPr>
        <w:tblW w:w="5394" w:type="dxa"/>
        <w:jc w:val="left"/>
        <w:tblInd w:w="0" w:type="dxa"/>
        <w:tblLayout w:type="fixed"/>
        <w:tblCellMar>
          <w:top w:w="0" w:type="dxa"/>
          <w:left w:w="0" w:type="dxa"/>
          <w:bottom w:w="0" w:type="dxa"/>
          <w:right w:w="0" w:type="dxa"/>
        </w:tblCellMar>
      </w:tblPr>
      <w:tblGrid>
        <w:gridCol w:w="2135"/>
        <w:gridCol w:w="563"/>
        <w:gridCol w:w="2696"/>
      </w:tblGrid>
      <w:tr>
        <w:trPr/>
        <w:tc>
          <w:tcPr>
            <w:tcW w:w="213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Enlight Renewable Energy Ltd.</w:t>
            </w:r>
          </w:p>
        </w:tc>
      </w:tr>
      <w:tr>
        <w:trPr/>
        <w:tc>
          <w:tcPr>
            <w:tcW w:w="2135"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2696"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Date: October 1, 2025</w:t>
            </w:r>
          </w:p>
        </w:tc>
        <w:tc>
          <w:tcPr>
            <w:tcW w:w="563"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By:</w:t>
            </w:r>
          </w:p>
        </w:tc>
        <w:tc>
          <w:tcPr>
            <w:tcW w:w="2696"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/s/ Lisa Haimovitz</w:t>
            </w:r>
          </w:p>
        </w:tc>
      </w:tr>
      <w:tr>
        <w:trPr/>
        <w:tc>
          <w:tcPr>
            <w:tcW w:w="2135"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2696"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Lisa Haimovitz</w:t>
            </w:r>
          </w:p>
        </w:tc>
      </w:tr>
      <w:tr>
        <w:trPr/>
        <w:tc>
          <w:tcPr>
            <w:tcW w:w="2135"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2696"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VP GC</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b w:val="false"/>
          <w:i w:val="false"/>
          <w:caps w:val="false"/>
          <w:smallCaps w:val="false"/>
          <w:color w:val="000000"/>
          <w:sz w:val="20"/>
        </w:rPr>
        <w:t>4</w:t>
      </w:r>
      <w:r>
        <w:rPr>
          <w:rFonts w:ascii="Times New Roman;Times;serif" w:hAnsi="Times New Roman;Times;serif"/>
          <w:color w:val="000000"/>
          <w:sz w:val="20"/>
        </w:rPr>
        <w:t xml:space="preserve"> </w:t>
      </w:r>
    </w:p>
    <w:p>
      <w:pPr>
        <w:pStyle w:val="HorizontalLine"/>
        <w:bidi w:val="0"/>
        <w:spacing w:before="0" w:after="283"/>
        <w:jc w:val="center"/>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814</Words>
  <Characters>4409</Characters>
  <CharactersWithSpaces>5111</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