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2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56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February 10, 2025, Midgoog Ltd., an affiliate of Moody’s Corporation, submitted a periodic ratings report to the Israel Securities Authority and the Tel Aviv Stock Exchange regarding Enlight Renewable Energy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new series of notes which the Company is examining the possibility to issue in an amount of up to NIS million par value. An unofficial English translation of such ratings report from the original binding Hebrew version is furnished as Exhibit 99.1 to this Report on Form 6-K.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in this Form 6-K (including in Exhibit 99.1)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as part of this Form 6-K: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4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2620" w:type="dxa"/>
            <w:vAlign w:val="bottom"/>
          </w:tcPr>
          <w:p>
            <w:pPr>
              <w:spacing w:after="0"/>
              <w:rPr>
                <w:sz w:val="17"/>
                <w:szCs w:val="17"/>
                <w:color w:val="auto"/>
              </w:rPr>
            </w:pPr>
          </w:p>
        </w:tc>
      </w:tr>
      <w:tr>
        <w:trPr>
          <w:trHeight w:val="426"/>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Unofficial English Translation of Ratings Report</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tc>
      </w:tr>
      <w:tr>
        <w:trPr>
          <w:trHeight w:val="40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2025</w:t>
            </w:r>
          </w:p>
        </w:tc>
        <w:tc>
          <w:tcPr>
            <w:tcW w:w="756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By: /s/ Lisa Haimovitz</w:t>
            </w:r>
          </w:p>
        </w:tc>
      </w:tr>
      <w:tr>
        <w:trPr>
          <w:trHeight w:val="245"/>
        </w:trPr>
        <w:tc>
          <w:tcPr>
            <w:tcW w:w="36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Lisa Haimovitz</w:t>
            </w:r>
          </w:p>
        </w:tc>
        <w:tc>
          <w:tcPr>
            <w:tcW w:w="3940" w:type="dxa"/>
            <w:vAlign w:val="bottom"/>
          </w:tcPr>
          <w:p>
            <w:pPr>
              <w:spacing w:after="0"/>
              <w:rPr>
                <w:sz w:val="21"/>
                <w:szCs w:val="21"/>
                <w:color w:val="auto"/>
              </w:rPr>
            </w:pPr>
          </w:p>
        </w:tc>
      </w:tr>
      <w:tr>
        <w:trPr>
          <w:trHeight w:val="234"/>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59"/>
        </w:trPr>
        <w:tc>
          <w:tcPr>
            <w:tcW w:w="3680" w:type="dxa"/>
            <w:vAlign w:val="bottom"/>
          </w:tcPr>
          <w:p>
            <w:pPr>
              <w:spacing w:after="0"/>
              <w:rPr>
                <w:sz w:val="24"/>
                <w:szCs w:val="24"/>
                <w:color w:val="auto"/>
              </w:rPr>
            </w:pPr>
          </w:p>
        </w:tc>
        <w:tc>
          <w:tcPr>
            <w:tcW w:w="2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95"/>
        </w:trPr>
        <w:tc>
          <w:tcPr>
            <w:tcW w:w="36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r>
      <w:tr>
        <w:trPr>
          <w:trHeight w:val="163"/>
        </w:trPr>
        <w:tc>
          <w:tcPr>
            <w:tcW w:w="36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710628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342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208915</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165735</wp:posOffset>
            </wp:positionV>
            <wp:extent cx="6780530" cy="986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053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Rating Action | February 2025</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This credit rating report is a translation of a report that was written in Hebrew for a debt issued in Israel.</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binding version is the one in the original language.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Avdalimov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Analyst, Lead Rating Analyst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robert.a@midroog.co.il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Tomer Dar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Team Leader, Secondary Rating Analyst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tomero@midroog.co.il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Elad Seroussi, Vice President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Projects and Infrastructure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elad.seroussi@midroog.co.il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FFFFFF"/>
        </w:rPr>
        <w:t>גורדימ</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Enlight Renewable Energy Ltd.</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3860" w:type="dxa"/>
            <w:vAlign w:val="bottom"/>
            <w:tcBorders>
              <w:top w:val="single" w:sz="8" w:color="auto"/>
              <w:left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Issuer Rating</w:t>
            </w:r>
          </w:p>
        </w:tc>
        <w:tc>
          <w:tcPr>
            <w:tcW w:w="3700" w:type="dxa"/>
            <w:vAlign w:val="bottom"/>
            <w:tcBorders>
              <w:top w:val="single" w:sz="8" w:color="auto"/>
              <w:bottom w:val="single" w:sz="8" w:color="F2F2F2"/>
              <w:right w:val="single" w:sz="8" w:color="auto"/>
            </w:tcBorders>
            <w:shd w:val="clear" w:color="auto" w:fill="F2F2F2"/>
          </w:tcPr>
          <w:p>
            <w:pPr>
              <w:ind w:left="1660"/>
              <w:spacing w:after="0"/>
              <w:rPr>
                <w:sz w:val="20"/>
                <w:szCs w:val="20"/>
                <w:color w:val="auto"/>
              </w:rPr>
            </w:pPr>
            <w:r>
              <w:rPr>
                <w:rFonts w:ascii="Times New Roman" w:cs="Times New Roman" w:eastAsia="Times New Roman" w:hAnsi="Times New Roman"/>
                <w:sz w:val="18"/>
                <w:szCs w:val="18"/>
                <w:b w:val="1"/>
                <w:bCs w:val="1"/>
                <w:color w:val="auto"/>
              </w:rPr>
              <w:t>A2.il</w:t>
            </w:r>
          </w:p>
        </w:tc>
        <w:tc>
          <w:tcPr>
            <w:tcW w:w="3700" w:type="dxa"/>
            <w:vAlign w:val="bottom"/>
            <w:tcBorders>
              <w:top w:val="single" w:sz="8" w:color="auto"/>
              <w:bottom w:val="single" w:sz="8" w:color="F2F2F2"/>
              <w:right w:val="single" w:sz="8" w:color="auto"/>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b w:val="1"/>
                <w:bCs w:val="1"/>
                <w:color w:val="auto"/>
              </w:rPr>
              <w:t>Outlook: Stable</w:t>
            </w:r>
          </w:p>
        </w:tc>
      </w:tr>
      <w:tr>
        <w:trPr>
          <w:trHeight w:val="247"/>
        </w:trPr>
        <w:tc>
          <w:tcPr>
            <w:tcW w:w="3860" w:type="dxa"/>
            <w:vAlign w:val="bottom"/>
            <w:tcBorders>
              <w:top w:val="single" w:sz="8" w:color="auto"/>
              <w:left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Series Rating</w:t>
            </w:r>
          </w:p>
        </w:tc>
        <w:tc>
          <w:tcPr>
            <w:tcW w:w="3700" w:type="dxa"/>
            <w:vAlign w:val="bottom"/>
            <w:tcBorders>
              <w:top w:val="single" w:sz="8" w:color="auto"/>
              <w:bottom w:val="single" w:sz="8" w:color="F2F2F2"/>
              <w:right w:val="single" w:sz="8" w:color="auto"/>
            </w:tcBorders>
            <w:shd w:val="clear" w:color="auto" w:fill="F2F2F2"/>
          </w:tcPr>
          <w:p>
            <w:pPr>
              <w:ind w:left="1660"/>
              <w:spacing w:after="0"/>
              <w:rPr>
                <w:sz w:val="20"/>
                <w:szCs w:val="20"/>
                <w:color w:val="auto"/>
              </w:rPr>
            </w:pPr>
            <w:r>
              <w:rPr>
                <w:rFonts w:ascii="Times New Roman" w:cs="Times New Roman" w:eastAsia="Times New Roman" w:hAnsi="Times New Roman"/>
                <w:sz w:val="18"/>
                <w:szCs w:val="18"/>
                <w:b w:val="1"/>
                <w:bCs w:val="1"/>
                <w:color w:val="auto"/>
              </w:rPr>
              <w:t>A2.il</w:t>
            </w:r>
          </w:p>
        </w:tc>
        <w:tc>
          <w:tcPr>
            <w:tcW w:w="3700" w:type="dxa"/>
            <w:vAlign w:val="bottom"/>
            <w:tcBorders>
              <w:top w:val="single" w:sz="8" w:color="auto"/>
              <w:bottom w:val="single" w:sz="8" w:color="F2F2F2"/>
              <w:right w:val="single" w:sz="8" w:color="auto"/>
            </w:tcBorders>
            <w:shd w:val="clear" w:color="auto" w:fill="F2F2F2"/>
          </w:tcPr>
          <w:p>
            <w:pPr>
              <w:ind w:left="1220"/>
              <w:spacing w:after="0"/>
              <w:rPr>
                <w:sz w:val="20"/>
                <w:szCs w:val="20"/>
                <w:color w:val="auto"/>
              </w:rPr>
            </w:pPr>
            <w:r>
              <w:rPr>
                <w:rFonts w:ascii="Times New Roman" w:cs="Times New Roman" w:eastAsia="Times New Roman" w:hAnsi="Times New Roman"/>
                <w:sz w:val="18"/>
                <w:szCs w:val="18"/>
                <w:b w:val="1"/>
                <w:bCs w:val="1"/>
                <w:color w:val="auto"/>
              </w:rPr>
              <w:t>Outlook: Stable</w:t>
            </w:r>
          </w:p>
        </w:tc>
      </w:tr>
      <w:tr>
        <w:trPr>
          <w:trHeight w:val="27"/>
        </w:trPr>
        <w:tc>
          <w:tcPr>
            <w:tcW w:w="3860" w:type="dxa"/>
            <w:vAlign w:val="bottom"/>
            <w:tcBorders>
              <w:left w:val="single" w:sz="8" w:color="auto"/>
              <w:right w:val="single" w:sz="8" w:color="auto"/>
            </w:tcBorders>
            <w:shd w:val="clear" w:color="auto" w:fill="000000"/>
          </w:tcPr>
          <w:p>
            <w:pPr>
              <w:spacing w:after="0"/>
              <w:rPr>
                <w:sz w:val="2"/>
                <w:szCs w:val="2"/>
                <w:color w:val="auto"/>
              </w:rPr>
            </w:pPr>
          </w:p>
        </w:tc>
        <w:tc>
          <w:tcPr>
            <w:tcW w:w="3700" w:type="dxa"/>
            <w:vAlign w:val="bottom"/>
            <w:tcBorders>
              <w:right w:val="single" w:sz="8" w:color="auto"/>
            </w:tcBorders>
            <w:shd w:val="clear" w:color="auto" w:fill="000000"/>
          </w:tcPr>
          <w:p>
            <w:pPr>
              <w:spacing w:after="0"/>
              <w:rPr>
                <w:sz w:val="2"/>
                <w:szCs w:val="2"/>
                <w:color w:val="auto"/>
              </w:rPr>
            </w:pPr>
          </w:p>
        </w:tc>
        <w:tc>
          <w:tcPr>
            <w:tcW w:w="3700" w:type="dxa"/>
            <w:vAlign w:val="bottom"/>
            <w:tcBorders>
              <w:right w:val="single" w:sz="8" w:color="auto"/>
            </w:tcBorders>
            <w:shd w:val="clear" w:color="auto" w:fill="000000"/>
          </w:tcPr>
          <w:p>
            <w:pPr>
              <w:spacing w:after="0"/>
              <w:rPr>
                <w:sz w:val="2"/>
                <w:szCs w:val="2"/>
                <w:color w:val="auto"/>
              </w:rPr>
            </w:pPr>
          </w:p>
        </w:tc>
      </w:tr>
    </w:tbl>
    <w:p>
      <w:pPr>
        <w:spacing w:after="0" w:line="19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Midroog assigns an A2.il rating to debentures series B7 and C8, which is expected to be issued by Enlight Renewable Energy Ltd. (the "Company"), in an amount of up to NIS 500 million par value. The outlook is stable. The proceeds from the issuance are expected to be used for the Company’s ongoing business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bonds rated by Midroog:</w:t>
      </w:r>
      <w:r>
        <w:rPr>
          <w:rFonts w:ascii="Times New Roman" w:cs="Times New Roman" w:eastAsia="Times New Roman" w:hAnsi="Times New Roman"/>
          <w:sz w:val="29"/>
          <w:szCs w:val="29"/>
          <w:color w:val="auto"/>
          <w:vertAlign w:val="superscript"/>
        </w:rPr>
        <w:t>1</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2280" w:type="dxa"/>
            <w:vAlign w:val="bottom"/>
            <w:tcBorders>
              <w:top w:val="single" w:sz="8" w:color="auto"/>
              <w:left w:val="single" w:sz="8" w:color="auto"/>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Bond series</w:t>
            </w:r>
          </w:p>
        </w:tc>
        <w:tc>
          <w:tcPr>
            <w:tcW w:w="224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No.</w:t>
            </w:r>
          </w:p>
        </w:tc>
        <w:tc>
          <w:tcPr>
            <w:tcW w:w="222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Rating</w:t>
            </w:r>
          </w:p>
        </w:tc>
        <w:tc>
          <w:tcPr>
            <w:tcW w:w="22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Outlook</w:t>
            </w:r>
          </w:p>
        </w:tc>
        <w:tc>
          <w:tcPr>
            <w:tcW w:w="224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Final Maturity</w:t>
            </w:r>
          </w:p>
        </w:tc>
      </w:tr>
      <w:tr>
        <w:trPr>
          <w:trHeight w:val="243"/>
        </w:trPr>
        <w:tc>
          <w:tcPr>
            <w:tcW w:w="22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ENLIGHT C3</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7200249</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A2.il</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01.09.2028</w:t>
            </w:r>
          </w:p>
        </w:tc>
      </w:tr>
      <w:tr>
        <w:trPr>
          <w:trHeight w:val="47"/>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r>
      <w:tr>
        <w:trPr>
          <w:trHeight w:val="243"/>
        </w:trPr>
        <w:tc>
          <w:tcPr>
            <w:tcW w:w="2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ENLIGHT B4</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7200256</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A2.il</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01.09.2029</w:t>
            </w:r>
          </w:p>
        </w:tc>
      </w:tr>
      <w:tr>
        <w:trPr>
          <w:trHeight w:val="48"/>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r>
      <w:tr>
        <w:trPr>
          <w:trHeight w:val="243"/>
        </w:trPr>
        <w:tc>
          <w:tcPr>
            <w:tcW w:w="2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ENLIGHT B6</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7200173</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A2.il</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01.09.2026</w:t>
            </w:r>
          </w:p>
        </w:tc>
      </w:tr>
      <w:tr>
        <w:trPr>
          <w:trHeight w:val="48"/>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full information regarding the rating considerations, you are referred to the monitoring report dated October 10,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ating</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2882900</wp:posOffset>
            </wp:positionV>
            <wp:extent cx="1645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5194935" cy="2237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9493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an additional bond series which is not rated by Midroog (ENLIGHT B5).</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Enlight Renewable Energy Ltd - Rating Action</w:t>
            </w:r>
          </w:p>
        </w:tc>
        <w:tc>
          <w:tcPr>
            <w:tcW w:w="42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10/02/2025</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07"/>
        </w:trPr>
        <w:tc>
          <w:tcPr>
            <w:tcW w:w="63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FFFFFF"/>
        </w:rPr>
        <w:t>גורדימ</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Enlight Renewable Energy Ltd. – Related Reports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Rating Power Producers – Methodology Report, January 2023</w:t>
      </w:r>
    </w:p>
    <w:p>
      <w:pPr>
        <w:spacing w:after="0" w:line="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b w:val="1"/>
          <w:bCs w:val="1"/>
          <w:u w:val="single" w:color="auto"/>
          <w:color w:val="auto"/>
        </w:rPr>
        <w:t>Financial Statement Adjustments and Presentation of Main Financial Measures in Corporate Rating – Methodology Report, December 2024 Structural Considerations in Rating Debt Instruments in Corporate Finance – Methodology Report, September 2019</w:t>
      </w:r>
    </w:p>
    <w:p>
      <w:pPr>
        <w:ind w:right="140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Guidelines for Reviewing Environmental, Social and Governance Risks in Credit Ratings – Methodology Report, February 2022 Impact of the War on the Creditworthiness of Issuers Rated by Midroog – Special Report, October 2024 Table of Relationships and Holdings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Midroog Rating Scales and 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reports are published on the Midroog website at </w:t>
      </w:r>
      <w:r>
        <w:rPr>
          <w:rFonts w:ascii="Times New Roman" w:cs="Times New Roman" w:eastAsia="Times New Roman" w:hAnsi="Times New Roman"/>
          <w:sz w:val="18"/>
          <w:szCs w:val="18"/>
          <w:u w:val="single" w:color="auto"/>
          <w:color w:val="auto"/>
        </w:rPr>
        <w:t>www.midroog.co.il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ectPr>
          <w:pgSz w:w="11900" w:h="16838" w:orient="portrait"/>
          <w:cols w:equalWidth="0" w:num="1">
            <w:col w:w="11240"/>
          </w:cols>
          <w:pgMar w:left="320" w:top="342" w:right="3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rating report:</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color w:val="auto"/>
        </w:rPr>
        <w:t>Date of last revision of the rating: Date of first publication of the 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 commissioned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 paid for by: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nformation from 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21,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Enlight Renewable Energy Ltd.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Enlight Renewable Energy Ltd.</w:t>
      </w:r>
    </w:p>
    <w:p>
      <w:pPr>
        <w:spacing w:after="0" w:line="621" w:lineRule="exact"/>
        <w:rPr>
          <w:sz w:val="20"/>
          <w:szCs w:val="20"/>
          <w:color w:val="auto"/>
        </w:rPr>
      </w:pPr>
    </w:p>
    <w:p>
      <w:pPr>
        <w:sectPr>
          <w:pgSz w:w="11900" w:h="16838" w:orient="portrait"/>
          <w:cols w:equalWidth="0" w:num="2">
            <w:col w:w="2580" w:space="240"/>
            <w:col w:w="8420"/>
          </w:cols>
          <w:pgMar w:left="320" w:top="342"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Midroog relies in its ratings inter alia on information received from competent personnel at the issuer.</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Enlight Renewable Energy Ltd - Rating Action</w:t>
            </w:r>
          </w:p>
        </w:tc>
        <w:tc>
          <w:tcPr>
            <w:tcW w:w="42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10/02/2025</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07"/>
        </w:trPr>
        <w:tc>
          <w:tcPr>
            <w:tcW w:w="63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2" w:right="339" w:bottom="1440" w:gutter="0" w:footer="0" w:header="0"/>
          <w:type w:val="continuous"/>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080" w:type="dxa"/>
            <w:vAlign w:val="bottom"/>
            <w:tcBorders>
              <w:left w:val="single" w:sz="8" w:color="1F497D"/>
              <w:right w:val="single" w:sz="8" w:color="1F497D"/>
            </w:tcBorders>
            <w:shd w:val="clear" w:color="auto" w:fill="1F497D"/>
          </w:tcPr>
          <w:p>
            <w:pPr>
              <w:spacing w:after="0"/>
              <w:rPr>
                <w:sz w:val="22"/>
                <w:szCs w:val="22"/>
                <w:color w:val="auto"/>
              </w:rPr>
            </w:pPr>
          </w:p>
        </w:tc>
        <w:tc>
          <w:tcPr>
            <w:tcW w:w="10180" w:type="dxa"/>
            <w:vAlign w:val="bottom"/>
            <w:tcBorders>
              <w:right w:val="single" w:sz="8" w:color="1F497D"/>
            </w:tcBorders>
            <w:shd w:val="clear" w:color="auto" w:fill="1F497D"/>
          </w:tcPr>
          <w:p>
            <w:pPr>
              <w:ind w:left="9680"/>
              <w:spacing w:after="0"/>
              <w:rPr>
                <w:sz w:val="20"/>
                <w:szCs w:val="20"/>
                <w:color w:val="auto"/>
              </w:rPr>
            </w:pPr>
            <w:r>
              <w:rPr>
                <w:rFonts w:ascii="Times New Roman" w:cs="Times New Roman" w:eastAsia="Times New Roman" w:hAnsi="Times New Roman"/>
                <w:sz w:val="22"/>
                <w:szCs w:val="22"/>
                <w:color w:val="FFFFFF"/>
                <w:w w:val="92"/>
              </w:rPr>
              <w:t>גורדימ</w:t>
            </w:r>
          </w:p>
        </w:tc>
      </w:tr>
      <w:tr>
        <w:trPr>
          <w:trHeight w:val="446"/>
        </w:trPr>
        <w:tc>
          <w:tcPr>
            <w:tcW w:w="1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Rating Scale</w:t>
            </w:r>
          </w:p>
        </w:tc>
      </w:tr>
      <w:tr>
        <w:trPr>
          <w:trHeight w:val="236"/>
        </w:trPr>
        <w:tc>
          <w:tcPr>
            <w:tcW w:w="1080" w:type="dxa"/>
            <w:vAlign w:val="bottom"/>
            <w:tcBorders>
              <w:bottom w:val="single" w:sz="8" w:color="auto"/>
            </w:tcBorders>
          </w:tcPr>
          <w:p>
            <w:pPr>
              <w:spacing w:after="0"/>
              <w:rPr>
                <w:sz w:val="20"/>
                <w:szCs w:val="20"/>
                <w:color w:val="auto"/>
              </w:rPr>
            </w:pPr>
          </w:p>
        </w:tc>
        <w:tc>
          <w:tcPr>
            <w:tcW w:w="10180" w:type="dxa"/>
            <w:vAlign w:val="bottom"/>
            <w:tcBorders>
              <w:bottom w:val="single" w:sz="8" w:color="auto"/>
            </w:tcBorders>
          </w:tcPr>
          <w:p>
            <w:pPr>
              <w:spacing w:after="0"/>
              <w:rPr>
                <w:sz w:val="20"/>
                <w:szCs w:val="20"/>
                <w:color w:val="auto"/>
              </w:rPr>
            </w:pPr>
          </w:p>
        </w:tc>
      </w:tr>
      <w:tr>
        <w:trPr>
          <w:trHeight w:val="243"/>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Aaa.il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Aaa.il are those that, in Midroog judgment, have highest creditworthiness relative to other local issuers.</w:t>
            </w:r>
          </w:p>
        </w:tc>
      </w:tr>
      <w:tr>
        <w:trPr>
          <w:trHeight w:val="48"/>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tcPr>
          <w:p>
            <w:pPr>
              <w:spacing w:after="0"/>
              <w:rPr>
                <w:sz w:val="4"/>
                <w:szCs w:val="4"/>
                <w:color w:val="auto"/>
              </w:rPr>
            </w:pPr>
          </w:p>
        </w:tc>
      </w:tr>
      <w:tr>
        <w:trPr>
          <w:trHeight w:val="243"/>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Aa.il are those that, in Midroog judgment, have very strong creditworthiness relative to other local issuers.</w:t>
            </w:r>
          </w:p>
        </w:tc>
      </w:tr>
      <w:tr>
        <w:trPr>
          <w:trHeight w:val="48"/>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tcPr>
          <w:p>
            <w:pPr>
              <w:spacing w:after="0"/>
              <w:rPr>
                <w:sz w:val="4"/>
                <w:szCs w:val="4"/>
                <w:color w:val="auto"/>
              </w:rPr>
            </w:pPr>
          </w:p>
        </w:tc>
      </w:tr>
      <w:tr>
        <w:trPr>
          <w:trHeight w:val="243"/>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A.il are those that, in Midroog judgment, have relatively high creditworthiness relative to other local issuers.</w:t>
            </w:r>
          </w:p>
        </w:tc>
      </w:tr>
      <w:tr>
        <w:trPr>
          <w:trHeight w:val="48"/>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0180" w:type="dxa"/>
            <w:vAlign w:val="bottom"/>
            <w:tcBorders>
              <w:bottom w:val="single" w:sz="8" w:color="auto"/>
              <w:right w:val="single" w:sz="8" w:color="auto"/>
            </w:tcBorders>
          </w:tcPr>
          <w:p>
            <w:pPr>
              <w:spacing w:after="0"/>
              <w:rPr>
                <w:sz w:val="4"/>
                <w:szCs w:val="4"/>
                <w:color w:val="auto"/>
              </w:rPr>
            </w:pPr>
          </w:p>
        </w:tc>
      </w:tr>
      <w:tr>
        <w:trPr>
          <w:trHeight w:val="238"/>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Baa.il are those that, in Midroog judgment, have relatively moderate credit risk relative to other local issuers, and</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could involve certain speculative characteristics.</w:t>
            </w:r>
          </w:p>
        </w:tc>
      </w:tr>
      <w:tr>
        <w:trPr>
          <w:trHeight w:val="34"/>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10180" w:type="dxa"/>
            <w:vAlign w:val="bottom"/>
            <w:tcBorders>
              <w:bottom w:val="single" w:sz="8" w:color="auto"/>
              <w:right w:val="single" w:sz="8" w:color="auto"/>
            </w:tcBorders>
          </w:tcPr>
          <w:p>
            <w:pPr>
              <w:spacing w:after="0"/>
              <w:rPr>
                <w:sz w:val="2"/>
                <w:szCs w:val="2"/>
                <w:color w:val="auto"/>
              </w:rPr>
            </w:pPr>
          </w:p>
        </w:tc>
      </w:tr>
      <w:tr>
        <w:trPr>
          <w:trHeight w:val="238"/>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Ba.il are those that, in Midroog judgment, have relatively weak creditworthiness relative to other local issuers, and</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involve speculative characteristics.</w:t>
            </w:r>
          </w:p>
        </w:tc>
      </w:tr>
      <w:tr>
        <w:trPr>
          <w:trHeight w:val="34"/>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10180" w:type="dxa"/>
            <w:vAlign w:val="bottom"/>
            <w:tcBorders>
              <w:bottom w:val="single" w:sz="8" w:color="auto"/>
              <w:right w:val="single" w:sz="8" w:color="auto"/>
            </w:tcBorders>
          </w:tcPr>
          <w:p>
            <w:pPr>
              <w:spacing w:after="0"/>
              <w:rPr>
                <w:sz w:val="2"/>
                <w:szCs w:val="2"/>
                <w:color w:val="auto"/>
              </w:rPr>
            </w:pPr>
          </w:p>
        </w:tc>
      </w:tr>
      <w:tr>
        <w:trPr>
          <w:trHeight w:val="238"/>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B.il are those that, in Midroog judgment, have relatively very weak creditworthiness relative to other local issuers,</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involve significant speculative characteristics.</w:t>
            </w:r>
          </w:p>
        </w:tc>
      </w:tr>
      <w:tr>
        <w:trPr>
          <w:trHeight w:val="34"/>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10180" w:type="dxa"/>
            <w:vAlign w:val="bottom"/>
            <w:tcBorders>
              <w:bottom w:val="single" w:sz="8" w:color="auto"/>
              <w:right w:val="single" w:sz="8" w:color="auto"/>
            </w:tcBorders>
          </w:tcPr>
          <w:p>
            <w:pPr>
              <w:spacing w:after="0"/>
              <w:rPr>
                <w:sz w:val="2"/>
                <w:szCs w:val="2"/>
                <w:color w:val="auto"/>
              </w:rPr>
            </w:pPr>
          </w:p>
        </w:tc>
      </w:tr>
      <w:tr>
        <w:trPr>
          <w:trHeight w:val="238"/>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Caa.il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Caa.il are those that, in Midroog judgment, have extremely weak creditworthiness relative to other local issuers, and</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involve very significant speculative characteristics.</w:t>
            </w:r>
          </w:p>
        </w:tc>
      </w:tr>
      <w:tr>
        <w:trPr>
          <w:trHeight w:val="34"/>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10180" w:type="dxa"/>
            <w:vAlign w:val="bottom"/>
            <w:tcBorders>
              <w:bottom w:val="single" w:sz="8" w:color="auto"/>
              <w:right w:val="single" w:sz="8" w:color="auto"/>
            </w:tcBorders>
          </w:tcPr>
          <w:p>
            <w:pPr>
              <w:spacing w:after="0"/>
              <w:rPr>
                <w:sz w:val="2"/>
                <w:szCs w:val="2"/>
                <w:color w:val="auto"/>
              </w:rPr>
            </w:pPr>
          </w:p>
        </w:tc>
      </w:tr>
      <w:tr>
        <w:trPr>
          <w:trHeight w:val="238"/>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Ca.il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Ca.il are those that, in Midroog judgment, have extremely weak creditworthiness and very near default, with some</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prospect of recovery of principal and interest.</w:t>
            </w:r>
          </w:p>
        </w:tc>
      </w:tr>
      <w:tr>
        <w:trPr>
          <w:trHeight w:val="34"/>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10180" w:type="dxa"/>
            <w:vAlign w:val="bottom"/>
            <w:tcBorders>
              <w:bottom w:val="single" w:sz="8" w:color="auto"/>
              <w:right w:val="single" w:sz="8" w:color="auto"/>
            </w:tcBorders>
          </w:tcPr>
          <w:p>
            <w:pPr>
              <w:spacing w:after="0"/>
              <w:rPr>
                <w:sz w:val="2"/>
                <w:szCs w:val="2"/>
                <w:color w:val="auto"/>
              </w:rPr>
            </w:pPr>
          </w:p>
        </w:tc>
      </w:tr>
      <w:tr>
        <w:trPr>
          <w:trHeight w:val="238"/>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C.il</w:t>
            </w: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Issuers or issues rated C are those that, in Midroog judgment, have the weakest creditworthiness and are usually in a situation of default,</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10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 little prospect of recovery of principal and interest.</w:t>
            </w:r>
          </w:p>
        </w:tc>
      </w:tr>
      <w:tr>
        <w:trPr>
          <w:trHeight w:val="34"/>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10180" w:type="dxa"/>
            <w:vAlign w:val="bottom"/>
            <w:tcBorders>
              <w:bottom w:val="single" w:sz="8" w:color="auto"/>
              <w:right w:val="single" w:sz="8" w:color="auto"/>
            </w:tcBorders>
          </w:tcPr>
          <w:p>
            <w:pPr>
              <w:spacing w:after="0"/>
              <w:rPr>
                <w:sz w:val="2"/>
                <w:szCs w:val="2"/>
                <w:color w:val="auto"/>
              </w:rPr>
            </w:pPr>
          </w:p>
        </w:tc>
      </w:tr>
    </w:tbl>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Note: Midroog appends numeric modifiers 1, 2, and 3 to each rating category from Aa.il to Caa.il. The modifier '1' indicates that the obligation ranks in the higher end of its rating category, which is denoted by letters. The modifier '2' indicates that it ranks in the middle of its rating category and the modifier '3' indicates that the obligation ranks in the lower end of that category, denoted by letters.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Enlight Renewable Energy Ltd - Rating Action</w:t>
            </w:r>
          </w:p>
        </w:tc>
        <w:tc>
          <w:tcPr>
            <w:tcW w:w="42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10/02/2025</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07"/>
        </w:trPr>
        <w:tc>
          <w:tcPr>
            <w:tcW w:w="63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FFFFFF"/>
        </w:rPr>
        <w:t>גורדימ</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Copyright © All rights reserved to Midroog Ltd. (hereinafter: “Midroog”)</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CREDIT RATINGS ISSUED BY MIDROOG ARE MIDROOG’S SUBJECTIVE OPINIONS ABOUT THE RELATIVE FUTURE CREDIT RISK OF ENTITIES, CREDIT OBLIGATIONS, DEBTS AND/OR DEBT-LIKE FINANCIAL INSTRUMENTS, WHICH APPLY ON THE DATE OF THEIR PUBLICATION OR OTHER MEANS OF PROVISION, AND AS LONG AS MIDROOG HAS NOT CHANGED THE RATING OR WITHDRAWN IT AND MATERIALS, PRODUCTS, SERVICES AND INFORMATION PUBLISHED OR OTHERWISE MADE AVAILABLE BY MIDROOG (COLLECTVELY, “MATERIALS”) MAY INCLUDE SUCH OPINIONS. MIDROOG DEFINES CREDIT RISK AS THE RISK THAT AN ENTITY MAY NOT MEET ITS CONTRACTUAL FINANCIAL OBLIGATIONS AS THEY COME DUE AND ANY ESTIMATED FINANCIAL LOSS IN THE EVENT OF DEFAULT OR IMPAIRMENT. MIDROOG'S CREDIT RATINGS DO NOT ADDRESS ANY OTHER RISK, INCLUDING BUT NOT LIMITED TO RISKS RELATING TO LIQUIDITY, MARKET VALUE, CHANGE IN INTEREST RATES, PRICE VOLATILITY, OR ANY OTHER NON-CREDIT RISK ELEMENT THAT INFLUENCES THE CAPITAL MARKETS. CREDIT RATINGS, NON-CREDIT ASSESSMENTS (“ASSESSMENTS”), AND OTHER OPINIONS INCLUDED IN MIDROOG’S MATERIALS ARE NOT STATEMENTS OF CURRENT OR HISTORICAL FACT. MIDROOG’S MATERIALS MAY ALSO INCLUDE QUANTITATIVE MODEL-BASED ESTIMATES OF CREDIT RISK, AS WELL AS RELATED OPINIONS OR COMMENTARY. MIDROOG’S CREDIT RATINGS, ASSESSMENTS, OTHER OPINIONS AND MATERIALS DO NOT CONSTITUTE OR PROVIDE INVESTMENT OR FINANCIAL ADVICE, AND MIDROOG’S CREDIT RATINGS, ASSESSMENTS, OTHER OPINIONS AND MATERIALS ARE NOT AND DO NOT PROVIDE RECOMMENDATIONS TO PURCHASE, SELL, OR HOLD PARTICULAR SECURITIES. MIDROOG’S CREDIT RATINGS, ASSESSMENTS, OTHER OPINIONS AND MATERIALS DO NOT COMMENT ON THE SUITABILITY OF AN INVESTMENT FOR ANY PARTICULAR INVESTOR. MIDROOG ISSUES ITS CREDIT RATINGS, ASSESSMENTS AND OTHER OPINIONS AND PUBLISHES OR OTHERWISE PROVIDES ITS MATERIALS WITH THE EXPECTATION AND UNDERSTANDING THAT EACH INVESTOR WILL, WITH DUE CARE, MAKE ITS OWN STUDY AND EVALUATION OF EACH SECURITY THAT IS UNDER CONSIDERATION FOR PURCHASE, HOLDING, OR SALE. EVERY INVESTOR SHOULD OBTAIN PROFESSIONAL ADVICE IN RESPECT TO THEIR INVESTMENTS, TO THE APPLICABLE LAW, AND/OR TO ANY OTHER PROFESSIONAL ISSUE.</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MIDROOG’S CREDIT RATINGS, ASSESSMENTS, OTHER OPINIONS, AND MATERIALS ARE NOT INTENDED FOR USE BY RETAIL INVESTORS, AND IT WOULD BE RECKLESS AND INAPPROPRIATE FOR RETAIL INVESTORS TO USE MIDROOG’S CREDIT RATINGS, ASSESSMENTS, OTHER OPINIONS OR MATERIALS WHEN MAKING AN INVESTMENT DECISION. IF IN DOUBT YOU SHOULD CONTACT YOUR FINANCIAL OR OTHER PROFESSIONAL ADVISER.</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INFORMATION CONTAINED HEREIN IS PROTECTED BY LAW, INCLUDING BUT NOT LIMITED TO, COPYRIGHT LAW AND BY INTELLECTUAL PROPERTY LAW. NONE OF SUCH INFORMATION MAY BE COPIED, OR OTHERWISE SCANNED, AMENDED, REPACKAGED, FURTHER TRANSMITTED, TRANSFERRED, DISSEMINATED, REDISTRIBUTED, DUPLICATED, DISPLAYED, TRANSLATED, RESOLD, OR STORED FOR SUBSEQUENT USE FOR ANY SUCH PURPOSE, IN WHOLE OR IN PART, IN ANY FORM OR MANNER OR BY ANY MEANS WHATSOEVER, BY ANY PERSON, WITHOUT ADVANCE WRITTEN CONSENT FROM MIDROOG.</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Midroog makes use of rating scales to issue its opinions, according to definitions detailed in the scale itself. The choice of a symbol to reflect Midroog’s opinion with respect to credit risk reflects solely a relative assessment of that risk. Midroog’s credit ratings are not issued on a global scale – they are opinions of the creditworthiness of issuers and their financial obligations relative to that of other issuers and financial obligations within Israel.</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MIDROOG CREDIT RATINGS, ASSESSMENTS, OTHER OPINIONS AND MATERIALS ARE NOT INTENDED FOR USE BY ANY PERSON AS A BENCHMARK AS THAT TERM IS DEFINED FOR REGULATORY PURPOSES AND MUST NOT BE USED IN ANY WAY THAT COULD RESULT IN THEM BEING CONSIDERED A BENCHMARK.</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 WARRANTY, EXPRESS OR IMPLIED, AS TO THE ACCURACY, TIMELINESS, COMPLETENESS, MERCHANTABILITY OR FITNESS FOR ANY PARTICULAR PURPOSE OF ANY RATING, ASSESSMENT, OTHER OPINION OR INFORMATION IS GIVEN OR MADE BY MIDROOG IN ANY FORM OR MANNER WHATSOEVER.</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All the information contained in Midroog Ratings, Assessments, other opinions and Materials (hereinafter: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is obtained by Midroog from sources believed by it to be accurate and credible. Because of the possibility of human or mechanical error as well as other factors, however, all information contained herein is provided “AS IS” without warranty of any kind. Midroog is not responsible for the accuracy of the Information. Midroog exercises reasonable means so that the information it uses in assigning a credit rating is of sufficient quality and that it originates from sources Midroog considers to be credible, including information received from independent third parties, if and when appropriate. However, Midroog is not an auditor and cannot in every instance independently verify or validate information received in the credit rating process or in preparing its Materials.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any Midroog Materials other than one expressly stated as a methodology do not constitute part of any Midroog methodology.</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To the extent permitted by law, Midroog and its directors, officers, employees, agents, representatives, licensors and suppliers disclaim liability to any person or entity for any indirect, special, consequential, or incidental losses or damages whatsoever arising from or in connection with the information contained herein or the use of or inability to use any such information, even if Midroog or any of its directors, officers, employees, agents, representatives, licensors or suppliers is advised in advance of the possibility of such losses or damages, including but not limited to: (a) any loss of present or prospective profits or (b) any loss or damage arising where the relevant financial instrument is not the subject of a particular credit rating assigned by Midroog.</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To the extent permitted by law, Midroog and its directors, officers, employees, agents, representatives, licensors and suppliers disclaim liability for any direct or compensatory losses or damages caused to any person or entity, including but not limited to by any negligence (but excluding fraud, willful misconduct or any other type of liability that, for the avoidance of doubt, by law cannot be excluded) on the part of, or any contingency within or beyond the control of, Midroog or any of its directors, officers, employees, agents, representatives, licensors or suppliers, arising from or in connection with the information contained herein or the use of or inability to use any such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Midroog maintains policies and procedures in respect to the independence of the rating and the rating processes.</w:t>
      </w:r>
    </w:p>
    <w:p>
      <w:pPr>
        <w:sectPr>
          <w:pgSz w:w="11900" w:h="16838" w:orient="portrait"/>
          <w:cols w:equalWidth="0" w:num="1">
            <w:col w:w="11240"/>
          </w:cols>
          <w:pgMar w:left="320" w:top="342" w:right="339" w:bottom="191" w:gutter="0" w:footer="0" w:header="0"/>
        </w:sectPr>
      </w:pPr>
    </w:p>
    <w:bookmarkStart w:id="8" w:name="page9"/>
    <w:bookmarkEnd w:id="8"/>
    <w:p>
      <w:pPr>
        <w:spacing w:after="0" w:line="297" w:lineRule="auto"/>
        <w:rPr>
          <w:sz w:val="20"/>
          <w:szCs w:val="20"/>
          <w:color w:val="auto"/>
        </w:rPr>
      </w:pPr>
      <w:r>
        <w:rPr>
          <w:rFonts w:ascii="Times New Roman" w:cs="Times New Roman" w:eastAsia="Times New Roman" w:hAnsi="Times New Roman"/>
          <w:sz w:val="18"/>
          <w:szCs w:val="18"/>
          <w:color w:val="auto"/>
        </w:rPr>
        <w:t xml:space="preserve">A rating, assessment or opinion issued by Midroog may change as a result of changes in the information on which it was based and/or as a result of new information and/or for any other reason. When applicable, updates and/or changes in ratings are presented on Midroog’s website at </w:t>
      </w:r>
      <w:r>
        <w:rPr>
          <w:rFonts w:ascii="Times New Roman" w:cs="Times New Roman" w:eastAsia="Times New Roman" w:hAnsi="Times New Roman"/>
          <w:sz w:val="18"/>
          <w:szCs w:val="18"/>
          <w:u w:val="single" w:color="auto"/>
          <w:color w:val="auto"/>
        </w:rPr>
        <w:t>www.midroog.co.il</w:t>
      </w:r>
      <w:r>
        <w:rPr>
          <w:rFonts w:ascii="Times New Roman" w:cs="Times New Roman" w:eastAsia="Times New Roman" w:hAnsi="Times New Roman"/>
          <w:sz w:val="18"/>
          <w:szCs w:val="18"/>
          <w:color w:val="auto"/>
        </w:rPr>
        <w: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Enlight Renewable Energy Ltd - Rating Action</w:t>
            </w:r>
          </w:p>
        </w:tc>
        <w:tc>
          <w:tcPr>
            <w:tcW w:w="42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10/02/2025</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63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163"/>
        </w:trPr>
        <w:tc>
          <w:tcPr>
            <w:tcW w:w="636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2025-02-10T05:17:56Z</dcterms:created>
  <dcterms:modified xsi:type="dcterms:W3CDTF">2025-02-10T05:17:56Z</dcterms:modified>
</cp:coreProperties>
</file>