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zk2533964.htm"/>
      <w:bookmarkStart w:id="1" w:name="kszk2533964"/>
      <w:bookmarkStart w:id="2" w:name="zk2533964.htm"/>
      <w:bookmarkStart w:id="3" w:name="kszk2533964"/>
      <w:bookmarkEnd w:id="2"/>
      <w:bookmarkEnd w:id="3"/>
    </w:p>
    <w:p>
      <w:pPr>
        <w:pStyle w:val="TextBody"/>
        <w:bidi w:val="0"/>
        <w:spacing w:lineRule="auto" w:line="300" w:before="0" w:after="0"/>
        <w:jc w:val="center"/>
        <w:rPr>
          <w:rFonts w:ascii="Times New Roman" w:hAnsi="Times New Roman"/>
          <w:b/>
          <w:sz w:val="20"/>
        </w:rPr>
      </w:pPr>
      <w:r>
        <w:rPr>
          <w:rFonts w:ascii="Times New Roman" w:hAnsi="Times New Roman"/>
          <w:b/>
          <w:sz w:val="20"/>
        </w:rPr>
      </w:r>
    </w:p>
    <w:p>
      <w:pPr>
        <w:pStyle w:val="TextBody"/>
        <w:bidi w:val="0"/>
        <w:spacing w:lineRule="auto" w:line="300" w:before="0" w:after="0"/>
        <w:jc w:val="center"/>
        <w:rPr>
          <w:rFonts w:ascii="Times New Roman;serif" w:hAnsi="Times New Roman;serif"/>
          <w:b/>
          <w:color w:val="000000"/>
          <w:sz w:val="24"/>
        </w:rPr>
      </w:pPr>
      <w:r>
        <w:rPr>
          <w:rFonts w:ascii="Times New Roman" w:hAnsi="Times New Roman"/>
          <w:b/>
          <w:color w:val="000000"/>
          <w:sz w:val="28"/>
        </w:rPr>
        <w:t>UNITED STATES</w:t>
      </w:r>
      <w:r>
        <w:rPr>
          <w:rFonts w:ascii="Times New Roman" w:hAnsi="Times New Roman"/>
          <w:b/>
          <w:color w:val="000000"/>
          <w:sz w:val="20"/>
        </w:rPr>
        <w:br/>
      </w:r>
      <w:r>
        <w:rPr>
          <w:rFonts w:ascii="Times New Roman" w:hAnsi="Times New Roman"/>
          <w:b/>
          <w:color w:val="000000"/>
          <w:sz w:val="28"/>
        </w:rPr>
        <w:t>SECURITIES AND EXCHANGE COMMISSION</w:t>
      </w:r>
      <w:r>
        <w:rPr>
          <w:rFonts w:ascii="Times New Roman" w:hAnsi="Times New Roman"/>
          <w:b/>
          <w:color w:val="000000"/>
          <w:sz w:val="20"/>
        </w:rPr>
        <w:br/>
        <w:t>Washington, D.C. 20549</w:t>
      </w:r>
    </w:p>
    <w:p>
      <w:pPr>
        <w:pStyle w:val="TextBody"/>
        <w:bidi w:val="0"/>
        <w:spacing w:lineRule="auto" w:line="300" w:before="0" w:after="0"/>
        <w:jc w:val="left"/>
        <w:rPr>
          <w:color w:val="000000"/>
        </w:rPr>
      </w:pPr>
      <w:r>
        <w:rPr>
          <w:color w:val="000000"/>
        </w:rPr>
        <w:t> </w:t>
      </w:r>
    </w:p>
    <w:p>
      <w:pPr>
        <w:pStyle w:val="TextBody"/>
        <w:bidi w:val="0"/>
        <w:spacing w:lineRule="auto" w:line="300" w:before="0" w:after="0"/>
        <w:jc w:val="center"/>
        <w:rPr>
          <w:rFonts w:ascii="Times New Roman" w:hAnsi="Times New Roman"/>
          <w:b/>
          <w:color w:val="000000"/>
          <w:sz w:val="28"/>
        </w:rPr>
      </w:pPr>
      <w:r>
        <w:rPr>
          <w:rFonts w:ascii="Times New Roman" w:hAnsi="Times New Roman"/>
          <w:b/>
          <w:color w:val="000000"/>
          <w:sz w:val="28"/>
        </w:rPr>
        <w:t>FORM 6-K</w:t>
      </w:r>
    </w:p>
    <w:p>
      <w:pPr>
        <w:pStyle w:val="TextBody"/>
        <w:bidi w:val="0"/>
        <w:spacing w:lineRule="auto" w:line="300" w:before="0" w:after="0"/>
        <w:jc w:val="left"/>
        <w:rPr>
          <w:rFonts w:ascii="Times New Roman" w:hAnsi="Times New Roman"/>
        </w:rPr>
      </w:pPr>
      <w:r>
        <w:rPr>
          <w:rFonts w:ascii="Times New Roman" w:hAnsi="Times New Roman"/>
        </w:rPr>
      </w:r>
    </w:p>
    <w:p>
      <w:pPr>
        <w:pStyle w:val="TextBody"/>
        <w:bidi w:val="0"/>
        <w:spacing w:lineRule="auto" w:line="300" w:before="0" w:after="0"/>
        <w:jc w:val="center"/>
        <w:rPr>
          <w:rFonts w:ascii="Times New Roman" w:hAnsi="Times New Roman"/>
          <w:b/>
          <w:color w:val="000000"/>
          <w:sz w:val="20"/>
        </w:rPr>
      </w:pPr>
      <w:r>
        <w:rPr>
          <w:rFonts w:ascii="Times New Roman" w:hAnsi="Times New Roman"/>
          <w:b/>
          <w:color w:val="000000"/>
          <w:sz w:val="20"/>
        </w:rPr>
        <w:t>REPORT OF FOREIGN PRIVATE ISSUER</w:t>
        <w:br/>
        <w:t>PURSUANT TO RULE 13A-16 OR 15D-16</w:t>
        <w:br/>
        <w:t>UNDER THE SECURITIES EXCHANGE ACT OF 1934</w:t>
      </w:r>
    </w:p>
    <w:p>
      <w:pPr>
        <w:pStyle w:val="TextBody"/>
        <w:bidi w:val="0"/>
        <w:spacing w:lineRule="auto" w:line="300" w:before="0" w:after="0"/>
        <w:jc w:val="left"/>
        <w:rPr>
          <w:color w:val="000000"/>
        </w:rPr>
      </w:pPr>
      <w:r>
        <w:rPr>
          <w:color w:val="000000"/>
        </w:rPr>
        <w:t> </w:t>
      </w:r>
    </w:p>
    <w:p>
      <w:pPr>
        <w:pStyle w:val="TextBody"/>
        <w:bidi w:val="0"/>
        <w:spacing w:lineRule="auto" w:line="300" w:before="0" w:after="0"/>
        <w:jc w:val="center"/>
        <w:rPr>
          <w:rFonts w:ascii="Times New Roman" w:hAnsi="Times New Roman"/>
          <w:b/>
          <w:color w:val="000000"/>
          <w:sz w:val="20"/>
        </w:rPr>
      </w:pPr>
      <w:r>
        <w:rPr>
          <w:rFonts w:ascii="Times New Roman" w:hAnsi="Times New Roman"/>
          <w:b/>
          <w:color w:val="000000"/>
          <w:sz w:val="20"/>
        </w:rPr>
        <w:t>For the month of November 2025</w:t>
      </w:r>
    </w:p>
    <w:p>
      <w:pPr>
        <w:pStyle w:val="TextBody"/>
        <w:bidi w:val="0"/>
        <w:spacing w:lineRule="auto" w:line="300" w:before="0" w:after="0"/>
        <w:jc w:val="left"/>
        <w:rPr>
          <w:color w:val="000000"/>
        </w:rPr>
      </w:pPr>
      <w:r>
        <w:rPr>
          <w:color w:val="000000"/>
        </w:rPr>
        <w:t> </w:t>
      </w:r>
    </w:p>
    <w:p>
      <w:pPr>
        <w:pStyle w:val="TextBody"/>
        <w:bidi w:val="0"/>
        <w:spacing w:lineRule="auto" w:line="300" w:before="0" w:after="0"/>
        <w:jc w:val="center"/>
        <w:rPr>
          <w:rFonts w:ascii="Times New Roman" w:hAnsi="Times New Roman"/>
          <w:b/>
          <w:color w:val="000000"/>
          <w:sz w:val="20"/>
        </w:rPr>
      </w:pPr>
      <w:r>
        <w:rPr>
          <w:rFonts w:ascii="Times New Roman" w:hAnsi="Times New Roman"/>
          <w:b/>
          <w:color w:val="000000"/>
          <w:sz w:val="20"/>
        </w:rPr>
        <w:t>Commission File Number: 001-41613</w:t>
      </w:r>
    </w:p>
    <w:p>
      <w:pPr>
        <w:pStyle w:val="TextBody"/>
        <w:bidi w:val="0"/>
        <w:spacing w:lineRule="auto" w:line="300" w:before="0" w:after="0"/>
        <w:jc w:val="left"/>
        <w:rPr>
          <w:color w:val="000000"/>
        </w:rPr>
      </w:pPr>
      <w:r>
        <w:rPr>
          <w:color w:val="000000"/>
        </w:rPr>
        <w:t> </w:t>
      </w:r>
    </w:p>
    <w:p>
      <w:pPr>
        <w:pStyle w:val="TextBody"/>
        <w:bidi w:val="0"/>
        <w:spacing w:lineRule="auto" w:line="300" w:before="0" w:after="0"/>
        <w:jc w:val="center"/>
        <w:rPr>
          <w:rFonts w:ascii="Times New Roman;serif" w:hAnsi="Times New Roman;serif"/>
          <w:color w:val="000000"/>
          <w:sz w:val="20"/>
        </w:rPr>
      </w:pPr>
      <w:r>
        <w:rPr>
          <w:rFonts w:ascii="Times New Roman" w:hAnsi="Times New Roman"/>
          <w:b/>
          <w:color w:val="000000"/>
          <w:sz w:val="32"/>
        </w:rPr>
        <w:t>Enlight Renewable Energy Ltd.</w:t>
      </w:r>
      <w:r>
        <w:rPr>
          <w:rFonts w:ascii="Times New Roman" w:hAnsi="Times New Roman"/>
          <w:color w:val="000000"/>
          <w:sz w:val="20"/>
        </w:rPr>
        <w:br/>
        <w:t>(Translation of registrant’s name into English)</w:t>
      </w:r>
    </w:p>
    <w:p>
      <w:pPr>
        <w:pStyle w:val="TextBody"/>
        <w:bidi w:val="0"/>
        <w:spacing w:lineRule="auto" w:line="300" w:before="0" w:after="0"/>
        <w:jc w:val="left"/>
        <w:rPr>
          <w:color w:val="000000"/>
        </w:rPr>
      </w:pPr>
      <w:r>
        <w:rPr>
          <w:color w:val="000000"/>
        </w:rPr>
        <w:t> </w:t>
      </w:r>
    </w:p>
    <w:p>
      <w:pPr>
        <w:pStyle w:val="TextBody"/>
        <w:bidi w:val="0"/>
        <w:spacing w:lineRule="auto" w:line="300" w:before="0" w:after="0"/>
        <w:jc w:val="center"/>
        <w:rPr>
          <w:rFonts w:ascii="Times New Roman" w:hAnsi="Times New Roman"/>
          <w:b/>
          <w:color w:val="000000"/>
          <w:sz w:val="20"/>
        </w:rPr>
      </w:pPr>
      <w:r>
        <w:rPr>
          <w:rFonts w:ascii="Times New Roman" w:hAnsi="Times New Roman"/>
          <w:b/>
          <w:color w:val="000000"/>
          <w:sz w:val="20"/>
        </w:rPr>
        <w:t>13 Amal St., Afek Industrial Park</w:t>
        <w:br/>
        <w:t>Rosh Ha’ayin, Israel</w:t>
        <w:br/>
        <w:t>+ 972 (3) 900-8700</w:t>
        <w:br/>
        <w:t>(Address of principal executive office)</w:t>
      </w:r>
    </w:p>
    <w:p>
      <w:pPr>
        <w:pStyle w:val="TextBody"/>
        <w:bidi w:val="0"/>
        <w:spacing w:lineRule="auto" w:line="300" w:before="0" w:after="0"/>
        <w:jc w:val="left"/>
        <w:rPr>
          <w:color w:val="000000"/>
        </w:rPr>
      </w:pPr>
      <w:r>
        <w:rPr>
          <w:color w:val="000000"/>
        </w:rPr>
        <w:t> </w:t>
      </w:r>
    </w:p>
    <w:p>
      <w:pPr>
        <w:pStyle w:val="TextBody"/>
        <w:bidi w:val="0"/>
        <w:spacing w:lineRule="auto" w:line="300" w:before="0" w:after="0"/>
        <w:jc w:val="both"/>
        <w:rPr>
          <w:rFonts w:ascii="Times New Roman" w:hAnsi="Times New Roman"/>
          <w:color w:val="000000"/>
          <w:sz w:val="20"/>
        </w:rPr>
      </w:pPr>
      <w:r>
        <w:rPr>
          <w:rFonts w:ascii="Times New Roman" w:hAnsi="Times New Roman"/>
          <w:color w:val="000000"/>
          <w:sz w:val="20"/>
        </w:rPr>
        <w:t>Indicate by check mark whether the registrant files or will file annual reports under cover of Form 20-F or Form 40-F.</w:t>
      </w:r>
    </w:p>
    <w:p>
      <w:pPr>
        <w:pStyle w:val="TextBody"/>
        <w:bidi w:val="0"/>
        <w:spacing w:lineRule="auto" w:line="300" w:before="0" w:after="0"/>
        <w:jc w:val="left"/>
        <w:rPr>
          <w:color w:val="000000"/>
        </w:rPr>
      </w:pPr>
      <w:r>
        <w:rPr>
          <w:color w:val="000000"/>
        </w:rPr>
        <w:t> </w:t>
      </w:r>
    </w:p>
    <w:p>
      <w:pPr>
        <w:pStyle w:val="TextBody"/>
        <w:bidi w:val="0"/>
        <w:spacing w:lineRule="auto" w:line="300" w:before="0" w:after="0"/>
        <w:jc w:val="center"/>
        <w:rPr>
          <w:rFonts w:ascii="Times New Roman;Times;serif" w:hAnsi="Times New Roman;Times;serif"/>
          <w:color w:val="000000"/>
          <w:sz w:val="20"/>
        </w:rPr>
      </w:pPr>
      <w:r>
        <w:rPr>
          <w:rFonts w:ascii="Times New Roman;Times;serif" w:hAnsi="Times New Roman;Times;serif"/>
          <w:color w:val="000000"/>
          <w:sz w:val="20"/>
        </w:rPr>
        <w:t>Form 20-F ☒   Form 40-F ☐</w:t>
      </w:r>
    </w:p>
    <w:p>
      <w:pPr>
        <w:pStyle w:val="TextBody"/>
        <w:bidi w:val="0"/>
        <w:spacing w:lineRule="auto" w:line="300" w:before="0" w:after="0"/>
        <w:jc w:val="left"/>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lineRule="auto" w:line="300" w:before="0" w:after="0"/>
        <w:ind w:left="0" w:right="400" w:hanging="0"/>
        <w:jc w:val="center"/>
        <w:rPr>
          <w:rFonts w:ascii="Times New Roman" w:hAnsi="Times New Roman"/>
          <w:b/>
          <w:color w:val="000000"/>
          <w:sz w:val="20"/>
          <w:u w:val="single"/>
        </w:rPr>
      </w:pPr>
      <w:r>
        <w:rPr>
          <w:rFonts w:ascii="Times New Roman" w:hAnsi="Times New Roman"/>
          <w:b/>
          <w:color w:val="000000"/>
          <w:sz w:val="20"/>
          <w:u w:val="single"/>
        </w:rPr>
        <w:t>Enlight Announces the Financial Close for the Snowflake A Project</w:t>
      </w:r>
    </w:p>
    <w:p>
      <w:pPr>
        <w:pStyle w:val="TextBody"/>
        <w:bidi w:val="0"/>
        <w:spacing w:lineRule="auto" w:line="300" w:before="0" w:after="0"/>
        <w:jc w:val="left"/>
        <w:rPr>
          <w:color w:val="000000"/>
        </w:rPr>
      </w:pPr>
      <w:r>
        <w:rPr>
          <w:color w:val="000000"/>
        </w:rPr>
        <w:t> </w:t>
      </w:r>
    </w:p>
    <w:p>
      <w:pPr>
        <w:pStyle w:val="TextBody"/>
        <w:bidi w:val="0"/>
        <w:spacing w:lineRule="auto" w:line="300" w:before="0" w:after="0"/>
        <w:jc w:val="both"/>
        <w:rPr>
          <w:rFonts w:ascii="Times New Roman" w:hAnsi="Times New Roman"/>
          <w:color w:val="000000"/>
          <w:sz w:val="20"/>
        </w:rPr>
      </w:pPr>
      <w:r>
        <w:rPr>
          <w:rFonts w:ascii="Times New Roman" w:hAnsi="Times New Roman"/>
          <w:color w:val="000000"/>
          <w:sz w:val="20"/>
        </w:rPr>
        <w:t>Enlight Renewable Energy Ltd. (“Enlight” or the “Company”) announces that an indirect US subsidiary of the Company, has entered into a debt financing agreement (the “Debt Financing”) for its Snowflake A project (the “Project” or “Snowflake A”), located near Holbrook, Arizona, USA.</w:t>
      </w:r>
    </w:p>
    <w:p>
      <w:pPr>
        <w:pStyle w:val="TextBody"/>
        <w:bidi w:val="0"/>
        <w:spacing w:lineRule="auto" w:line="300" w:before="0" w:after="0"/>
        <w:jc w:val="left"/>
        <w:rPr>
          <w:color w:val="000000"/>
        </w:rPr>
      </w:pPr>
      <w:r>
        <w:rPr>
          <w:color w:val="000000"/>
        </w:rPr>
        <w:t> </w:t>
      </w:r>
    </w:p>
    <w:p>
      <w:pPr>
        <w:pStyle w:val="TextBody"/>
        <w:bidi w:val="0"/>
        <w:spacing w:lineRule="auto" w:line="300" w:before="0" w:after="0"/>
        <w:jc w:val="both"/>
        <w:rPr>
          <w:rFonts w:ascii="Times New Roman" w:hAnsi="Times New Roman"/>
          <w:color w:val="000000"/>
          <w:sz w:val="20"/>
        </w:rPr>
      </w:pPr>
      <w:r>
        <w:rPr>
          <w:rFonts w:ascii="Times New Roman" w:hAnsi="Times New Roman"/>
          <w:color w:val="000000"/>
          <w:sz w:val="20"/>
        </w:rPr>
        <w:t>Snowflake A consists of 600 MW of solar power generation and 1,900 MWh of energy storage capacity. The Project is currently under construction and is expected to reach COD during H2 2027.</w:t>
      </w:r>
    </w:p>
    <w:p>
      <w:pPr>
        <w:pStyle w:val="TextBody"/>
        <w:bidi w:val="0"/>
        <w:spacing w:lineRule="auto" w:line="300" w:before="0" w:after="0"/>
        <w:jc w:val="left"/>
        <w:rPr>
          <w:color w:val="000000"/>
        </w:rPr>
      </w:pPr>
      <w:r>
        <w:rPr>
          <w:color w:val="000000"/>
        </w:rPr>
        <w:t> </w:t>
      </w:r>
    </w:p>
    <w:p>
      <w:pPr>
        <w:pStyle w:val="TextBody"/>
        <w:bidi w:val="0"/>
        <w:spacing w:lineRule="auto" w:line="300" w:before="0" w:after="0"/>
        <w:jc w:val="both"/>
        <w:rPr>
          <w:rFonts w:ascii="Times New Roman" w:hAnsi="Times New Roman"/>
          <w:color w:val="000000"/>
          <w:sz w:val="20"/>
        </w:rPr>
      </w:pPr>
      <w:r>
        <w:rPr>
          <w:rFonts w:ascii="Times New Roman" w:hAnsi="Times New Roman"/>
          <w:color w:val="000000"/>
          <w:sz w:val="20"/>
        </w:rPr>
        <w:t>As part of the Debt Financing, Enlight, through a subsidiary of Clenera Holdings LLC, has secured construction financing commitments from a consortium of six leading global banks including Wells Fargo Bank, N.A., BNP Paribas, Natixis Corporate and Investment Banking, Nord/LB, Crédit Agricole Corporate and Investment Bank, and MUFG Bank, Ltd., totaling $1,438 million.</w:t>
      </w:r>
    </w:p>
    <w:p>
      <w:pPr>
        <w:pStyle w:val="TextBody"/>
        <w:bidi w:val="0"/>
        <w:spacing w:lineRule="auto" w:line="300" w:before="0" w:after="0"/>
        <w:jc w:val="left"/>
        <w:rPr>
          <w:color w:val="000000"/>
        </w:rPr>
      </w:pPr>
      <w:r>
        <w:rPr>
          <w:color w:val="000000"/>
        </w:rPr>
        <w:t> </w:t>
      </w:r>
    </w:p>
    <w:p>
      <w:pPr>
        <w:pStyle w:val="TextBody"/>
        <w:bidi w:val="0"/>
        <w:spacing w:lineRule="auto" w:line="300" w:before="0" w:after="0"/>
        <w:jc w:val="both"/>
        <w:rPr>
          <w:rFonts w:ascii="Times New Roman" w:hAnsi="Times New Roman"/>
          <w:color w:val="000000"/>
          <w:sz w:val="20"/>
        </w:rPr>
      </w:pPr>
      <w:r>
        <w:rPr>
          <w:rFonts w:ascii="Times New Roman" w:hAnsi="Times New Roman"/>
          <w:color w:val="000000"/>
          <w:sz w:val="20"/>
        </w:rPr>
        <w:t>Following the Project’s COD, a portion of the construction financing commitments is expected to convert into a $811 million term loan, with the tax equity bridge loan expected to be repaid with tax equity proceeds. The term loan is structured with an amortization tenor of 25 years for the solar component and 20 years for the energy storage component, and is to be fully repaid 5 years from the Project’s COD (mini perm). The loans are subject to an all-in interest rate of 5.4%-5.8%. The Company serves as the parent guarantor for certain obligations as defined under the financing agreements. The Project has a 20-year busbar solar power purchase agreement (PPA) and energy storage agreement with Arizona Public Service (APS).</w:t>
      </w:r>
    </w:p>
    <w:p>
      <w:pPr>
        <w:pStyle w:val="TextBody"/>
        <w:bidi w:val="0"/>
        <w:spacing w:lineRule="auto" w:line="300" w:before="0" w:after="0"/>
        <w:jc w:val="left"/>
        <w:rPr>
          <w:color w:val="000000"/>
        </w:rPr>
      </w:pPr>
      <w:r>
        <w:rPr>
          <w:color w:val="000000"/>
        </w:rPr>
        <w:t> </w:t>
      </w:r>
    </w:p>
    <w:p>
      <w:pPr>
        <w:pStyle w:val="TextBody"/>
        <w:bidi w:val="0"/>
        <w:spacing w:lineRule="auto" w:line="300" w:before="0" w:after="0"/>
        <w:jc w:val="both"/>
        <w:rPr>
          <w:rFonts w:ascii="Times New Roman" w:hAnsi="Times New Roman"/>
          <w:color w:val="000000"/>
          <w:sz w:val="20"/>
        </w:rPr>
      </w:pPr>
      <w:r>
        <w:rPr>
          <w:rFonts w:ascii="Times New Roman" w:hAnsi="Times New Roman"/>
          <w:color w:val="000000"/>
          <w:sz w:val="20"/>
        </w:rPr>
        <w:t>The Company expects to obtain a tax equity investment during 2026, noting that the Project has met the terms required to achieve safe harbor status for beginning of construction during 2025. The Company expects the Project to be eligible for the 10% Energy Community bonus tax credit and the energy storage component of the Project to be eligible for an additional 10% Domestic Content bonus tax credit.</w:t>
      </w:r>
    </w:p>
    <w:p>
      <w:pPr>
        <w:pStyle w:val="TextBody"/>
        <w:bidi w:val="0"/>
        <w:spacing w:lineRule="auto" w:line="300" w:before="0" w:after="0"/>
        <w:jc w:val="left"/>
        <w:rPr>
          <w:color w:val="000000"/>
        </w:rPr>
      </w:pPr>
      <w:r>
        <w:rPr>
          <w:color w:val="000000"/>
        </w:rPr>
        <w:t> </w:t>
      </w:r>
    </w:p>
    <w:p>
      <w:pPr>
        <w:pStyle w:val="TextBody"/>
        <w:bidi w:val="0"/>
        <w:spacing w:lineRule="auto" w:line="300" w:before="0" w:after="0"/>
        <w:jc w:val="both"/>
        <w:rPr>
          <w:rFonts w:ascii="Times New Roman" w:hAnsi="Times New Roman"/>
          <w:color w:val="000000"/>
          <w:sz w:val="20"/>
        </w:rPr>
      </w:pPr>
      <w:r>
        <w:rPr>
          <w:rFonts w:ascii="Times New Roman" w:hAnsi="Times New Roman"/>
          <w:color w:val="000000"/>
          <w:sz w:val="20"/>
        </w:rPr>
        <w:t>The tables below summarize the Project’s financial information as expected at COD:</w:t>
      </w:r>
    </w:p>
    <w:p>
      <w:pPr>
        <w:pStyle w:val="TextBody"/>
        <w:bidi w:val="0"/>
        <w:spacing w:lineRule="auto" w:line="300" w:before="0" w:after="0"/>
        <w:jc w:val="left"/>
        <w:rPr>
          <w:color w:val="000000"/>
        </w:rPr>
      </w:pPr>
      <w:r>
        <w:rPr>
          <w:color w:val="000000"/>
        </w:rPr>
        <w:t> </w:t>
      </w:r>
    </w:p>
    <w:p>
      <w:pPr>
        <w:pStyle w:val="Normal"/>
        <w:bidi w:val="0"/>
        <w:spacing w:before="0" w:after="0"/>
        <w:jc w:val="left"/>
        <w:rPr>
          <w:sz w:val="4"/>
          <w:szCs w:val="4"/>
        </w:rPr>
      </w:pPr>
      <w:r>
        <w:rPr>
          <w:sz w:val="4"/>
          <w:szCs w:val="4"/>
        </w:rPr>
      </w:r>
      <w:bookmarkStart w:id="4" w:name="z48a5cc24d0be4ae3ae4c2daf4bd042b1"/>
      <w:bookmarkStart w:id="5" w:name="z48a5cc24d0be4ae3ae4c2daf4bd042b1"/>
      <w:bookmarkEnd w:id="5"/>
    </w:p>
    <w:tbl>
      <w:tblPr>
        <w:tblW w:w="6600" w:type="dxa"/>
        <w:jc w:val="left"/>
        <w:tblInd w:w="-15" w:type="dxa"/>
        <w:tblLayout w:type="fixed"/>
        <w:tblCellMar>
          <w:top w:w="28" w:type="dxa"/>
          <w:left w:w="28" w:type="dxa"/>
          <w:bottom w:w="28" w:type="dxa"/>
          <w:right w:w="28" w:type="dxa"/>
        </w:tblCellMar>
      </w:tblPr>
      <w:tblGrid>
        <w:gridCol w:w="2075"/>
        <w:gridCol w:w="1280"/>
        <w:gridCol w:w="3245"/>
      </w:tblGrid>
      <w:tr>
        <w:trPr/>
        <w:tc>
          <w:tcPr>
            <w:tcW w:w="2075" w:type="dxa"/>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lineRule="auto" w:line="240" w:before="0" w:after="0"/>
              <w:jc w:val="center"/>
              <w:rPr>
                <w:rFonts w:ascii="Times New Roman" w:hAnsi="Times New Roman"/>
                <w:b/>
              </w:rPr>
            </w:pPr>
            <w:r>
              <w:rPr>
                <w:rFonts w:ascii="Times New Roman" w:hAnsi="Times New Roman"/>
                <w:b/>
              </w:rPr>
              <w:t>Total Project cost1</w:t>
            </w:r>
          </w:p>
        </w:tc>
        <w:tc>
          <w:tcPr>
            <w:tcW w:w="1280" w:type="dxa"/>
            <w:tcBorders>
              <w:top w:val="single" w:sz="12" w:space="0" w:color="000000"/>
              <w:bottom w:val="single" w:sz="12" w:space="0" w:color="000000"/>
              <w:right w:val="single" w:sz="12" w:space="0" w:color="000000"/>
            </w:tcBorders>
            <w:tcMar>
              <w:left w:w="0" w:type="dxa"/>
            </w:tcMar>
            <w:vAlign w:val="center"/>
          </w:tcPr>
          <w:p>
            <w:pPr>
              <w:pStyle w:val="TableContents"/>
              <w:bidi w:val="0"/>
              <w:spacing w:lineRule="auto" w:line="300" w:before="0" w:after="0"/>
              <w:jc w:val="center"/>
              <w:rPr>
                <w:rFonts w:ascii="Times New Roman" w:hAnsi="Times New Roman"/>
                <w:b/>
              </w:rPr>
            </w:pPr>
            <w:r>
              <w:rPr>
                <w:rFonts w:ascii="Times New Roman" w:hAnsi="Times New Roman"/>
                <w:b/>
              </w:rPr>
              <w:t>Term debt</w:t>
            </w:r>
          </w:p>
        </w:tc>
        <w:tc>
          <w:tcPr>
            <w:tcW w:w="3245" w:type="dxa"/>
            <w:tcBorders>
              <w:top w:val="single" w:sz="12" w:space="0" w:color="000000"/>
              <w:bottom w:val="single" w:sz="12" w:space="0" w:color="000000"/>
              <w:right w:val="single" w:sz="12" w:space="0" w:color="000000"/>
            </w:tcBorders>
            <w:tcMar>
              <w:left w:w="0" w:type="dxa"/>
            </w:tcMar>
            <w:vAlign w:val="center"/>
          </w:tcPr>
          <w:p>
            <w:pPr>
              <w:pStyle w:val="TableContents"/>
              <w:bidi w:val="0"/>
              <w:spacing w:lineRule="auto" w:line="240" w:before="0" w:after="0"/>
              <w:jc w:val="center"/>
              <w:rPr>
                <w:rFonts w:ascii="Times New Roman" w:hAnsi="Times New Roman"/>
                <w:b/>
              </w:rPr>
            </w:pPr>
            <w:r>
              <w:rPr>
                <w:rFonts w:ascii="Times New Roman" w:hAnsi="Times New Roman"/>
                <w:b/>
              </w:rPr>
              <w:t>Estimated tax equity proceeds2</w:t>
            </w:r>
          </w:p>
        </w:tc>
      </w:tr>
      <w:tr>
        <w:trPr/>
        <w:tc>
          <w:tcPr>
            <w:tcW w:w="207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lineRule="auto" w:line="300" w:before="0" w:after="0"/>
              <w:jc w:val="center"/>
              <w:rPr>
                <w:rFonts w:ascii="Times New Roman" w:hAnsi="Times New Roman"/>
              </w:rPr>
            </w:pPr>
            <w:r>
              <w:rPr>
                <w:rFonts w:ascii="Times New Roman" w:hAnsi="Times New Roman"/>
              </w:rPr>
              <w:t>$1,570-1,650 million</w:t>
            </w:r>
          </w:p>
        </w:tc>
        <w:tc>
          <w:tcPr>
            <w:tcW w:w="1280" w:type="dxa"/>
            <w:tcBorders>
              <w:bottom w:val="single" w:sz="12" w:space="0" w:color="000000"/>
              <w:right w:val="single" w:sz="12" w:space="0" w:color="000000"/>
            </w:tcBorders>
            <w:tcMar>
              <w:top w:w="0" w:type="dxa"/>
              <w:left w:w="0" w:type="dxa"/>
            </w:tcMar>
            <w:vAlign w:val="center"/>
          </w:tcPr>
          <w:p>
            <w:pPr>
              <w:pStyle w:val="TableContents"/>
              <w:bidi w:val="0"/>
              <w:spacing w:lineRule="auto" w:line="300" w:before="0" w:after="0"/>
              <w:jc w:val="center"/>
              <w:rPr>
                <w:rFonts w:ascii="Times New Roman" w:hAnsi="Times New Roman"/>
              </w:rPr>
            </w:pPr>
            <w:r>
              <w:rPr>
                <w:rFonts w:ascii="Times New Roman" w:hAnsi="Times New Roman"/>
              </w:rPr>
              <w:t>$811 million</w:t>
            </w:r>
          </w:p>
        </w:tc>
        <w:tc>
          <w:tcPr>
            <w:tcW w:w="3245" w:type="dxa"/>
            <w:tcBorders>
              <w:bottom w:val="single" w:sz="12" w:space="0" w:color="000000"/>
              <w:right w:val="single" w:sz="12" w:space="0" w:color="000000"/>
            </w:tcBorders>
            <w:tcMar>
              <w:top w:w="0" w:type="dxa"/>
              <w:left w:w="0" w:type="dxa"/>
            </w:tcMar>
            <w:vAlign w:val="center"/>
          </w:tcPr>
          <w:p>
            <w:pPr>
              <w:pStyle w:val="TableContents"/>
              <w:bidi w:val="0"/>
              <w:spacing w:lineRule="auto" w:line="300" w:before="0" w:after="0"/>
              <w:jc w:val="center"/>
              <w:rPr>
                <w:rFonts w:ascii="Times New Roman" w:hAnsi="Times New Roman"/>
              </w:rPr>
            </w:pPr>
            <w:r>
              <w:rPr>
                <w:rFonts w:ascii="Times New Roman" w:hAnsi="Times New Roman"/>
              </w:rPr>
              <w:t>$777-817 million</w:t>
            </w:r>
          </w:p>
        </w:tc>
      </w:tr>
    </w:tbl>
    <w:p>
      <w:pPr>
        <w:pStyle w:val="TextBody"/>
        <w:bidi w:val="0"/>
        <w:spacing w:lineRule="auto" w:line="300" w:before="0" w:after="0"/>
        <w:jc w:val="left"/>
        <w:rPr>
          <w:rFonts w:ascii="Times New Roman" w:hAnsi="Times New Roman"/>
        </w:rPr>
      </w:pPr>
      <w:r>
        <w:rPr>
          <w:rFonts w:ascii="Times New Roman" w:hAnsi="Times New Roman"/>
        </w:rPr>
      </w:r>
    </w:p>
    <w:p>
      <w:pPr>
        <w:pStyle w:val="Normal"/>
        <w:bidi w:val="0"/>
        <w:spacing w:before="0" w:after="0"/>
        <w:jc w:val="left"/>
        <w:rPr>
          <w:sz w:val="4"/>
          <w:szCs w:val="4"/>
        </w:rPr>
      </w:pPr>
      <w:r>
        <w:rPr>
          <w:sz w:val="4"/>
          <w:szCs w:val="4"/>
        </w:rPr>
      </w:r>
      <w:bookmarkStart w:id="6" w:name="z813adf0001fd44c68d3336411e535862"/>
      <w:bookmarkStart w:id="7" w:name="z813adf0001fd44c68d3336411e535862"/>
      <w:bookmarkEnd w:id="7"/>
    </w:p>
    <w:tbl>
      <w:tblPr>
        <w:tblW w:w="5940" w:type="dxa"/>
        <w:jc w:val="left"/>
        <w:tblInd w:w="-15" w:type="dxa"/>
        <w:tblLayout w:type="fixed"/>
        <w:tblCellMar>
          <w:top w:w="28" w:type="dxa"/>
          <w:left w:w="28" w:type="dxa"/>
          <w:bottom w:w="28" w:type="dxa"/>
          <w:right w:w="28" w:type="dxa"/>
        </w:tblCellMar>
      </w:tblPr>
      <w:tblGrid>
        <w:gridCol w:w="1865"/>
        <w:gridCol w:w="2015"/>
        <w:gridCol w:w="2060"/>
      </w:tblGrid>
      <w:tr>
        <w:trPr/>
        <w:tc>
          <w:tcPr>
            <w:tcW w:w="1865" w:type="dxa"/>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lineRule="auto" w:line="300" w:before="0" w:after="0"/>
              <w:jc w:val="center"/>
              <w:rPr>
                <w:rFonts w:ascii="Times New Roman" w:hAnsi="Times New Roman"/>
                <w:b/>
              </w:rPr>
            </w:pPr>
            <w:r>
              <w:rPr>
                <w:rFonts w:ascii="Times New Roman" w:hAnsi="Times New Roman"/>
                <w:b/>
              </w:rPr>
              <w:t>Total Project cost</w:t>
            </w:r>
          </w:p>
          <w:p>
            <w:pPr>
              <w:pStyle w:val="TableContents"/>
              <w:bidi w:val="0"/>
              <w:spacing w:lineRule="auto" w:line="300" w:before="0" w:after="0"/>
              <w:jc w:val="center"/>
              <w:rPr>
                <w:rFonts w:ascii="Times New Roman" w:hAnsi="Times New Roman"/>
                <w:b/>
              </w:rPr>
            </w:pPr>
            <w:r>
              <w:rPr>
                <w:rFonts w:ascii="Times New Roman" w:hAnsi="Times New Roman"/>
                <w:b/>
              </w:rPr>
              <w:t>net of tax equity</w:t>
            </w:r>
          </w:p>
        </w:tc>
        <w:tc>
          <w:tcPr>
            <w:tcW w:w="2015" w:type="dxa"/>
            <w:tcBorders>
              <w:top w:val="single" w:sz="12" w:space="0" w:color="000000"/>
              <w:bottom w:val="single" w:sz="12" w:space="0" w:color="000000"/>
              <w:right w:val="single" w:sz="12" w:space="0" w:color="000000"/>
            </w:tcBorders>
            <w:tcMar>
              <w:left w:w="0" w:type="dxa"/>
            </w:tcMar>
            <w:vAlign w:val="center"/>
          </w:tcPr>
          <w:p>
            <w:pPr>
              <w:pStyle w:val="TableContents"/>
              <w:bidi w:val="0"/>
              <w:spacing w:lineRule="auto" w:line="300" w:before="0" w:after="0"/>
              <w:jc w:val="center"/>
              <w:rPr>
                <w:rFonts w:ascii="Times New Roman" w:hAnsi="Times New Roman"/>
                <w:b/>
              </w:rPr>
            </w:pPr>
            <w:r>
              <w:rPr>
                <w:rFonts w:ascii="Times New Roman" w:hAnsi="Times New Roman"/>
                <w:b/>
              </w:rPr>
              <w:t>Projected revenues</w:t>
            </w:r>
          </w:p>
          <w:p>
            <w:pPr>
              <w:pStyle w:val="TableContents"/>
              <w:bidi w:val="0"/>
              <w:spacing w:lineRule="auto" w:line="300" w:before="0" w:after="0"/>
              <w:jc w:val="center"/>
              <w:rPr>
                <w:rFonts w:ascii="Times New Roman" w:hAnsi="Times New Roman"/>
                <w:b/>
              </w:rPr>
            </w:pPr>
            <w:r>
              <w:rPr>
                <w:rFonts w:ascii="Times New Roman" w:hAnsi="Times New Roman"/>
                <w:b/>
              </w:rPr>
              <w:t>in first full year</w:t>
            </w:r>
          </w:p>
        </w:tc>
        <w:tc>
          <w:tcPr>
            <w:tcW w:w="2060" w:type="dxa"/>
            <w:tcBorders>
              <w:top w:val="single" w:sz="12" w:space="0" w:color="000000"/>
              <w:bottom w:val="single" w:sz="12" w:space="0" w:color="000000"/>
              <w:right w:val="single" w:sz="12" w:space="0" w:color="000000"/>
            </w:tcBorders>
            <w:tcMar>
              <w:left w:w="0" w:type="dxa"/>
            </w:tcMar>
            <w:vAlign w:val="center"/>
          </w:tcPr>
          <w:p>
            <w:pPr>
              <w:pStyle w:val="TableContents"/>
              <w:bidi w:val="0"/>
              <w:spacing w:lineRule="auto" w:line="300" w:before="0" w:after="0"/>
              <w:jc w:val="center"/>
              <w:rPr>
                <w:rFonts w:ascii="Times New Roman" w:hAnsi="Times New Roman"/>
                <w:b/>
              </w:rPr>
            </w:pPr>
            <w:r>
              <w:rPr>
                <w:rFonts w:ascii="Times New Roman" w:hAnsi="Times New Roman"/>
                <w:b/>
              </w:rPr>
              <w:t>Projected EBITDA</w:t>
            </w:r>
          </w:p>
          <w:p>
            <w:pPr>
              <w:pStyle w:val="TableContents"/>
              <w:bidi w:val="0"/>
              <w:spacing w:lineRule="auto" w:line="240" w:before="0" w:after="0"/>
              <w:jc w:val="center"/>
              <w:rPr>
                <w:rFonts w:ascii="Times New Roman" w:hAnsi="Times New Roman"/>
                <w:b/>
              </w:rPr>
            </w:pPr>
            <w:r>
              <w:rPr>
                <w:rFonts w:ascii="Times New Roman" w:hAnsi="Times New Roman"/>
                <w:b/>
              </w:rPr>
              <w:t>in first full year3</w:t>
            </w:r>
          </w:p>
        </w:tc>
      </w:tr>
      <w:tr>
        <w:trPr/>
        <w:tc>
          <w:tcPr>
            <w:tcW w:w="186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lineRule="auto" w:line="300" w:before="0" w:after="0"/>
              <w:jc w:val="center"/>
              <w:rPr>
                <w:rFonts w:ascii="Times New Roman" w:hAnsi="Times New Roman"/>
              </w:rPr>
            </w:pPr>
            <w:r>
              <w:rPr>
                <w:rFonts w:ascii="Times New Roman" w:hAnsi="Times New Roman"/>
              </w:rPr>
              <w:t xml:space="preserve">$793-833 million </w:t>
            </w:r>
          </w:p>
        </w:tc>
        <w:tc>
          <w:tcPr>
            <w:tcW w:w="2015" w:type="dxa"/>
            <w:tcBorders>
              <w:bottom w:val="single" w:sz="12" w:space="0" w:color="000000"/>
              <w:right w:val="single" w:sz="12" w:space="0" w:color="000000"/>
            </w:tcBorders>
            <w:tcMar>
              <w:top w:w="0" w:type="dxa"/>
              <w:left w:w="0" w:type="dxa"/>
            </w:tcMar>
            <w:vAlign w:val="center"/>
          </w:tcPr>
          <w:p>
            <w:pPr>
              <w:pStyle w:val="TableContents"/>
              <w:bidi w:val="0"/>
              <w:spacing w:lineRule="auto" w:line="300" w:before="0" w:after="0"/>
              <w:jc w:val="center"/>
              <w:rPr>
                <w:rFonts w:ascii="Times New Roman" w:hAnsi="Times New Roman"/>
              </w:rPr>
            </w:pPr>
            <w:r>
              <w:rPr>
                <w:rFonts w:ascii="Times New Roman" w:hAnsi="Times New Roman"/>
              </w:rPr>
              <w:t>$125-131 million</w:t>
            </w:r>
          </w:p>
        </w:tc>
        <w:tc>
          <w:tcPr>
            <w:tcW w:w="2060" w:type="dxa"/>
            <w:tcBorders>
              <w:bottom w:val="single" w:sz="12" w:space="0" w:color="000000"/>
              <w:right w:val="single" w:sz="12" w:space="0" w:color="000000"/>
            </w:tcBorders>
            <w:tcMar>
              <w:top w:w="0" w:type="dxa"/>
              <w:left w:w="0" w:type="dxa"/>
            </w:tcMar>
            <w:vAlign w:val="center"/>
          </w:tcPr>
          <w:p>
            <w:pPr>
              <w:pStyle w:val="TableContents"/>
              <w:bidi w:val="0"/>
              <w:spacing w:lineRule="auto" w:line="300" w:before="0" w:after="0"/>
              <w:jc w:val="center"/>
              <w:rPr>
                <w:rFonts w:ascii="Times New Roman" w:hAnsi="Times New Roman"/>
              </w:rPr>
            </w:pPr>
            <w:r>
              <w:rPr>
                <w:rFonts w:ascii="Times New Roman" w:hAnsi="Times New Roman"/>
              </w:rPr>
              <w:t>$101-106 million</w:t>
            </w:r>
          </w:p>
        </w:tc>
      </w:tr>
    </w:tbl>
    <w:p>
      <w:pPr>
        <w:pStyle w:val="TextBody"/>
        <w:bidi w:val="0"/>
        <w:spacing w:before="0" w:after="0"/>
        <w:jc w:val="left"/>
        <w:rPr/>
      </w:pPr>
      <w:r>
        <w:rPr/>
      </w:r>
    </w:p>
    <w:p>
      <w:pPr>
        <w:pStyle w:val="TextBody"/>
        <w:bidi w:val="0"/>
        <w:spacing w:lineRule="auto" w:line="300" w:before="0" w:after="0"/>
        <w:jc w:val="left"/>
        <w:rPr>
          <w:rFonts w:ascii="Times New Roman" w:hAnsi="Times New Roman"/>
          <w:b/>
          <w:color w:val="000000"/>
          <w:sz w:val="20"/>
        </w:rPr>
      </w:pPr>
      <w:r>
        <w:rPr>
          <w:rFonts w:ascii="Times New Roman" w:hAnsi="Times New Roman"/>
          <w:b/>
          <w:color w:val="000000"/>
          <w:sz w:val="20"/>
        </w:rPr>
        <w:t>Non-IFRS Financial Measures</w:t>
      </w:r>
    </w:p>
    <w:p>
      <w:pPr>
        <w:pStyle w:val="TextBody"/>
        <w:bidi w:val="0"/>
        <w:spacing w:lineRule="auto" w:line="300" w:before="0" w:after="0"/>
        <w:jc w:val="left"/>
        <w:rPr>
          <w:color w:val="000000"/>
        </w:rPr>
      </w:pPr>
      <w:r>
        <w:rPr>
          <w:color w:val="000000"/>
        </w:rPr>
        <w:t> </w:t>
      </w:r>
    </w:p>
    <w:p>
      <w:pPr>
        <w:pStyle w:val="TextBody"/>
        <w:bidi w:val="0"/>
        <w:spacing w:lineRule="auto" w:line="300" w:before="0" w:after="0"/>
        <w:jc w:val="left"/>
        <w:rPr>
          <w:rFonts w:ascii="Times New Roman" w:hAnsi="Times New Roman"/>
          <w:color w:val="000000"/>
          <w:sz w:val="20"/>
        </w:rPr>
      </w:pPr>
      <w:r>
        <w:rPr>
          <w:rFonts w:ascii="Times New Roman" w:hAnsi="Times New Roman"/>
          <w:color w:val="000000"/>
          <w:sz w:val="20"/>
        </w:rPr>
        <w:t>This filing presents EBITDA, which is a non-IFRS financial measure. Non-IFRS financial measures have limitations as analytical tools and should not be considered in isolation or as substitutes for financial information presented under IFRS. There are a number of limitations related to the use of non-IFRS financial measures versus comparable financial measures determined under IFRS. For example, other companies in our industry may calculate the non-IFRS financial measures that we use differently or may use other measures to evaluate their performance. All of these limitations could reduce the usefulness of our non-IFRS financial measures as analytical tools.</w:t>
      </w:r>
    </w:p>
    <w:p>
      <w:pPr>
        <w:pStyle w:val="TextBody"/>
        <w:bidi w:val="0"/>
        <w:spacing w:lineRule="auto" w:line="300" w:before="0" w:after="0"/>
        <w:jc w:val="left"/>
        <w:rPr>
          <w:rFonts w:ascii="Times New Roman" w:hAnsi="Times New Roman"/>
        </w:rPr>
      </w:pPr>
      <w:r>
        <w:rPr>
          <w:rFonts w:ascii="Times New Roman" w:hAnsi="Times New Roman"/>
        </w:rPr>
      </w:r>
    </w:p>
    <w:p>
      <w:pPr>
        <w:pStyle w:val="TextBody"/>
        <w:bidi w:val="0"/>
        <w:spacing w:lineRule="auto" w:line="300" w:before="0" w:after="0"/>
        <w:jc w:val="left"/>
        <w:rPr>
          <w:rFonts w:ascii="Times New Roman" w:hAnsi="Times New Roman"/>
          <w:b/>
          <w:color w:val="000000"/>
          <w:sz w:val="20"/>
        </w:rPr>
      </w:pPr>
      <w:r>
        <w:rPr>
          <w:rFonts w:ascii="Times New Roman" w:hAnsi="Times New Roman"/>
          <w:b/>
          <w:color w:val="000000"/>
          <w:sz w:val="20"/>
        </w:rPr>
        <w:t>Incorporation by Reference</w:t>
      </w:r>
    </w:p>
    <w:p>
      <w:pPr>
        <w:pStyle w:val="TextBody"/>
        <w:bidi w:val="0"/>
        <w:spacing w:lineRule="auto" w:line="300" w:before="0" w:after="0"/>
        <w:jc w:val="left"/>
        <w:rPr>
          <w:rFonts w:ascii="Times New Roman" w:hAnsi="Times New Roman"/>
        </w:rPr>
      </w:pPr>
      <w:r>
        <w:rPr>
          <w:rFonts w:ascii="Times New Roman" w:hAnsi="Times New Roman"/>
        </w:rPr>
      </w:r>
    </w:p>
    <w:p>
      <w:pPr>
        <w:pStyle w:val="TextBody"/>
        <w:bidi w:val="0"/>
        <w:spacing w:lineRule="auto" w:line="300" w:before="0" w:after="0"/>
        <w:jc w:val="left"/>
        <w:rPr>
          <w:rFonts w:ascii="Times New Roman" w:hAnsi="Times New Roman"/>
          <w:color w:val="000000"/>
          <w:sz w:val="20"/>
        </w:rPr>
      </w:pPr>
      <w:r>
        <w:rPr>
          <w:rFonts w:ascii="Times New Roman" w:hAnsi="Times New Roman"/>
          <w:color w:val="000000"/>
          <w:sz w:val="20"/>
        </w:rPr>
        <w:t>The information in this Form 6-K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w:t>
      </w:r>
    </w:p>
    <w:p>
      <w:pPr>
        <w:pStyle w:val="TextBody"/>
        <w:bidi w:val="0"/>
        <w:spacing w:lineRule="auto" w:line="300" w:before="0" w:after="0"/>
        <w:jc w:val="left"/>
        <w:rPr/>
      </w:pPr>
      <w:r>
        <w:rPr/>
      </w:r>
    </w:p>
    <w:p>
      <w:pPr>
        <w:pStyle w:val="HorizontalLine"/>
        <w:pBdr>
          <w:bottom w:val="single" w:sz="12" w:space="0" w:color="808080"/>
        </w:pBdr>
        <w:bidi w:val="0"/>
        <w:spacing w:lineRule="auto" w:line="300"/>
        <w:jc w:val="left"/>
        <w:rPr/>
      </w:pPr>
      <w:r>
        <w:rPr/>
      </w:r>
    </w:p>
    <w:p>
      <w:pPr>
        <w:pStyle w:val="TextBody"/>
        <w:bidi w:val="0"/>
        <w:spacing w:lineRule="auto" w:line="240" w:before="0" w:after="0"/>
        <w:jc w:val="left"/>
        <w:rPr>
          <w:rFonts w:ascii="Times New Roman;serif" w:hAnsi="Times New Roman;serif"/>
          <w:color w:val="000000"/>
          <w:sz w:val="20"/>
        </w:rPr>
      </w:pPr>
      <w:r>
        <w:rPr>
          <w:rFonts w:ascii="Times New Roman;serif" w:hAnsi="Times New Roman;serif"/>
          <w:color w:val="000000"/>
          <w:sz w:val="20"/>
        </w:rPr>
        <w:t>1 </w:t>
      </w:r>
      <w:r>
        <w:rPr>
          <w:rFonts w:ascii="Times New Roman;serif" w:hAnsi="Times New Roman;serif"/>
          <w:color w:val="000000"/>
          <w:sz w:val="16"/>
        </w:rPr>
        <w:t>Reflects Project cost giving effect to the US tariffs recently announced, based on the Company’s best estimates using current available information. Actual Project costs could be materially different based on final tariffs</w:t>
      </w:r>
      <w:r>
        <w:rPr>
          <w:rFonts w:ascii="Times New Roman;serif" w:hAnsi="Times New Roman;serif"/>
          <w:color w:val="000000"/>
          <w:sz w:val="20"/>
        </w:rPr>
        <w:t> </w:t>
      </w:r>
      <w:r>
        <w:rPr>
          <w:rFonts w:ascii="Times New Roman;serif" w:hAnsi="Times New Roman;serif"/>
          <w:color w:val="000000"/>
          <w:sz w:val="16"/>
        </w:rPr>
        <w:t>and the Company’s mitigation efforts.</w:t>
      </w:r>
    </w:p>
    <w:p>
      <w:pPr>
        <w:pStyle w:val="TextBody"/>
        <w:bidi w:val="0"/>
        <w:spacing w:lineRule="auto" w:line="240" w:before="0" w:after="0"/>
        <w:jc w:val="left"/>
        <w:rPr>
          <w:rFonts w:ascii="Times New Roman;serif" w:hAnsi="Times New Roman;serif"/>
          <w:color w:val="000000"/>
          <w:sz w:val="20"/>
        </w:rPr>
      </w:pPr>
      <w:r>
        <w:rPr>
          <w:rFonts w:ascii="Times New Roman;serif" w:hAnsi="Times New Roman;serif"/>
          <w:color w:val="000000"/>
          <w:sz w:val="20"/>
        </w:rPr>
        <w:t xml:space="preserve">2 </w:t>
      </w:r>
      <w:r>
        <w:rPr>
          <w:rFonts w:ascii="Times New Roman;serif" w:hAnsi="Times New Roman;serif"/>
          <w:color w:val="000000"/>
          <w:sz w:val="16"/>
        </w:rPr>
        <w:t>The estimated tax equity proceeds assume a tax equity partnership structure, 99% of tax benefits and 5%-15% of EBITDA for 5-10 years will be transferred to the tax partner.</w:t>
      </w:r>
    </w:p>
    <w:p>
      <w:pPr>
        <w:pStyle w:val="TextBody"/>
        <w:bidi w:val="0"/>
        <w:spacing w:lineRule="auto" w:line="240" w:before="0" w:after="0"/>
        <w:jc w:val="left"/>
        <w:rPr>
          <w:rFonts w:ascii="Times New Roman;serif" w:hAnsi="Times New Roman;serif"/>
          <w:color w:val="000000"/>
          <w:sz w:val="20"/>
        </w:rPr>
      </w:pPr>
      <w:r>
        <w:rPr>
          <w:rFonts w:ascii="Times New Roman;serif" w:hAnsi="Times New Roman;serif"/>
          <w:color w:val="000000"/>
          <w:sz w:val="20"/>
        </w:rPr>
        <w:t xml:space="preserve">3 </w:t>
      </w:r>
      <w:r>
        <w:rPr>
          <w:rFonts w:ascii="Times New Roman;serif" w:hAnsi="Times New Roman;serif"/>
          <w:color w:val="000000"/>
          <w:sz w:val="16"/>
        </w:rPr>
        <w:t>This figure represents EBITDA from the sale of electricity and excludes all expected Investment Tax Credits (ITC) proceeds as well as the impact of a potential tax equity transaction.</w:t>
      </w:r>
    </w:p>
    <w:p>
      <w:pPr>
        <w:pStyle w:val="TextBody"/>
        <w:bidi w:val="0"/>
        <w:spacing w:lineRule="auto" w:line="300" w:before="0" w:after="0"/>
        <w:jc w:val="left"/>
        <w:rPr>
          <w:rFonts w:ascii="Times New Roman;serif" w:hAnsi="Times New Roman;serif"/>
          <w:sz w:val="16"/>
        </w:rPr>
      </w:pPr>
      <w:r>
        <w:rPr>
          <w:rFonts w:ascii="Times New Roman;serif" w:hAnsi="Times New Roman;serif"/>
          <w:sz w:val="16"/>
        </w:rPr>
      </w:r>
    </w:p>
    <w:p>
      <w:pPr>
        <w:pStyle w:val="HorizontalLine"/>
        <w:pBdr>
          <w:bottom w:val="single" w:sz="12" w:space="0" w:color="808080"/>
        </w:pBdr>
        <w:bidi w:val="0"/>
        <w:spacing w:before="200" w:after="200"/>
        <w:jc w:val="left"/>
        <w:rPr/>
      </w:pPr>
      <w:r>
        <w:rPr/>
      </w:r>
    </w:p>
    <w:p>
      <w:pPr>
        <w:pStyle w:val="TextBody"/>
        <w:bidi w:val="0"/>
        <w:spacing w:lineRule="auto" w:line="300" w:before="0" w:after="0"/>
        <w:jc w:val="left"/>
        <w:rPr>
          <w:rFonts w:ascii="Times New Roman" w:hAnsi="Times New Roman"/>
          <w:b/>
          <w:color w:val="000000"/>
          <w:sz w:val="20"/>
        </w:rPr>
      </w:pPr>
      <w:r>
        <w:rPr>
          <w:rFonts w:ascii="Times New Roman" w:hAnsi="Times New Roman"/>
          <w:b/>
          <w:color w:val="000000"/>
          <w:sz w:val="20"/>
        </w:rPr>
        <w:t>Cautionary Note Regarding Forward-Looking Statements</w:t>
      </w:r>
    </w:p>
    <w:p>
      <w:pPr>
        <w:pStyle w:val="TextBody"/>
        <w:bidi w:val="0"/>
        <w:spacing w:lineRule="auto" w:line="300" w:before="0" w:after="0"/>
        <w:jc w:val="left"/>
        <w:rPr>
          <w:rFonts w:ascii="Times New Roman" w:hAnsi="Times New Roman"/>
        </w:rPr>
      </w:pPr>
      <w:r>
        <w:rPr>
          <w:rFonts w:ascii="Times New Roman" w:hAnsi="Times New Roman"/>
        </w:rPr>
      </w:r>
    </w:p>
    <w:p>
      <w:pPr>
        <w:pStyle w:val="TextBody"/>
        <w:bidi w:val="0"/>
        <w:spacing w:lineRule="auto" w:line="300" w:before="0" w:after="0"/>
        <w:jc w:val="left"/>
        <w:rPr>
          <w:rFonts w:ascii="Times New Roman" w:hAnsi="Times New Roman"/>
          <w:color w:val="000000"/>
          <w:sz w:val="20"/>
        </w:rPr>
      </w:pPr>
      <w:r>
        <w:rPr>
          <w:rFonts w:ascii="Times New Roman" w:hAnsi="Times New Roman"/>
          <w:color w:val="000000"/>
          <w:sz w:val="20"/>
        </w:rPr>
        <w:t>This report on Form 6-K contains forward-looking statements within the meaning of the U.S. Private Securities Litigation Reform Act of 1995. We intend such forward-looking statements to be covered by the safe harbor provisions for forward-looking statements as contained in Section 27A of the Securities Act of 1933, as amended, and Section 21E of the Securities Exchange Act of 1934, as amended. All statements contained in this press release other than statements of historical fact, including, without limitation, statements regarding the Company’s expectations relating to the Project, plans, projections, predicted or anticipated future results, the PPA and the related interconnection agreement and lease option, and the completion timeline for the Project, are forward-looking statements. The words “may,” “might,” “will,” “could,” “would,” “should,” “expect,” “plan,” “anticipate,” “intend,” “target,” “seek,” “believe,” “estimate,” “predict,” “potential,” “continue,” “contemplate,” “possible,” “forecasts,” “aims” or the negative of these terms and similar expressions are intended to identify forward-looking statements, though not all forward-looking statements use these words or expressions. These statements are neither promises nor guarantees, but involve known and unknown risks, uncertainties and other important factors that may cause our actual results, performance or achievements to be materially different from any future results, performance or achievements expressed or implied by the forward-looking statements, including, but not limited to, the following: our ability to site suitable land for, and otherwise source, renewable energy projects and to successfully develop and convert them into Operational Projects; availability of, and access to, interconnection facilities and transmission systems; our ability to obtain and maintain governmental and other regulatory approvals and permits, including environmental approvals and permits; the impact of tariffs on the cost of construction (and our ability to mitigate such impact); construction delays, operational delays and supply chain disruptions leading to increased cost of materials required for the construction of our projects, as well as cost overruns and delays related to disputes with contractors; our suppliers’ ability and willingness to perform both existing and future obligations; competition from traditional and renewable energy companies in developing renewable energy projects; potential slowed demand for renewable energy projects and our ability to enter into new offtake contracts on acceptable terms and prices as current offtake contracts expire; offtakers’ ability to terminate contracts or seek other remedies resulting from failure of our projects to meet development, operational or performance benchmarks; various technical and operational challenges leading to unplanned outages, reduced output, interconnection or termination issues; the dependence of our production and revenue on suitable meteorological and environmental conditions, and our ability to accurately predict such conditions; our ability to enforce warranties provided by our counterparties in the event that our projects do not perform as expected; government curtailment, energy price caps and other government actions that restrict or reduce the profitability of renewable energy production; electricity price volatility, unusual weather conditions (including the effects of climate change, could adversely affect wind and solar conditions), catastrophic weather-related or other damage to facilities, unscheduled generation outages, maintenance or repairs, unanticipated changes to availability due to higher demand, shortages, transportation problems or other developments, environmental incidents, or electric transmission system constraints and the possibility that we may not have adequate insurance to cover losses as a result of such hazards; our dependence on certain operational projects for a substantial portion of our cash flows; our ability to continue to grow our portfolio of projects through successful acquisitions; changes and advances in technology that impair or eliminate the competitive advantage of our projects or upsets the expectations underlying investments in our technologies; our ability to effectively anticipate and manage cost inflation, interest rate risk, currency exchange fluctuations and other macroeconomic conditions that impact our business; our ability to retain and attract key personnel; our ability to manage legal and regulatory compliance and litigation risk across our global corporate structure; our ability to protect our business from, and manage the impact of, cyber-attacks, disruptions and security incidents, as well as acts of terrorism or war; changes to existing renewable energy industry policies and regulations that present technical, regulatory and economic barriers to renewable energy projects; the reduction, elimination or expiration of government incentives for, or regulations mandating the use of, renewable energy; our ability to effectively manage our supply chain and comply with applicable regulations with respect to international trade relations, tariffs, sanctions, export controls and anti-bribery and anti-corruption laws; our ability to effectively comply with Environmental Health and Safety and other laws and regulations and receive and maintain all necessary licenses, permits and authorizations; our performance of various obligations under the terms of our indebtedness (and the indebtedness of our subsidiaries that we guarantee) and our ability to continue to secure project financing on attractive terms for our projects; limitations on our management rights and operational flexibility due to our use of tax equity arrangements; potential claims and disagreements with partners, investors and other counterparties that could reduce our right to cash flows generated by our projects; our ability to comply with tax laws of various jurisdictions in which we currently operate as well as the tax laws in jurisdictions in which we intend to operate in the future; the unknown effect of the dual listing of our ordinary shares on the price of our ordinary shares; various risks related to our incorporation and location in Israel; the costs and requirements of being a public company, including the diversion of management’s attention with respect to such requirements; certain provisions in our Articles of Association and certain applicable regulations that may delay or prevent a change of control; and other risk factors set forth in the section titled “Risk factors” in our Annual Report on Form 20-F for the fiscal year ended December 31, 2024, filed with the Securities and Exchange Commission (the “SEC”) and our other documents filed with or furnished to the SEC.</w:t>
      </w:r>
    </w:p>
    <w:p>
      <w:pPr>
        <w:pStyle w:val="TextBody"/>
        <w:bidi w:val="0"/>
        <w:spacing w:lineRule="auto" w:line="300" w:before="0" w:after="0"/>
        <w:jc w:val="left"/>
        <w:rPr>
          <w:color w:val="000000"/>
        </w:rPr>
      </w:pPr>
      <w:r>
        <w:rPr>
          <w:color w:val="000000"/>
        </w:rPr>
        <w:t> </w:t>
      </w:r>
    </w:p>
    <w:p>
      <w:pPr>
        <w:pStyle w:val="TextBody"/>
        <w:bidi w:val="0"/>
        <w:spacing w:lineRule="auto" w:line="300" w:before="0" w:after="0"/>
        <w:jc w:val="left"/>
        <w:rPr>
          <w:rFonts w:ascii="Times New Roman" w:hAnsi="Times New Roman"/>
          <w:color w:val="000000"/>
          <w:sz w:val="20"/>
        </w:rPr>
      </w:pPr>
      <w:r>
        <w:rPr>
          <w:rFonts w:ascii="Times New Roman" w:hAnsi="Times New Roman"/>
          <w:color w:val="000000"/>
          <w:sz w:val="20"/>
        </w:rPr>
        <w:t>These statements reflect management’s current expectations regarding future events and speak only as of the date of this press release. You should not put undue reliance on any forward-looking statements. Although we believe that the expectations reflected in the forward-looking statements are reasonable, we cannot guarantee that future results, levels of activity, performance and events and circumstances reflected in the forward-looking statements will be achieved or will occur. Except as may be required by applicable law, we undertake no obligation to update or revise publicly any forward-looking statements, whether as a result of new information, future events or otherwise, after the date on which the statements are made or to reflect the occurrence of unanticipated events.</w:t>
      </w:r>
    </w:p>
    <w:p>
      <w:pPr>
        <w:pStyle w:val="TextBody"/>
        <w:bidi w:val="0"/>
        <w:spacing w:lineRule="auto" w:line="300" w:before="0" w:after="0"/>
        <w:jc w:val="left"/>
        <w:rPr>
          <w:rFonts w:ascii="Times New Roman" w:hAnsi="Times New Roman"/>
        </w:rPr>
      </w:pPr>
      <w:r>
        <w:rPr>
          <w:rFonts w:ascii="Times New Roman" w:hAnsi="Times New Roman"/>
        </w:rPr>
      </w:r>
    </w:p>
    <w:p>
      <w:pPr>
        <w:pStyle w:val="HorizontalLine"/>
        <w:pBdr>
          <w:bottom w:val="single" w:sz="12" w:space="0" w:color="808080"/>
        </w:pBdr>
        <w:bidi w:val="0"/>
        <w:spacing w:before="200" w:after="200"/>
        <w:jc w:val="left"/>
        <w:rPr/>
      </w:pPr>
      <w:r>
        <w:rPr/>
      </w:r>
    </w:p>
    <w:p>
      <w:pPr>
        <w:pStyle w:val="TextBody"/>
        <w:bidi w:val="0"/>
        <w:spacing w:lineRule="auto" w:line="300" w:before="0" w:after="0"/>
        <w:jc w:val="center"/>
        <w:rPr>
          <w:rFonts w:ascii="Times New Roman" w:hAnsi="Times New Roman"/>
          <w:b/>
          <w:color w:val="000000"/>
          <w:sz w:val="20"/>
        </w:rPr>
      </w:pPr>
      <w:r>
        <w:rPr>
          <w:rFonts w:ascii="Times New Roman" w:hAnsi="Times New Roman"/>
          <w:b/>
          <w:color w:val="000000"/>
          <w:sz w:val="20"/>
        </w:rPr>
        <w:t>SIGNATURES</w:t>
      </w:r>
    </w:p>
    <w:p>
      <w:pPr>
        <w:pStyle w:val="TextBody"/>
        <w:bidi w:val="0"/>
        <w:spacing w:lineRule="auto" w:line="300" w:before="0" w:after="0"/>
        <w:jc w:val="left"/>
        <w:rPr>
          <w:color w:val="000000"/>
        </w:rPr>
      </w:pPr>
      <w:r>
        <w:rPr>
          <w:color w:val="000000"/>
        </w:rPr>
        <w:t> </w:t>
      </w:r>
    </w:p>
    <w:p>
      <w:pPr>
        <w:pStyle w:val="TextBody"/>
        <w:bidi w:val="0"/>
        <w:spacing w:lineRule="auto" w:line="300" w:before="0" w:after="0"/>
        <w:jc w:val="both"/>
        <w:rPr>
          <w:rFonts w:ascii="Times New Roman" w:hAnsi="Times New Roman"/>
          <w:color w:val="000000"/>
          <w:sz w:val="20"/>
        </w:rPr>
      </w:pPr>
      <w:r>
        <w:rPr>
          <w:rFonts w:ascii="Times New Roman" w:hAnsi="Times New Roman"/>
          <w:color w:val="000000"/>
          <w:sz w:val="20"/>
        </w:rPr>
        <w:t>Pursuant to the requirements of the Securities Exchange Act of 1934, as amended, the registrant has duly caused this report to be signed on its behalf by the undersigned, thereunto duly authorized.</w:t>
      </w:r>
    </w:p>
    <w:p>
      <w:pPr>
        <w:pStyle w:val="TextBody"/>
        <w:bidi w:val="0"/>
        <w:spacing w:lineRule="auto" w:line="300" w:before="0" w:after="0"/>
        <w:jc w:val="left"/>
        <w:rPr>
          <w:color w:val="000000"/>
        </w:rPr>
      </w:pPr>
      <w:r>
        <w:rPr>
          <w:color w:val="000000"/>
        </w:rPr>
        <w:t> </w:t>
      </w:r>
    </w:p>
    <w:p>
      <w:pPr>
        <w:pStyle w:val="Normal"/>
        <w:bidi w:val="0"/>
        <w:spacing w:before="0" w:after="0"/>
        <w:jc w:val="left"/>
        <w:rPr>
          <w:sz w:val="4"/>
          <w:szCs w:val="4"/>
        </w:rPr>
      </w:pPr>
      <w:r>
        <w:rPr>
          <w:sz w:val="4"/>
          <w:szCs w:val="4"/>
        </w:rPr>
      </w:r>
      <w:bookmarkStart w:id="8" w:name="z52e805c8357d4e3ba2ed72842e436859"/>
      <w:bookmarkStart w:id="9" w:name="z52e805c8357d4e3ba2ed72842e436859"/>
      <w:bookmarkEnd w:id="9"/>
    </w:p>
    <w:tbl>
      <w:tblPr>
        <w:tblW w:w="5754" w:type="dxa"/>
        <w:jc w:val="left"/>
        <w:tblInd w:w="0" w:type="dxa"/>
        <w:tblLayout w:type="fixed"/>
        <w:tblCellMar>
          <w:top w:w="0" w:type="dxa"/>
          <w:left w:w="0" w:type="dxa"/>
          <w:bottom w:w="0" w:type="dxa"/>
          <w:right w:w="0" w:type="dxa"/>
        </w:tblCellMar>
      </w:tblPr>
      <w:tblGrid>
        <w:gridCol w:w="2495"/>
        <w:gridCol w:w="506"/>
        <w:gridCol w:w="2753"/>
      </w:tblGrid>
      <w:tr>
        <w:trPr/>
        <w:tc>
          <w:tcPr>
            <w:tcW w:w="2495" w:type="dxa"/>
            <w:tcBorders/>
            <w:vAlign w:val="center"/>
          </w:tcPr>
          <w:p>
            <w:pPr>
              <w:pStyle w:val="TableContents"/>
              <w:bidi w:val="0"/>
              <w:spacing w:before="0" w:after="283"/>
              <w:jc w:val="left"/>
              <w:rPr/>
            </w:pPr>
            <w:r>
              <w:rPr/>
              <w:t> </w:t>
            </w:r>
          </w:p>
        </w:tc>
        <w:tc>
          <w:tcPr>
            <w:tcW w:w="3259" w:type="dxa"/>
            <w:gridSpan w:val="2"/>
            <w:tcBorders/>
            <w:vAlign w:val="center"/>
          </w:tcPr>
          <w:p>
            <w:pPr>
              <w:pStyle w:val="TableContents"/>
              <w:bidi w:val="0"/>
              <w:spacing w:lineRule="auto" w:line="300" w:before="0" w:after="0"/>
              <w:jc w:val="left"/>
              <w:rPr>
                <w:rFonts w:ascii="Times New Roman" w:hAnsi="Times New Roman"/>
                <w:b/>
                <w:color w:val="000000"/>
              </w:rPr>
            </w:pPr>
            <w:r>
              <w:rPr>
                <w:rFonts w:ascii="Times New Roman" w:hAnsi="Times New Roman"/>
                <w:b/>
                <w:color w:val="000000"/>
              </w:rPr>
              <w:t>Enlight Renewable Energy Ltd.</w:t>
            </w:r>
          </w:p>
        </w:tc>
      </w:tr>
      <w:tr>
        <w:trPr/>
        <w:tc>
          <w:tcPr>
            <w:tcW w:w="2495" w:type="dxa"/>
            <w:tcBorders/>
            <w:vAlign w:val="center"/>
          </w:tcPr>
          <w:p>
            <w:pPr>
              <w:pStyle w:val="TableContents"/>
              <w:bidi w:val="0"/>
              <w:spacing w:lineRule="auto" w:line="300" w:before="0" w:after="0"/>
              <w:jc w:val="left"/>
              <w:rPr>
                <w:rFonts w:ascii="Times New Roman" w:hAnsi="Times New Roman"/>
              </w:rPr>
            </w:pPr>
            <w:r>
              <w:rPr>
                <w:rFonts w:ascii="Times New Roman" w:hAnsi="Times New Roman"/>
              </w:rPr>
              <w:t>Date: November 10, 2025</w:t>
            </w:r>
          </w:p>
        </w:tc>
        <w:tc>
          <w:tcPr>
            <w:tcW w:w="506" w:type="dxa"/>
            <w:tcBorders/>
            <w:vAlign w:val="center"/>
          </w:tcPr>
          <w:p>
            <w:pPr>
              <w:pStyle w:val="TableContents"/>
              <w:bidi w:val="0"/>
              <w:spacing w:lineRule="auto" w:line="300" w:before="0" w:after="0"/>
              <w:jc w:val="left"/>
              <w:rPr>
                <w:rFonts w:ascii="Times New Roman" w:hAnsi="Times New Roman"/>
              </w:rPr>
            </w:pPr>
            <w:r>
              <w:rPr>
                <w:rFonts w:ascii="Times New Roman" w:hAnsi="Times New Roman"/>
              </w:rPr>
              <w:t>By:</w:t>
            </w:r>
          </w:p>
        </w:tc>
        <w:tc>
          <w:tcPr>
            <w:tcW w:w="2753" w:type="dxa"/>
            <w:tcBorders>
              <w:bottom w:val="single" w:sz="12" w:space="0" w:color="000000"/>
            </w:tcBorders>
            <w:tcMar>
              <w:bottom w:w="28" w:type="dxa"/>
            </w:tcMar>
            <w:vAlign w:val="center"/>
          </w:tcPr>
          <w:p>
            <w:pPr>
              <w:pStyle w:val="TableContents"/>
              <w:bidi w:val="0"/>
              <w:spacing w:lineRule="auto" w:line="300" w:before="0" w:after="0"/>
              <w:jc w:val="left"/>
              <w:rPr>
                <w:rFonts w:ascii="Times New Roman" w:hAnsi="Times New Roman"/>
                <w:color w:val="000000"/>
              </w:rPr>
            </w:pPr>
            <w:r>
              <w:rPr>
                <w:rFonts w:ascii="Times New Roman" w:hAnsi="Times New Roman"/>
                <w:color w:val="000000"/>
              </w:rPr>
              <w:t>/s/ Lisa Haimovitz</w:t>
            </w:r>
          </w:p>
        </w:tc>
      </w:tr>
      <w:tr>
        <w:trPr/>
        <w:tc>
          <w:tcPr>
            <w:tcW w:w="2495" w:type="dxa"/>
            <w:tcBorders/>
            <w:vAlign w:val="center"/>
          </w:tcPr>
          <w:p>
            <w:pPr>
              <w:pStyle w:val="TableContents"/>
              <w:bidi w:val="0"/>
              <w:spacing w:before="0" w:after="283"/>
              <w:jc w:val="left"/>
              <w:rPr/>
            </w:pPr>
            <w:r>
              <w:rPr/>
              <w:t> </w:t>
            </w:r>
          </w:p>
        </w:tc>
        <w:tc>
          <w:tcPr>
            <w:tcW w:w="506" w:type="dxa"/>
            <w:tcBorders/>
            <w:vAlign w:val="center"/>
          </w:tcPr>
          <w:p>
            <w:pPr>
              <w:pStyle w:val="TableContents"/>
              <w:bidi w:val="0"/>
              <w:spacing w:before="0" w:after="283"/>
              <w:jc w:val="left"/>
              <w:rPr/>
            </w:pPr>
            <w:r>
              <w:rPr/>
              <w:t> </w:t>
            </w:r>
          </w:p>
        </w:tc>
        <w:tc>
          <w:tcPr>
            <w:tcW w:w="2753" w:type="dxa"/>
            <w:tcBorders/>
            <w:vAlign w:val="center"/>
          </w:tcPr>
          <w:p>
            <w:pPr>
              <w:pStyle w:val="TableContents"/>
              <w:bidi w:val="0"/>
              <w:spacing w:lineRule="auto" w:line="300" w:before="0" w:after="0"/>
              <w:jc w:val="left"/>
              <w:rPr>
                <w:rFonts w:ascii="Times New Roman" w:hAnsi="Times New Roman"/>
                <w:color w:val="000000"/>
              </w:rPr>
            </w:pPr>
            <w:r>
              <w:rPr>
                <w:rFonts w:ascii="Times New Roman" w:hAnsi="Times New Roman"/>
                <w:color w:val="000000"/>
              </w:rPr>
              <w:t>Lisa Haimovitz</w:t>
            </w:r>
          </w:p>
        </w:tc>
      </w:tr>
      <w:tr>
        <w:trPr/>
        <w:tc>
          <w:tcPr>
            <w:tcW w:w="2495" w:type="dxa"/>
            <w:tcBorders/>
            <w:vAlign w:val="center"/>
          </w:tcPr>
          <w:p>
            <w:pPr>
              <w:pStyle w:val="TableContents"/>
              <w:bidi w:val="0"/>
              <w:spacing w:before="0" w:after="283"/>
              <w:jc w:val="left"/>
              <w:rPr/>
            </w:pPr>
            <w:r>
              <w:rPr/>
              <w:t> </w:t>
            </w:r>
          </w:p>
        </w:tc>
        <w:tc>
          <w:tcPr>
            <w:tcW w:w="506" w:type="dxa"/>
            <w:tcBorders/>
            <w:vAlign w:val="center"/>
          </w:tcPr>
          <w:p>
            <w:pPr>
              <w:pStyle w:val="TableContents"/>
              <w:bidi w:val="0"/>
              <w:spacing w:before="0" w:after="283"/>
              <w:jc w:val="left"/>
              <w:rPr/>
            </w:pPr>
            <w:r>
              <w:rPr/>
              <w:t> </w:t>
            </w:r>
          </w:p>
        </w:tc>
        <w:tc>
          <w:tcPr>
            <w:tcW w:w="2753" w:type="dxa"/>
            <w:tcBorders/>
            <w:vAlign w:val="center"/>
          </w:tcPr>
          <w:p>
            <w:pPr>
              <w:pStyle w:val="TableContents"/>
              <w:bidi w:val="0"/>
              <w:spacing w:lineRule="auto" w:line="300" w:before="0" w:after="0"/>
              <w:jc w:val="left"/>
              <w:rPr>
                <w:rFonts w:ascii="Times New Roman" w:hAnsi="Times New Roman"/>
                <w:color w:val="000000"/>
              </w:rPr>
            </w:pPr>
            <w:r>
              <w:rPr>
                <w:rFonts w:ascii="Times New Roman" w:hAnsi="Times New Roman"/>
                <w:color w:val="000000"/>
              </w:rPr>
              <w:t>VP General Counsel</w:t>
            </w:r>
          </w:p>
        </w:tc>
      </w:tr>
    </w:tbl>
    <w:p>
      <w:pPr>
        <w:pStyle w:val="TextBody"/>
        <w:bidi w:val="0"/>
        <w:spacing w:before="0" w:after="0"/>
        <w:jc w:val="left"/>
        <w:rPr/>
      </w:pPr>
      <w:r>
        <w:rPr/>
      </w:r>
    </w:p>
    <w:p>
      <w:pPr>
        <w:pStyle w:val="HorizontalLine"/>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Times New Roman">
    <w:altName w:val="serif"/>
    <w:charset w:val="01"/>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1868</Words>
  <Characters>10811</Characters>
  <CharactersWithSpaces>12657</CharactersWithSpaces>
  <Paragraphs>73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