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3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46"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February 2025</w:t>
      </w:r>
    </w:p>
    <w:p>
      <w:pPr>
        <w:spacing w:after="0" w:line="25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001-41613</w:t>
      </w:r>
    </w:p>
    <w:p>
      <w:pPr>
        <w:spacing w:after="0" w:line="2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Enlight Renewable Energy Ltd.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13 Amal St., Afek Industrial Park</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Rosh Ha’ayin, Israel</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+ 972 (3) 900-8700</w:t>
      </w:r>
    </w:p>
    <w:p>
      <w:pPr>
        <w:spacing w:after="0" w:line="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209" w:lineRule="exact"/>
        <w:rPr>
          <w:sz w:val="24"/>
          <w:szCs w:val="24"/>
          <w:color w:val="auto"/>
        </w:rPr>
      </w:pPr>
    </w:p>
    <w:p>
      <w:pPr>
        <w:ind w:left="4500"/>
        <w:spacing w:after="0" w:line="207" w:lineRule="exact"/>
        <w:tabs>
          <w:tab w:leader="none" w:pos="57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38" w:right="1440" w:bottom="1440" w:gutter="0" w:footer="0" w:header="0"/>
        </w:sectPr>
      </w:pPr>
    </w:p>
    <w:bookmarkStart w:id="1" w:name="page2"/>
    <w:bookmarkEnd w:id="1"/>
    <w:p>
      <w:pPr>
        <w:jc w:val="center"/>
        <w:ind w:left="640"/>
        <w:spacing w:after="0"/>
        <w:rPr>
          <w:sz w:val="20"/>
          <w:szCs w:val="20"/>
          <w:color w:val="auto"/>
        </w:rPr>
      </w:pPr>
      <w:r>
        <w:rPr>
          <w:rFonts w:ascii="Times New Roman" w:cs="Times New Roman" w:eastAsia="Times New Roman" w:hAnsi="Times New Roman"/>
          <w:sz w:val="22"/>
          <w:szCs w:val="22"/>
          <w:b w:val="1"/>
          <w:bCs w:val="1"/>
          <w:i w:val="1"/>
          <w:iCs w:val="1"/>
          <w:color w:val="auto"/>
        </w:rPr>
        <w:t>Enlight Renewable Energy Ltd. Announces the Results of the Tenders for Classified Investors</w:t>
      </w:r>
    </w:p>
    <w:p>
      <w:pPr>
        <w:spacing w:after="0" w:line="35"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2"/>
          <w:szCs w:val="22"/>
          <w:b w:val="1"/>
          <w:bCs w:val="1"/>
          <w:i w:val="1"/>
          <w:iCs w:val="1"/>
          <w:color w:val="auto"/>
        </w:rPr>
        <w:t>for the Purchase of Series G Notes and Series H Notes of the Company in Israel</w:t>
      </w:r>
    </w:p>
    <w:p>
      <w:pPr>
        <w:spacing w:after="0" w:line="2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Tel Aviv, Israel, February 25, 2025, Enlight Renewable Energy Ltd. (NASDAQ: ENLT, TASE: ENLT)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announced today, further to its announcement from February 10, 2025 of a potential notes offerings in Israel, that the tenders for classified investors (as defined in the regulations under the Securities Law, 1968, “Classified Investors”) were held today for the issuance of two new series of notes (the “</w:t>
      </w:r>
      <w:r>
        <w:rPr>
          <w:rFonts w:ascii="Times New Roman" w:cs="Times New Roman" w:eastAsia="Times New Roman" w:hAnsi="Times New Roman"/>
          <w:sz w:val="18"/>
          <w:szCs w:val="18"/>
          <w:b w:val="1"/>
          <w:bCs w:val="1"/>
          <w:color w:val="auto"/>
        </w:rPr>
        <w:t>Institutional Tenders</w:t>
      </w:r>
      <w:r>
        <w:rPr>
          <w:rFonts w:ascii="Times New Roman" w:cs="Times New Roman" w:eastAsia="Times New Roman" w:hAnsi="Times New Roman"/>
          <w:sz w:val="18"/>
          <w:szCs w:val="18"/>
          <w:color w:val="auto"/>
        </w:rPr>
        <w:t>”): Series G, a new unsecured series of nonconvertible debentures bearing a fixed annual interest of 5% ("</w:t>
      </w:r>
      <w:r>
        <w:rPr>
          <w:rFonts w:ascii="Times New Roman" w:cs="Times New Roman" w:eastAsia="Times New Roman" w:hAnsi="Times New Roman"/>
          <w:sz w:val="18"/>
          <w:szCs w:val="18"/>
          <w:b w:val="1"/>
          <w:bCs w:val="1"/>
          <w:color w:val="auto"/>
        </w:rPr>
        <w:t>Series G</w:t>
      </w:r>
      <w:r>
        <w:rPr>
          <w:rFonts w:ascii="Times New Roman" w:cs="Times New Roman" w:eastAsia="Times New Roman" w:hAnsi="Times New Roman"/>
          <w:sz w:val="18"/>
          <w:szCs w:val="18"/>
          <w:color w:val="auto"/>
        </w:rPr>
        <w:t>") and a Series H, a new unsecured series of debentures bearing a fixed annual interest of 4%, convertible into regular shares of the Company ("</w:t>
      </w:r>
      <w:r>
        <w:rPr>
          <w:rFonts w:ascii="Times New Roman" w:cs="Times New Roman" w:eastAsia="Times New Roman" w:hAnsi="Times New Roman"/>
          <w:sz w:val="18"/>
          <w:szCs w:val="18"/>
          <w:b w:val="1"/>
          <w:bCs w:val="1"/>
          <w:color w:val="auto"/>
        </w:rPr>
        <w:t>Series H</w:t>
      </w:r>
      <w:r>
        <w:rPr>
          <w:rFonts w:ascii="Times New Roman" w:cs="Times New Roman" w:eastAsia="Times New Roman" w:hAnsi="Times New Roman"/>
          <w:sz w:val="18"/>
          <w:szCs w:val="18"/>
          <w:color w:val="auto"/>
        </w:rPr>
        <w:t>") in two periods: (1) starting at Series H listing date and ending at August 31, 2027, every 80 NIS par value can be converted into one registered ordinary share (of 0.1 NIS par value); (2) starting at September 1, 2028 and ending at August 22, 2033, every 1,000 NIS par value can be converted into one registered ordinary share.</w:t>
      </w:r>
    </w:p>
    <w:p>
      <w:pPr>
        <w:spacing w:after="0" w:line="194"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Series G and Series H were offered to the Classified Investors in units, with each unit consisting of NIS 1,000 principal amount, in a tender, for the price of the unit.</w:t>
      </w:r>
    </w:p>
    <w:p>
      <w:pPr>
        <w:spacing w:after="0" w:line="16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As part of the Institutional Tender for Series G, the Classified Investors submitted prior undertakings for Series G in a total monetary amount of approximately NIS 1,071 million (approximately $300 million). The Company intends to accept prior undertakings from Classified Investors to purchase 468,784 units of Series G notes at a Minimum Unit Price of 971 NIS, totaling gross proceeds of NIS 455 million (approximately $119 million).</w:t>
      </w:r>
    </w:p>
    <w:p>
      <w:pPr>
        <w:spacing w:after="0" w:line="19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part of the Institutional Tender for Series H (convertible notes), the Classified Investors submitted prior undertakings for Series H notes in a total monetary amount of approximately NIS 680.7 million (approximately $190 million). The Company intends to accept prior undertakings from Classified Investors to purchase 414,847 units of Series H notes at a Minimum Unit Price of 1,000 NIS, totaling gross proceeds of NIS 414.8 million (approximately $115.8 million).</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aforesaid Minimum Unit Prices will constitute the Minimum Unit Prices in the respective public tenders under the shelf offering report the Company intends to file.</w:t>
      </w:r>
    </w:p>
    <w:p>
      <w:pPr>
        <w:spacing w:after="0" w:line="18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b w:val="1"/>
          <w:bCs w:val="1"/>
          <w:color w:val="auto"/>
        </w:rPr>
        <w:t>It is hereby clarified that the publication of the shelf offering report and the execution of the issuance of any Series of notes are subject, among other things, to obtaining all the approvals required by law, including the approval of the Tel Aviv Stock Exchange Ltd. for the listing of Series G and Series H notes and the resolution of the Company’s Board of Directors, and there is no certainty that any of the offerings will take place.</w:t>
      </w:r>
    </w:p>
    <w:p>
      <w:pPr>
        <w:spacing w:after="0" w:line="181"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The Company intends to use the net proceeds from the offerings for investments in its large-scale portfolio in the United States, Europe and MENA, and for other general corporate purposes.</w:t>
      </w:r>
    </w:p>
    <w:p>
      <w:pPr>
        <w:spacing w:after="0" w:line="16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Also, on February 2, 2025, “Midroog” confirmed A2.il rating (stable) for Series G and Series H notes in a total amount of up to NIS 500 million. On February 25, 2025, “Midroog” confirmed A2.il rating (stable) for Series G and Series H notes in a total amount of up to NIS 900 million.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rating is not a recommendation to buy, sell or hold securities and investors should take their own decision.</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 w:name="page3"/>
    <w:bookmarkEnd w:id="2"/>
    <w:p>
      <w:pPr>
        <w:jc w:val="both"/>
        <w:spacing w:after="0" w:line="273" w:lineRule="auto"/>
        <w:rPr>
          <w:sz w:val="20"/>
          <w:szCs w:val="20"/>
          <w:color w:val="auto"/>
        </w:rPr>
      </w:pPr>
      <w:r>
        <w:rPr>
          <w:rFonts w:ascii="Times New Roman" w:cs="Times New Roman" w:eastAsia="Times New Roman" w:hAnsi="Times New Roman"/>
          <w:sz w:val="18"/>
          <w:szCs w:val="18"/>
          <w:b w:val="1"/>
          <w:bCs w:val="1"/>
          <w:color w:val="auto"/>
        </w:rPr>
        <w:t>It is further clarified that any of the public offerings, insofar they will be executed, will be done in the framework of a shelf offering report, by way of a uniform offer, that the scope of the offer to the public and the rest of its terms will be specified therein and that the final interest rates will be determined in the framework of the public tender, insofar as it will be executed. Any offering of securities pursuant to the Company’s shelf prospectus dated August 28, 2024 and any shelf offering report, if made, will be made only in Israel.</w:t>
      </w:r>
    </w:p>
    <w:p>
      <w:pPr>
        <w:spacing w:after="0" w:line="17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b w:val="1"/>
          <w:bCs w:val="1"/>
          <w:color w:val="auto"/>
        </w:rPr>
        <w:t>The offerings are not being made to U.S. persons and have been made in an “overseas directed offering” in Israel pursuant to the exemption from registration under Regulation S under the U.S. Securities Act of 1933, as amended (the “Securities Act”). This announcement does not constitute a solicitation or an offer to buy any securities. The Series G and Series H debentures, including the ordinary shares deliverable upon conversion of the Series H debentures, will not be registered under the Securities Act, and will not be offered or sold in the United States without registration or applicable exemption from the registration requirements according to the Securities Act. Nothing in this report constitutes an offer to sell or the solicitation of an offer to buy the Company’s securities.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Note Regarding Forward-Looking Statements</w:t>
      </w:r>
    </w:p>
    <w:p>
      <w:pPr>
        <w:spacing w:after="0" w:line="2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report on Form 6-K contains forward-looking statements within the meaning of the U.S. Private Securities Litigation Reform Act of 1995. We intend such forward-looking statements to be covered by the safe harbor provisions for forward-looking statements as contained in Section 27A of the Securities Act of 1933, as amended, and Section 21E of the Securities Exchange Act of 1934, as amended. All statements contained in this report on Form 6-K other than statements of historical fact, including, without limitation, statements regarding the offerings and completion thereof are forward-looking statements. The words “may,” “might,” “will,” “could,” “would,” “should,” “expect,” “plan,” “anticipate,” “intend,” “target,” “seek,” “believe,” “estimate,” “predict,” “potential,” “continue,” “contemplate,” “possible,” “forecasts,” “aims” or the negative of these terms and similar expressions are intended to identify forward-looking statements, though not all forward-looking statements use these words or expressions. 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following: the offerings of the new Series G and Series H debentures, including our intention to accept prior undertakings from Classified Investors and the expectations regarding the use of proceeds; our ability to consummate the offerings due to regulatory approvals and other factors such as market conditions; our ability to site suitable land for, and otherwise source, renewable energy projects and to successfully develop and convert them into Operational Projects; availability of, and access to, interconnection facilities and transmission systems; our ability to obtain and maintain governmental and other regulatory approvals and permits, including environmental approvals and permits; construction delays, operational delays and supply chain disruptions leading to increased cost of materials required for the construction of our projects, as well as cost overruns and delays related to disputes with contractors; disruptions in trade caused by political, social or economic instability in regions where our components and materials are made; our suppliers’ ability and willingness to perform both existing and future obligations; competition from traditional and renewable energy companies in developing renewable energy projects; potential slowed demand for renewable energy projects and our ability to enter into new offtake contracts on acceptable terms and prices as current offtake contracts expire; offtakers’ ability to terminate contracts or seek other remedies resulting from failure of our projects to meet development, operational or performance benchmarks; exposure to market prices in some of our offtake contracts; various technical and operational challenges leading to unplanned outages, reduced output, interconnection or termination issues; the dependence of our production and revenue on suitable meteorological and environmental conditions, and our ability to accurately predict such conditions; our ability to enforce warranties provided by our counterparties in the event that our projects do not perform as expected; government curtailment, energy price caps and other government actions that restrict or reduce the profitability of renewable energy production; electricity price volatility, unusual weather conditions (including the effects of climate change, could adversely affect wind and solar conditions), catastrophic weather-related or other damage to facilities, unscheduled generation outages, maintenance or repairs, unanticipated changes to availability due to higher demand, shortages, transportation problems or other developments, environmental incidents, or electric transmission system constraints and the possibility that we may not have adequate insurance to cover losses as a result of such hazards; our dependence on certain operational projects for a substantial portion of our cash flows; our ability to continue to grow our portfolio of projects through successful acquisitions; changes and advances in technology that impair or eliminate the competitive advantage of our projects or upsets the expectations underlying investments in our technologies; our ability to effectively anticipate and manage cost inflation, interest rate risk, currency exchange fluctuations and other macroeconomic conditions that impact our business; our ability to retain and attract key personnel; our ability to manage legal and regulatory compliance and litigation risk across our global corporate structure; our ability to protect our business from, and manage the impact of, cyber-attacks, disruptions and security incidents, as well as acts of terrorism or war; changes to existing renewable energy industry policies and regulations that present technical, regulatory and economic barriers to renewable energy projects; the reduction, elimination or expiration of government incentives for, or regulations mandating the use of, renewable energy; our ability to effectively manage the global expansion of the scale of our business operations; our ability to perform to expectations in our new line of business involving the construction of PV systems for municipalities in Israel; our ability to effectively manage our supply chain and comply with applicable regulations with respect to international trade relations, tariffs, sanctions, export controls and anti-bribery and anti-corruption laws; our ability to effectively comply with Environmental Health and Safety and other laws and regulations and receive and maintain all necessary licenses, permits and authorizations; our performance of various obligations under the terms of our indebtedness (and the indebtedness of our subsidiaries that we guarantee) and our ability to continue to secure project financing on attractive terms for our projects; limitations on our management rights and operational flexibility due to our use of tax equity arrangements; potential claims and disagreements with partners, investors and other counterparties that could reduce our right to cash flows generated by our projects; our ability to comply with increasingly complex tax laws of various jurisdictions in which we currently operate as well as the tax laws in jurisdictions in which we intend to operate in the future; the unknown effect of the dual listing of our ordinary shares on the price of our ordinary shares; various risks related to our incorporation and location in Israel, including the ongoing war in Israel, where our headquarters and some of our wind energy and solar energy projects are located; the costs and requirements of being a public company, including the diversion of management’s attention with respect to such requirements; certain provisions in our Articles of Association and certain applicable regulations that may delay or prevent a change of control; and other risk factors set forth in the section titled “Risk factors” in our Annual Report on Form 20-F for the fiscal year ended December 31, 2023, filed with the Securities and Exchange Commission (the “SEC”), as may be updated in our other documents filed with or furnished to the SEC.</w:t>
      </w:r>
    </w:p>
    <w:p>
      <w:pPr>
        <w:sectPr>
          <w:pgSz w:w="11900" w:h="16838" w:orient="portrait"/>
          <w:cols w:equalWidth="0" w:num="1">
            <w:col w:w="11240"/>
          </w:cols>
          <w:pgMar w:left="320" w:top="117" w:right="339" w:bottom="1440" w:gutter="0" w:footer="0" w:header="0"/>
        </w:sect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 w:name="page4"/>
    <w:bookmarkEnd w:id="3"/>
    <w:p>
      <w:pPr>
        <w:jc w:val="both"/>
        <w:spacing w:after="0" w:line="266" w:lineRule="auto"/>
        <w:rPr>
          <w:sz w:val="20"/>
          <w:szCs w:val="20"/>
          <w:color w:val="auto"/>
        </w:rPr>
      </w:pPr>
      <w:r>
        <w:rPr>
          <w:rFonts w:ascii="Times New Roman" w:cs="Times New Roman" w:eastAsia="Times New Roman" w:hAnsi="Times New Roman"/>
          <w:sz w:val="18"/>
          <w:szCs w:val="18"/>
          <w:color w:val="auto"/>
        </w:rPr>
        <w:t>These statements reflect management’s current expectations regarding future events and speak only as of the date of this Form 6-K. You should not put undue reliance on any forward-looking statements. Although we believe that the expectations reflected in the forward-looking statements are reasonable, we cannot guarantee that future results, levels of activity, performance and events and circumstances reflected in the forward-looking statements will be achieved or will occur. Except as required by applicable law, we undertake no obligation to update or revise publicly any forward-looking statements, whether as a result of new information, future events or otherwise, after the date on which the statements are made or to reflect the occurrence of unanticipated events.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in this form 6-K [as well as the attached Exhibits] are being furnished and shall not be deemed “filed” for any purpose.</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ind w:right="20"/>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5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Enlight Renewable Energy Ltd.</w:t>
      </w:r>
    </w:p>
    <w:p>
      <w:pPr>
        <w:spacing w:after="0" w:line="243"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February 25, 2025</w:t>
      </w:r>
      <w:r>
        <w:rPr>
          <w:sz w:val="20"/>
          <w:szCs w:val="20"/>
          <w:color w:val="auto"/>
        </w:rPr>
        <w:tab/>
      </w:r>
      <w:r>
        <w:rPr>
          <w:rFonts w:ascii="Times New Roman" w:cs="Times New Roman" w:eastAsia="Times New Roman" w:hAnsi="Times New Roman"/>
          <w:sz w:val="18"/>
          <w:szCs w:val="18"/>
          <w:color w:val="auto"/>
        </w:rPr>
        <w:t>By: /s/ Lisa Haimovitz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Lisa Haimovitz</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VP General Counsel</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2025-02-25T15:53:51Z</dcterms:created>
  <dcterms:modified xsi:type="dcterms:W3CDTF">2025-02-25T15:53:51Z</dcterms:modified>
</cp:coreProperties>
</file>