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Enlight Renewable Energy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nominal value NIS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676767908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08/21/2025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676767908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MEITAV INVESTMENT HOUSE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ISRAEL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12,608,497.00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12,608,497.00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12,608,497.00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860"/>
          </w:cols>
          <w:pgMar w:left="320" w:top="166" w:right="559" w:bottom="0" w:gutter="0" w:footer="0" w:header="0"/>
        </w:sectPr>
      </w:pP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(8), (9) and (11), the beneficial ownership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herein is described in Item 4(a). Row (11) is based on 131,403,429 Ordinary Shares outstanding as of August 21, 2025 (as reported on Bloomberg LP).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Enlight Renewable Energy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13 Amal street, Afek Industrial Park, Rosh Ha'ayin, Israel, 4809249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20"/>
        <w:spacing w:after="0" w:line="249" w:lineRule="auto"/>
        <w:rPr>
          <w:sz w:val="20"/>
          <w:szCs w:val="20"/>
          <w:color w:val="auto"/>
        </w:rPr>
      </w:pPr>
      <w:r>
        <w:rPr>
          <w:rFonts w:ascii="Times New Roman" w:cs="Times New Roman" w:eastAsia="Times New Roman" w:hAnsi="Times New Roman"/>
          <w:sz w:val="21"/>
          <w:szCs w:val="21"/>
          <w:color w:val="auto"/>
        </w:rPr>
        <w:t>MEITAV INVESTMENT HOUSE LTD The securities reported herein are beneficially owned by various direct or indirect, majority or wholly-owned subsidiaries of the MEITAV INVESTMENT HOUSE LTD. (the "Subsidiaries"). Some of the securities reported herein are held by third-party client accounts managed by a subsidiary of the</w:t>
      </w:r>
    </w:p>
    <w:p>
      <w:pPr>
        <w:spacing w:after="0" w:line="1" w:lineRule="exact"/>
        <w:rPr>
          <w:sz w:val="20"/>
          <w:szCs w:val="20"/>
          <w:color w:val="auto"/>
        </w:rPr>
      </w:pPr>
    </w:p>
    <w:p>
      <w:pPr>
        <w:ind w:left="960" w:hanging="912"/>
        <w:spacing w:after="0" w:line="232" w:lineRule="auto"/>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 as portfolio managers, which subsidiary operates under independent management and makes independent investment decisions and has no voting power in the securities held in such client accounts. The Subsidiaries manage their own funds and/or the funds of others, including for holders of exchange-traded notes or members of pension or provident funds, unit holders of mutual funds, and portfolio management clients. Each of the Subsidiaries operates under independent management and makes its own independent voting and investment decisions.</w:t>
      </w:r>
    </w:p>
    <w:p>
      <w:pPr>
        <w:spacing w:after="0" w:line="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 Jabotinski, Bene-Beraq, 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 nominal value NIS 0.1 per share</w:t>
      </w:r>
    </w:p>
    <w:p>
      <w:pPr>
        <w:spacing w:after="0" w:line="20"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1020"/>
          </w:cols>
          <w:pgMar w:left="320" w:top="166" w:right="55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676767908</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40"/>
        <w:spacing w:after="0" w:line="246" w:lineRule="auto"/>
        <w:rPr>
          <w:sz w:val="20"/>
          <w:szCs w:val="20"/>
          <w:color w:val="auto"/>
        </w:rPr>
      </w:pPr>
      <w:r>
        <w:rPr>
          <w:rFonts w:ascii="Times New Roman" w:cs="Times New Roman" w:eastAsia="Times New Roman" w:hAnsi="Times New Roman"/>
          <w:sz w:val="21"/>
          <w:szCs w:val="21"/>
          <w:color w:val="auto"/>
        </w:rPr>
        <w:t>See row 9 of cover page of the reporting person. Each of the Subsidiaries operates under independent management and makes its own independent voting and investment decisions. Neither the filing of this Schedule 13G nor any of its contents shall be deemed to constitute an admission by either the Filing Person or Subsidiaries that a group exists for purposes of Section 13(d) of the Securities Exchange Act of 1934 or for any other purpose, and each reporting person disclaims the existence of any such group. In addition, the Filing Person and Subsidiaries disclaims any</w:t>
      </w:r>
    </w:p>
    <w:p>
      <w:pPr>
        <w:spacing w:after="0" w:line="1" w:lineRule="exact"/>
        <w:rPr>
          <w:sz w:val="20"/>
          <w:szCs w:val="20"/>
          <w:color w:val="auto"/>
        </w:rPr>
      </w:pPr>
    </w:p>
    <w:p>
      <w:pPr>
        <w:ind w:left="920" w:hanging="912"/>
        <w:spacing w:after="0" w:line="209"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beneficial ownership of the securities covered by this report in excess of their actual pecuniary interest therein. This Statement shall not be construed as an admission by the Filing Person or Subsidiaries that they are the beneficial owners of any of the Ordinary Shares covered by this Statement, and each of Filing Person and Subsidiaries disclaims beneficial ownership of any such Ordinary Shares. As of August 21, 2025, the securities reported herein were held as follows: 2,158,648 ordinary shares (representing 1.64% of the total ordinary shares outstanding) beneficially owned by MEITAV MUTUAL FUNDS LTD. 6,363,738 ordinary shares (representing 4.84% of the total ordinary shares outstanding) beneficially owned by MEITAV PROVIDENT FUNDS &amp; PENSION LTD. 4,086,111 ordinary shares (representing 3.11% of the total ordinary shares outstanding) beneficially owned by MEITAV PORTFOLIO MANAGEMENT LTD..</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cover page of the reporting person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11"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5 of cover page of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cover page of each reporting person and note in Item 4(a) above</w:t>
      </w:r>
    </w:p>
    <w:p>
      <w:pPr>
        <w:spacing w:after="0" w:line="287" w:lineRule="exact"/>
        <w:rPr>
          <w:sz w:val="20"/>
          <w:szCs w:val="20"/>
          <w:color w:val="auto"/>
        </w:rPr>
      </w:pPr>
    </w:p>
    <w:p>
      <w:pPr>
        <w:ind w:right="530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of cover page of each reporting person</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cover page of each reporting person and note in Item 4(a)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00"/>
          </w:cols>
          <w:pgMar w:left="360" w:top="111" w:right="41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MEITAV INVESTMENT HOUSE LTD</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Ilan Raviv</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Ilan Raviv - CEO</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08/24/2025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2025-08-25T05:21:29Z</dcterms:created>
  <dcterms:modified xsi:type="dcterms:W3CDTF">2025-08-25T05:21:29Z</dcterms:modified>
</cp:coreProperties>
</file>