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Enlight Renewable Energy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NIS 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676767908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676767908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Harel Insurance Investments &amp; Financial Services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jc w:val="center"/>
        <w:ind w:right="7099"/>
        <w:spacing w:after="0"/>
        <w:rPr>
          <w:sz w:val="20"/>
          <w:szCs w:val="20"/>
          <w:color w:val="auto"/>
        </w:rPr>
      </w:pPr>
      <w:r>
        <w:rPr>
          <w:rFonts w:ascii="Times New Roman" w:cs="Times New Roman" w:eastAsia="Times New Roman" w:hAnsi="Times New Roman"/>
          <w:sz w:val="22"/>
          <w:szCs w:val="22"/>
          <w:color w:val="auto"/>
        </w:rPr>
        <w:t>ISRAEL</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14,874,185.00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680,510.00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15,554,695.00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9720"/>
          </w:cols>
          <w:pgMar w:left="320" w:top="111" w:right="699" w:bottom="0" w:gutter="0" w:footer="0" w:header="0"/>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 With regard to the date of event that requires filing, see the explanatory note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Item 4. With regard to Rows (6), (8) and (9), please see Item 4. Row (11) is based on 119,095,640 Ordinary Shares issued and outstanding as of March 15, 2025 (as reported by the Issuer in Exhibit 99.1 to its Annual Report on Form 20-F filed with the Securities and Exchange Commission on March 28, 2025).</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Enlight Renewable Energy Ltd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13 Amal Street, Afek Industrial Park, Rosh Ha'ayin, Israel, 4809249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Harel Insurance Investments &amp; Financial Services Ltd.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3 Aba Hillel Street, Ramat Gan 52118, Israel</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Israel</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Ordinary Shares, NIS 0.1 par value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676767908</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ectPr>
          <w:pgSz w:w="11900" w:h="16838" w:orient="portrait"/>
          <w:cols w:equalWidth="0" w:num="1">
            <w:col w:w="10880"/>
          </w:cols>
          <w:pgMar w:left="320" w:top="111" w:right="699" w:bottom="0" w:gutter="0" w:footer="0" w:header="0"/>
          <w:type w:val="continuous"/>
        </w:sectPr>
      </w:pPr>
    </w:p>
    <w:bookmarkStart w:id="2" w:name="page3"/>
    <w:bookmarkEnd w:id="2"/>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47" w:orient="portrait"/>
          <w:cols w:equalWidth="0" w:num="2">
            <w:col w:w="620" w:space="300"/>
            <w:col w:w="10200"/>
          </w:cols>
          <w:pgMar w:left="360" w:top="111" w:right="419" w:bottom="0" w:gutter="0" w:footer="0" w:header="0"/>
        </w:sectPr>
      </w:pPr>
    </w:p>
    <w:p>
      <w:pPr>
        <w:spacing w:after="0" w:line="33" w:lineRule="exact"/>
        <w:rPr>
          <w:sz w:val="20"/>
          <w:szCs w:val="20"/>
          <w:color w:val="auto"/>
        </w:rPr>
      </w:pPr>
    </w:p>
    <w:p>
      <w:pPr>
        <w:ind w:left="920" w:right="160"/>
        <w:spacing w:after="0" w:line="253" w:lineRule="auto"/>
        <w:rPr>
          <w:sz w:val="20"/>
          <w:szCs w:val="20"/>
          <w:color w:val="auto"/>
        </w:rPr>
      </w:pPr>
      <w:r>
        <w:rPr>
          <w:rFonts w:ascii="Times New Roman" w:cs="Times New Roman" w:eastAsia="Times New Roman" w:hAnsi="Times New Roman"/>
          <w:sz w:val="21"/>
          <w:szCs w:val="21"/>
          <w:color w:val="auto"/>
        </w:rPr>
        <w:t>The number of Ordinary Shares reported in this Statement above as beneficially owned by the Reporting Person represents the number of Ordinary Shares beneficially owned by the Reporting Person on March 31, 2025, of which</w:t>
      </w:r>
    </w:p>
    <w:p>
      <w:pPr>
        <w:spacing w:after="0" w:line="1" w:lineRule="exact"/>
        <w:rPr>
          <w:sz w:val="20"/>
          <w:szCs w:val="20"/>
          <w:color w:val="auto"/>
        </w:rPr>
      </w:pPr>
    </w:p>
    <w:p>
      <w:pPr>
        <w:ind w:left="920"/>
        <w:spacing w:after="0" w:line="241" w:lineRule="auto"/>
        <w:rPr>
          <w:sz w:val="20"/>
          <w:szCs w:val="20"/>
          <w:color w:val="auto"/>
        </w:rPr>
      </w:pPr>
      <w:r>
        <w:rPr>
          <w:rFonts w:ascii="Times New Roman" w:cs="Times New Roman" w:eastAsia="Times New Roman" w:hAnsi="Times New Roman"/>
          <w:sz w:val="21"/>
          <w:szCs w:val="21"/>
          <w:color w:val="auto"/>
        </w:rPr>
        <w:t>(i) 10,887,596 Ordinary Shares are held for members of the public through, among others, provident funds and/or mutual funds and/or pension funds and/or insurance policies and/or exchange traded funds, which are managed by subsidiaries of the Reporting Person, each of which subsidiaries operates under independent management and makes independent voting and investment decisions, (ii) 680,510 Ordinary Shares are held by third-party client accounts managed by a subsidiary of the Reporting Person as portfolio managers, which subsidiary operates under independent management and makes independent investment decisions and has no voting power in the securities held in such client accounts, and (iii) 3,986,589 Ordinary Shares are beneficially held for its own account. Consequently, this Statement shall not be construed as an admission by the Reporting Person that it is the beneficial owner of more than 3,986,589 Ordinary Shares covered by this Statement as of March 31, 2025. EXPLANATORY NOTE: The Reporting Person inadvertently omitted to file its statement on beneficial ownership pursuant to Rule 13d-1 promulgated under the Securities Exchange Act of 1934, as amended, with respect to the Ordinary Shares it beneficially owned as of December 31, 2023, September 30, 2024 and October 9, 2024 and the Reporting Person is accordingly reporting in this Statement below the Ordinary Shares beneficially owned by it on such dates as well. 1. The Reporting Person first beneficially owned Ordinary Shares exceeding 10% of the Company's issued and outstanding shares on October 9, 2024, on which date, the Reporting Person beneficially owned (i) 10,446,234 Ordinary Shares for members of the public through, among others, provident funds and/or mutual funds and/or pension funds and/or insurance policies and/or exchange traded funds, which are managed by subsidiaries of the Reporting Person, each of which subsidiaries operates under independent management and makes independent voting and investment decisions, (ii) 561,888</w:t>
      </w:r>
    </w:p>
    <w:p>
      <w:pPr>
        <w:spacing w:after="0" w:line="9" w:lineRule="exact"/>
        <w:rPr>
          <w:sz w:val="20"/>
          <w:szCs w:val="20"/>
          <w:color w:val="auto"/>
        </w:rPr>
      </w:pPr>
    </w:p>
    <w:p>
      <w:pPr>
        <w:ind w:left="920" w:hanging="912"/>
        <w:spacing w:after="0" w:line="231"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Ordinary Shares held by third-party client accounts managed by a subsidiary of the Reporting Person as portfolio managers, which subsidiary operates under independent management and makes independent investment decisions and has no voting power in the securities held in such client accounts, and (iii) 861,072 Ordinary Shares for its own account. Consequently, this Statement shall not be construed as an admission by the Reporting Person that it is the beneficial owner of more than 861,072 Ordinary Shares as of October 9, 2024. 2. On September 30, 2024, the Reporting Person beneficially owned (i) 10,393,305 Ordinary Shares for members of the public through, among others, provident funds and/or mutual funds and/or pension funds and/or insurance policies and/or exchange traded funds, which are managed by subsidiaries of the Reporting Person, each of which subsidiaries operates under independent management and makes independent voting and investment decisions, (ii) 563,934 Ordinary Shares held by third-party client accounts managed by a subsidiary of the Reporting Person as portfolio managers, which subsidiary operates under independent management and makes independent investment decisions and has no voting power in the securities held in such client accounts, and (iii) 861,074 Ordinary Shares for its own account. Consequently, this Statement shall not be construed as an admission by the Reporting Person that it is the beneficial owner of more than 861,074 Ordinary Shares as of September 30, 2024. 3. On December 31, 2023, the Reporting Person beneficially owned (i) 9,132,578 Ordinary Shares for members of the public through, among others, provident funds and/or mutual funds and/or pension funds and/or insurance policies and/or exchange traded funds, which are managed by subsidiaries of the Reporting Person, each of which subsidiaries operates under independent management and makes independent voting and investment decisions, (ii) 557,305 Ordinary Shares held by third-party client accounts managed by a subsidiary of the Reporting Person as portfolio managers, which subsidiary operates under independent management and makes independent investment decisions and has no voting power in the securities held in such client accounts, and (iii) 390,776 Ordinary Shares for its own account. Consequently, this Statement shall not be construed as an admission by the Reporting Person that it is the beneficial owner of more than 390,776 Ordinary Shares as of December 31, 2023.</w:t>
      </w:r>
    </w:p>
    <w:p>
      <w:pPr>
        <w:spacing w:after="0" w:line="18"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Row (11) of the cover page of the Reporting Person above.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47" w:orient="portrait"/>
          <w:cols w:equalWidth="0" w:num="1">
            <w:col w:w="11120"/>
          </w:cols>
          <w:pgMar w:left="360" w:top="111" w:right="41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See Row (6) of the cover page of the Reporting Person above and note in Item 4 above.</w:t>
      </w:r>
    </w:p>
    <w:p>
      <w:pPr>
        <w:spacing w:after="0" w:line="287" w:lineRule="exact"/>
        <w:rPr>
          <w:sz w:val="20"/>
          <w:szCs w:val="20"/>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(8) of the cover page of the Reporting Person above and note in Item 4 above.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355"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Harel Insurance Investments &amp; Financial Services Ltd</w:t>
      </w:r>
    </w:p>
    <w:p>
      <w:pPr>
        <w:spacing w:after="0" w:line="152" w:lineRule="exact"/>
        <w:rPr>
          <w:sz w:val="20"/>
          <w:szCs w:val="20"/>
          <w:color w:val="auto"/>
        </w:rPr>
      </w:pPr>
    </w:p>
    <w:p>
      <w:pPr>
        <w:ind w:left="3880"/>
        <w:spacing w:after="0"/>
        <w:tabs>
          <w:tab w:leader="none" w:pos="4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Alon Kaufman</w:t>
      </w:r>
    </w:p>
    <w:p>
      <w:pPr>
        <w:spacing w:after="0" w:line="4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Name/Title: Alon Kaufman/Vice President</w:t>
      </w:r>
    </w:p>
    <w:p>
      <w:pPr>
        <w:spacing w:after="0" w:line="44" w:lineRule="exact"/>
        <w:rPr>
          <w:sz w:val="20"/>
          <w:szCs w:val="20"/>
          <w:color w:val="auto"/>
        </w:rPr>
      </w:pPr>
    </w:p>
    <w:p>
      <w:pPr>
        <w:ind w:left="3880"/>
        <w:spacing w:after="0"/>
        <w:tabs>
          <w:tab w:leader="none" w:pos="49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05/14/2025</w:t>
      </w:r>
    </w:p>
    <w:sectPr>
      <w:pgSz w:w="11900" w:h="16838" w:orient="portrait"/>
      <w:cols w:equalWidth="0" w:num="1">
        <w:col w:w="11140"/>
      </w:cols>
      <w:pgMar w:left="360" w:top="355"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2025-05-14T07:31:13Z</dcterms:created>
  <dcterms:modified xsi:type="dcterms:W3CDTF">2025-05-14T07:31:13Z</dcterms:modified>
</cp:coreProperties>
</file>